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F040F" w14:textId="77777777" w:rsidR="00E354E3" w:rsidRPr="00E354E3" w:rsidRDefault="00E354E3" w:rsidP="00E354E3">
      <w:pPr>
        <w:jc w:val="center"/>
        <w:rPr>
          <w:color w:val="000000" w:themeColor="text1"/>
        </w:rPr>
      </w:pPr>
      <w:r w:rsidRPr="00E354E3">
        <w:rPr>
          <w:noProof/>
          <w:color w:val="000000" w:themeColor="text1"/>
        </w:rPr>
        <w:drawing>
          <wp:inline distT="0" distB="0" distL="0" distR="0" wp14:anchorId="36D0A330" wp14:editId="7D112E58">
            <wp:extent cx="5311118" cy="4138246"/>
            <wp:effectExtent l="0" t="0" r="0" b="2540"/>
            <wp:docPr id="767157148" name="Picture 1" descr="A collage of different types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7148" name="Picture 1" descr="A collage of different types of chemical formulas&#10;&#10;Description automatically generated with medium confidence"/>
                    <pic:cNvPicPr/>
                  </pic:nvPicPr>
                  <pic:blipFill>
                    <a:blip r:embed="rId4"/>
                    <a:stretch>
                      <a:fillRect/>
                    </a:stretch>
                  </pic:blipFill>
                  <pic:spPr>
                    <a:xfrm>
                      <a:off x="0" y="0"/>
                      <a:ext cx="5332458" cy="4154873"/>
                    </a:xfrm>
                    <a:prstGeom prst="rect">
                      <a:avLst/>
                    </a:prstGeom>
                  </pic:spPr>
                </pic:pic>
              </a:graphicData>
            </a:graphic>
          </wp:inline>
        </w:drawing>
      </w:r>
    </w:p>
    <w:p w14:paraId="22574991" w14:textId="53C2511B" w:rsidR="00E354E3" w:rsidRPr="00E354E3" w:rsidRDefault="00E354E3" w:rsidP="00E354E3">
      <w:r w:rsidRPr="00E354E3">
        <w:rPr>
          <w:rFonts w:eastAsiaTheme="majorEastAsia"/>
          <w:b/>
          <w:bCs/>
        </w:rPr>
        <w:t>Supplementary Figure 1. Titration of tentative ICD inducers.</w:t>
      </w:r>
      <w:r w:rsidRPr="00E354E3">
        <w:rPr>
          <w:rFonts w:eastAsiaTheme="majorEastAsia"/>
        </w:rPr>
        <w:t> </w:t>
      </w:r>
      <w:r w:rsidRPr="00E354E3">
        <w:t xml:space="preserve">Structures and ATP release profiles for eight compounds were assessed in vitro at 24 and 48 hours. Extracellular ATP concentrations were measured following treatment of CT26 cells with increasing doses of (A) Terpyridine, (B) </w:t>
      </w:r>
      <w:proofErr w:type="spellStart"/>
      <w:r w:rsidRPr="00E354E3">
        <w:t>Physcion</w:t>
      </w:r>
      <w:proofErr w:type="spellEnd"/>
      <w:r w:rsidRPr="00E354E3">
        <w:t xml:space="preserve">, (C) Emodin, (D) Epigallocatechin gallate (EGCG), (E) Diethyldithiocarbamate (DDC), (F) Clioquinol, (G) </w:t>
      </w:r>
      <w:proofErr w:type="spellStart"/>
      <w:r w:rsidRPr="00E354E3">
        <w:t>Pyrithione</w:t>
      </w:r>
      <w:proofErr w:type="spellEnd"/>
      <w:r w:rsidRPr="00E354E3">
        <w:t>, and (H) 8-hydroxyquinoline (8-HQ). Data represent mean ± SD of technical replicates from representative experiments.</w:t>
      </w:r>
    </w:p>
    <w:p w14:paraId="720DE88F" w14:textId="77777777" w:rsidR="00E354E3" w:rsidRPr="00E354E3" w:rsidRDefault="00E354E3" w:rsidP="00E354E3">
      <w:pPr>
        <w:rPr>
          <w:color w:val="000000" w:themeColor="text1"/>
          <w:lang w:val="en-US"/>
        </w:rPr>
      </w:pPr>
    </w:p>
    <w:p w14:paraId="7CC28069" w14:textId="77777777" w:rsidR="00E354E3" w:rsidRPr="00E354E3" w:rsidRDefault="00E354E3" w:rsidP="00E354E3">
      <w:pPr>
        <w:rPr>
          <w:color w:val="000000" w:themeColor="text1"/>
          <w:lang w:val="en-US"/>
        </w:rPr>
      </w:pPr>
    </w:p>
    <w:p w14:paraId="454FD803" w14:textId="77777777" w:rsidR="00E354E3" w:rsidRPr="00E354E3" w:rsidRDefault="00E354E3" w:rsidP="00E354E3">
      <w:pPr>
        <w:rPr>
          <w:color w:val="000000" w:themeColor="text1"/>
          <w:lang w:val="en-US"/>
        </w:rPr>
      </w:pPr>
    </w:p>
    <w:p w14:paraId="11E9C85B" w14:textId="77777777" w:rsidR="00E354E3" w:rsidRPr="00E354E3" w:rsidRDefault="00E354E3" w:rsidP="00E354E3">
      <w:pPr>
        <w:rPr>
          <w:color w:val="000000" w:themeColor="text1"/>
        </w:rPr>
      </w:pPr>
    </w:p>
    <w:p w14:paraId="50B806C7" w14:textId="77777777" w:rsidR="00E354E3" w:rsidRPr="00E354E3" w:rsidRDefault="00E354E3" w:rsidP="00E354E3">
      <w:pPr>
        <w:rPr>
          <w:color w:val="000000" w:themeColor="text1"/>
          <w:lang w:val="en-US"/>
        </w:rPr>
      </w:pPr>
    </w:p>
    <w:p w14:paraId="3EE8D137" w14:textId="77777777" w:rsidR="00E354E3" w:rsidRPr="00E354E3" w:rsidRDefault="00E354E3" w:rsidP="00E354E3">
      <w:pPr>
        <w:rPr>
          <w:color w:val="000000" w:themeColor="text1"/>
        </w:rPr>
      </w:pPr>
      <w:r w:rsidRPr="00E354E3">
        <w:rPr>
          <w:noProof/>
          <w:color w:val="000000" w:themeColor="text1"/>
        </w:rPr>
        <w:lastRenderedPageBreak/>
        <w:drawing>
          <wp:inline distT="0" distB="0" distL="0" distR="0" wp14:anchorId="172BD1DE" wp14:editId="071EFAB5">
            <wp:extent cx="5943600" cy="3041650"/>
            <wp:effectExtent l="0" t="0" r="0" b="6350"/>
            <wp:docPr id="1914346803" name="Picture 1" descr="A graph of different types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46803" name="Picture 1" descr="A graph of different types of cells&#10;&#10;Description automatically generated with medium confidence"/>
                    <pic:cNvPicPr/>
                  </pic:nvPicPr>
                  <pic:blipFill>
                    <a:blip r:embed="rId5"/>
                    <a:stretch>
                      <a:fillRect/>
                    </a:stretch>
                  </pic:blipFill>
                  <pic:spPr>
                    <a:xfrm>
                      <a:off x="0" y="0"/>
                      <a:ext cx="5943600" cy="3041650"/>
                    </a:xfrm>
                    <a:prstGeom prst="rect">
                      <a:avLst/>
                    </a:prstGeom>
                  </pic:spPr>
                </pic:pic>
              </a:graphicData>
            </a:graphic>
          </wp:inline>
        </w:drawing>
      </w:r>
    </w:p>
    <w:p w14:paraId="7DBCEAEC" w14:textId="28CFA133" w:rsidR="00E354E3" w:rsidRPr="00E354E3" w:rsidRDefault="00E354E3" w:rsidP="00E354E3">
      <w:pPr>
        <w:rPr>
          <w:color w:val="000000"/>
        </w:rPr>
      </w:pPr>
      <w:r w:rsidRPr="00E354E3">
        <w:rPr>
          <w:rStyle w:val="Strong"/>
          <w:rFonts w:eastAsiaTheme="majorEastAsia"/>
          <w:color w:val="000000"/>
        </w:rPr>
        <w:t>Supplementary Figure 2</w:t>
      </w:r>
      <w:r w:rsidRPr="00E354E3">
        <w:rPr>
          <w:rStyle w:val="Strong"/>
          <w:rFonts w:eastAsiaTheme="majorEastAsia"/>
          <w:color w:val="000000"/>
        </w:rPr>
        <w:t>A</w:t>
      </w:r>
      <w:r w:rsidRPr="00E354E3">
        <w:rPr>
          <w:rStyle w:val="Strong"/>
          <w:rFonts w:eastAsiaTheme="majorEastAsia"/>
          <w:color w:val="000000"/>
        </w:rPr>
        <w:t>.</w:t>
      </w:r>
      <w:r w:rsidRPr="00E354E3">
        <w:rPr>
          <w:color w:val="000000"/>
        </w:rPr>
        <w:t xml:space="preserve"> </w:t>
      </w:r>
      <w:r w:rsidRPr="00E354E3">
        <w:rPr>
          <w:rStyle w:val="Strong"/>
          <w:rFonts w:eastAsiaTheme="majorEastAsia"/>
          <w:color w:val="000000"/>
        </w:rPr>
        <w:t>DAMP stimulation by classical copper ionophores.</w:t>
      </w:r>
      <w:r w:rsidRPr="00E354E3">
        <w:rPr>
          <w:color w:val="000000"/>
        </w:rPr>
        <w:br/>
        <w:t xml:space="preserve">Quantification of extracellular ATP, HMGB1 release, and cell surface calreticulin (CRT) in response to treatment with known copper ionophores (diethyldithiocarbamate, clioquinol, 8-hydroxyquinoline, and </w:t>
      </w:r>
      <w:proofErr w:type="spellStart"/>
      <w:r w:rsidRPr="00E354E3">
        <w:rPr>
          <w:color w:val="000000"/>
        </w:rPr>
        <w:t>pyrithione</w:t>
      </w:r>
      <w:proofErr w:type="spellEnd"/>
      <w:r w:rsidRPr="00E354E3">
        <w:rPr>
          <w:color w:val="000000"/>
        </w:rPr>
        <w:t>) in the presence or absence of copper (Cu). These results are integrated into the DAMP heatmap in Figure 2.</w:t>
      </w:r>
    </w:p>
    <w:p w14:paraId="4EBD663C" w14:textId="77777777" w:rsidR="00E354E3" w:rsidRPr="00E354E3" w:rsidRDefault="00E354E3" w:rsidP="00E354E3">
      <w:pPr>
        <w:rPr>
          <w:color w:val="000000"/>
        </w:rPr>
      </w:pPr>
    </w:p>
    <w:p w14:paraId="74B04577" w14:textId="77777777" w:rsidR="00E354E3" w:rsidRPr="00E354E3" w:rsidRDefault="00E354E3" w:rsidP="00E354E3">
      <w:pPr>
        <w:rPr>
          <w:color w:val="000000"/>
        </w:rPr>
      </w:pPr>
    </w:p>
    <w:p w14:paraId="43DBD25E" w14:textId="77777777" w:rsidR="00E354E3" w:rsidRPr="00E354E3" w:rsidRDefault="00E354E3" w:rsidP="00E354E3">
      <w:pPr>
        <w:rPr>
          <w:color w:val="000000"/>
        </w:rPr>
      </w:pPr>
    </w:p>
    <w:p w14:paraId="3165641D" w14:textId="77777777" w:rsidR="00E354E3" w:rsidRDefault="00E354E3" w:rsidP="00E354E3">
      <w:pPr>
        <w:rPr>
          <w:color w:val="000000"/>
        </w:rPr>
      </w:pPr>
    </w:p>
    <w:p w14:paraId="0545D002" w14:textId="77777777" w:rsidR="00E354E3" w:rsidRPr="00E354E3" w:rsidRDefault="00E354E3" w:rsidP="00E354E3">
      <w:pPr>
        <w:rPr>
          <w:color w:val="000000"/>
        </w:rPr>
      </w:pPr>
    </w:p>
    <w:p w14:paraId="38A9B6ED" w14:textId="77777777" w:rsidR="00E354E3" w:rsidRPr="00E354E3" w:rsidRDefault="00E354E3" w:rsidP="00E354E3">
      <w:pPr>
        <w:rPr>
          <w:color w:val="000000" w:themeColor="text1"/>
        </w:rPr>
      </w:pPr>
    </w:p>
    <w:p w14:paraId="04AF0B6B" w14:textId="77777777" w:rsidR="00E354E3" w:rsidRPr="00E354E3" w:rsidRDefault="00E354E3" w:rsidP="00E354E3">
      <w:pPr>
        <w:rPr>
          <w:color w:val="000000" w:themeColor="text1"/>
        </w:rPr>
      </w:pPr>
    </w:p>
    <w:p w14:paraId="4A55B294" w14:textId="77777777" w:rsidR="00E354E3" w:rsidRPr="00E354E3" w:rsidRDefault="00E354E3" w:rsidP="00E354E3">
      <w:pPr>
        <w:jc w:val="center"/>
        <w:rPr>
          <w:color w:val="000000" w:themeColor="text1"/>
        </w:rPr>
      </w:pPr>
      <w:r w:rsidRPr="00E354E3">
        <w:rPr>
          <w:noProof/>
          <w:color w:val="000000" w:themeColor="text1"/>
        </w:rPr>
        <w:lastRenderedPageBreak/>
        <w:drawing>
          <wp:inline distT="0" distB="0" distL="0" distR="0" wp14:anchorId="4A84A90D" wp14:editId="5E563382">
            <wp:extent cx="4554415" cy="3118022"/>
            <wp:effectExtent l="0" t="0" r="5080" b="6350"/>
            <wp:docPr id="451703872" name="Picture 1" descr="A graph of different types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03872" name="Picture 1" descr="A graph of different types of cells&#10;&#10;Description automatically generated with medium confidence"/>
                    <pic:cNvPicPr/>
                  </pic:nvPicPr>
                  <pic:blipFill>
                    <a:blip r:embed="rId6"/>
                    <a:stretch>
                      <a:fillRect/>
                    </a:stretch>
                  </pic:blipFill>
                  <pic:spPr>
                    <a:xfrm>
                      <a:off x="0" y="0"/>
                      <a:ext cx="4567487" cy="3126971"/>
                    </a:xfrm>
                    <a:prstGeom prst="rect">
                      <a:avLst/>
                    </a:prstGeom>
                  </pic:spPr>
                </pic:pic>
              </a:graphicData>
            </a:graphic>
          </wp:inline>
        </w:drawing>
      </w:r>
    </w:p>
    <w:p w14:paraId="54B0C622" w14:textId="4A15727C" w:rsidR="00E354E3" w:rsidRPr="00E354E3" w:rsidRDefault="00E354E3" w:rsidP="00E354E3">
      <w:pPr>
        <w:rPr>
          <w:color w:val="000000"/>
        </w:rPr>
      </w:pPr>
      <w:r w:rsidRPr="00E354E3">
        <w:rPr>
          <w:rStyle w:val="Strong"/>
          <w:rFonts w:eastAsiaTheme="majorEastAsia"/>
          <w:color w:val="000000"/>
        </w:rPr>
        <w:t xml:space="preserve">Supplementary Figure </w:t>
      </w:r>
      <w:r w:rsidRPr="00E354E3">
        <w:rPr>
          <w:rStyle w:val="Strong"/>
          <w:rFonts w:eastAsiaTheme="majorEastAsia"/>
          <w:color w:val="000000"/>
        </w:rPr>
        <w:t>2B</w:t>
      </w:r>
      <w:r w:rsidRPr="00E354E3">
        <w:rPr>
          <w:rStyle w:val="Strong"/>
          <w:rFonts w:eastAsiaTheme="majorEastAsia"/>
          <w:color w:val="000000"/>
        </w:rPr>
        <w:t>.</w:t>
      </w:r>
      <w:r w:rsidRPr="00E354E3">
        <w:rPr>
          <w:color w:val="000000"/>
        </w:rPr>
        <w:t xml:space="preserve"> </w:t>
      </w:r>
      <w:r w:rsidRPr="00E354E3">
        <w:rPr>
          <w:rStyle w:val="Strong"/>
          <w:rFonts w:eastAsiaTheme="majorEastAsia"/>
          <w:color w:val="000000"/>
        </w:rPr>
        <w:t>DAMP stimulation by terpyridine-based copper ionophores.</w:t>
      </w:r>
      <w:r w:rsidRPr="00E354E3">
        <w:rPr>
          <w:color w:val="000000"/>
        </w:rPr>
        <w:br/>
        <w:t>Quantification of extracellular ATP, HMGB1, and CRT in response to terpyridine and two structural analogs (CPT and TTBT) in the presence or absence of copper (Cu). These results are included in the DAMP heatmap in Figure 2.</w:t>
      </w:r>
    </w:p>
    <w:p w14:paraId="3945F95B" w14:textId="77777777" w:rsidR="00E354E3" w:rsidRPr="00E354E3" w:rsidRDefault="00E354E3" w:rsidP="00E354E3">
      <w:pPr>
        <w:rPr>
          <w:color w:val="000000"/>
        </w:rPr>
      </w:pPr>
    </w:p>
    <w:p w14:paraId="48E502C5" w14:textId="77777777" w:rsidR="00E354E3" w:rsidRPr="00E354E3" w:rsidRDefault="00E354E3" w:rsidP="00E354E3">
      <w:pPr>
        <w:rPr>
          <w:color w:val="000000"/>
        </w:rPr>
      </w:pPr>
    </w:p>
    <w:p w14:paraId="123C416D" w14:textId="77777777" w:rsidR="00E354E3" w:rsidRPr="00E354E3" w:rsidRDefault="00E354E3" w:rsidP="00E354E3">
      <w:pPr>
        <w:rPr>
          <w:color w:val="000000"/>
        </w:rPr>
      </w:pPr>
    </w:p>
    <w:p w14:paraId="13547503" w14:textId="77777777" w:rsidR="00E354E3" w:rsidRPr="00E354E3" w:rsidRDefault="00E354E3" w:rsidP="00E354E3">
      <w:pPr>
        <w:rPr>
          <w:color w:val="000000"/>
        </w:rPr>
      </w:pPr>
    </w:p>
    <w:p w14:paraId="37D079BC" w14:textId="77777777" w:rsidR="00E354E3" w:rsidRPr="00E354E3" w:rsidRDefault="00E354E3" w:rsidP="00E354E3">
      <w:pPr>
        <w:rPr>
          <w:color w:val="000000"/>
        </w:rPr>
      </w:pPr>
    </w:p>
    <w:p w14:paraId="0F5D87DE" w14:textId="77777777" w:rsidR="00E354E3" w:rsidRPr="00E354E3" w:rsidRDefault="00E354E3" w:rsidP="00E354E3">
      <w:pPr>
        <w:rPr>
          <w:color w:val="000000"/>
        </w:rPr>
      </w:pPr>
    </w:p>
    <w:p w14:paraId="27326BD2" w14:textId="77777777" w:rsidR="00E354E3" w:rsidRPr="00E354E3" w:rsidRDefault="00E354E3" w:rsidP="00E354E3">
      <w:pPr>
        <w:rPr>
          <w:color w:val="000000"/>
        </w:rPr>
      </w:pPr>
    </w:p>
    <w:p w14:paraId="5F465AB0" w14:textId="77777777" w:rsidR="00E354E3" w:rsidRPr="00E354E3" w:rsidRDefault="00E354E3" w:rsidP="00E354E3">
      <w:pPr>
        <w:rPr>
          <w:color w:val="000000"/>
        </w:rPr>
      </w:pPr>
    </w:p>
    <w:p w14:paraId="34BC2759" w14:textId="77777777" w:rsidR="00E354E3" w:rsidRPr="00E354E3" w:rsidRDefault="00E354E3" w:rsidP="00E354E3">
      <w:pPr>
        <w:rPr>
          <w:color w:val="000000"/>
        </w:rPr>
      </w:pPr>
    </w:p>
    <w:p w14:paraId="3D2BBBF6" w14:textId="77777777" w:rsidR="00E354E3" w:rsidRPr="00E354E3" w:rsidRDefault="00E354E3" w:rsidP="00E354E3">
      <w:pPr>
        <w:rPr>
          <w:color w:val="000000" w:themeColor="text1"/>
        </w:rPr>
      </w:pPr>
    </w:p>
    <w:p w14:paraId="1CADF58C" w14:textId="77777777" w:rsidR="00E354E3" w:rsidRPr="00E354E3" w:rsidRDefault="00E354E3" w:rsidP="00E354E3">
      <w:pPr>
        <w:jc w:val="center"/>
        <w:rPr>
          <w:color w:val="000000" w:themeColor="text1"/>
        </w:rPr>
      </w:pPr>
      <w:r w:rsidRPr="00E354E3">
        <w:rPr>
          <w:noProof/>
          <w:color w:val="000000" w:themeColor="text1"/>
        </w:rPr>
        <w:lastRenderedPageBreak/>
        <w:drawing>
          <wp:inline distT="0" distB="0" distL="0" distR="0" wp14:anchorId="2C02EFA0" wp14:editId="07AF8819">
            <wp:extent cx="4501662" cy="2973213"/>
            <wp:effectExtent l="0" t="0" r="0" b="0"/>
            <wp:docPr id="1073238303" name="Picture 1" descr="A graph of different types of phytophtho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8303" name="Picture 1" descr="A graph of different types of phytophthora&#10;&#10;Description automatically generated"/>
                    <pic:cNvPicPr/>
                  </pic:nvPicPr>
                  <pic:blipFill>
                    <a:blip r:embed="rId7"/>
                    <a:stretch>
                      <a:fillRect/>
                    </a:stretch>
                  </pic:blipFill>
                  <pic:spPr>
                    <a:xfrm>
                      <a:off x="0" y="0"/>
                      <a:ext cx="4511949" cy="2980007"/>
                    </a:xfrm>
                    <a:prstGeom prst="rect">
                      <a:avLst/>
                    </a:prstGeom>
                  </pic:spPr>
                </pic:pic>
              </a:graphicData>
            </a:graphic>
          </wp:inline>
        </w:drawing>
      </w:r>
    </w:p>
    <w:p w14:paraId="67F17EFC" w14:textId="5642EAEF" w:rsidR="000904C3" w:rsidRPr="00E354E3" w:rsidRDefault="00E354E3">
      <w:r w:rsidRPr="00E354E3">
        <w:rPr>
          <w:rStyle w:val="Strong"/>
          <w:rFonts w:eastAsiaTheme="majorEastAsia"/>
          <w:color w:val="000000"/>
        </w:rPr>
        <w:t xml:space="preserve">Supplementary Figure </w:t>
      </w:r>
      <w:r w:rsidR="00F73C90">
        <w:rPr>
          <w:rStyle w:val="Strong"/>
          <w:rFonts w:eastAsiaTheme="majorEastAsia"/>
          <w:color w:val="000000"/>
        </w:rPr>
        <w:t>2</w:t>
      </w:r>
      <w:r>
        <w:rPr>
          <w:rStyle w:val="Strong"/>
          <w:rFonts w:eastAsiaTheme="majorEastAsia"/>
          <w:color w:val="000000"/>
        </w:rPr>
        <w:t>C</w:t>
      </w:r>
      <w:r w:rsidRPr="00E354E3">
        <w:rPr>
          <w:rStyle w:val="Strong"/>
          <w:rFonts w:eastAsiaTheme="majorEastAsia"/>
          <w:color w:val="000000"/>
        </w:rPr>
        <w:t>.</w:t>
      </w:r>
      <w:r w:rsidRPr="00E354E3">
        <w:rPr>
          <w:color w:val="000000"/>
        </w:rPr>
        <w:t xml:space="preserve"> </w:t>
      </w:r>
      <w:r w:rsidRPr="00E354E3">
        <w:rPr>
          <w:rStyle w:val="Strong"/>
          <w:rFonts w:eastAsiaTheme="majorEastAsia"/>
          <w:color w:val="000000"/>
        </w:rPr>
        <w:t>DAMP stimulation by polyphenol copper ionophores.</w:t>
      </w:r>
      <w:r w:rsidRPr="00E354E3">
        <w:rPr>
          <w:color w:val="000000"/>
        </w:rPr>
        <w:br/>
        <w:t xml:space="preserve">Extracellular ATP, HMGB1, and CRT levels following treatment with the </w:t>
      </w:r>
      <w:proofErr w:type="gramStart"/>
      <w:r w:rsidRPr="00E354E3">
        <w:rPr>
          <w:color w:val="000000"/>
        </w:rPr>
        <w:t>polyphenols</w:t>
      </w:r>
      <w:proofErr w:type="gramEnd"/>
      <w:r w:rsidRPr="00E354E3">
        <w:rPr>
          <w:color w:val="000000"/>
        </w:rPr>
        <w:t xml:space="preserve"> epigallocatechin gallate, </w:t>
      </w:r>
      <w:proofErr w:type="spellStart"/>
      <w:r w:rsidRPr="00E354E3">
        <w:rPr>
          <w:color w:val="000000"/>
        </w:rPr>
        <w:t>physcion</w:t>
      </w:r>
      <w:proofErr w:type="spellEnd"/>
      <w:r w:rsidRPr="00E354E3">
        <w:rPr>
          <w:color w:val="000000"/>
        </w:rPr>
        <w:t>, and emodin, with or without Cu. These data are also integrated into the DAMP heatmap in Figure 2.</w:t>
      </w:r>
    </w:p>
    <w:sectPr w:rsidR="000904C3" w:rsidRPr="00E354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4E3"/>
    <w:rsid w:val="000904C3"/>
    <w:rsid w:val="004C368A"/>
    <w:rsid w:val="007F7A42"/>
    <w:rsid w:val="00E354E3"/>
    <w:rsid w:val="00ED3AE8"/>
    <w:rsid w:val="00F73C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6068995"/>
  <w15:chartTrackingRefBased/>
  <w15:docId w15:val="{240D0685-4F5E-D64E-8378-2CC4527F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4E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354E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354E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354E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354E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354E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354E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354E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354E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354E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5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5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5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5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5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4E3"/>
    <w:rPr>
      <w:rFonts w:eastAsiaTheme="majorEastAsia" w:cstheme="majorBidi"/>
      <w:color w:val="272727" w:themeColor="text1" w:themeTint="D8"/>
    </w:rPr>
  </w:style>
  <w:style w:type="paragraph" w:styleId="Title">
    <w:name w:val="Title"/>
    <w:basedOn w:val="Normal"/>
    <w:next w:val="Normal"/>
    <w:link w:val="TitleChar"/>
    <w:uiPriority w:val="10"/>
    <w:qFormat/>
    <w:rsid w:val="00E354E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35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4E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35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4E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354E3"/>
    <w:rPr>
      <w:i/>
      <w:iCs/>
      <w:color w:val="404040" w:themeColor="text1" w:themeTint="BF"/>
    </w:rPr>
  </w:style>
  <w:style w:type="paragraph" w:styleId="ListParagraph">
    <w:name w:val="List Paragraph"/>
    <w:basedOn w:val="Normal"/>
    <w:uiPriority w:val="34"/>
    <w:qFormat/>
    <w:rsid w:val="00E354E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E354E3"/>
    <w:rPr>
      <w:i/>
      <w:iCs/>
      <w:color w:val="0F4761" w:themeColor="accent1" w:themeShade="BF"/>
    </w:rPr>
  </w:style>
  <w:style w:type="paragraph" w:styleId="IntenseQuote">
    <w:name w:val="Intense Quote"/>
    <w:basedOn w:val="Normal"/>
    <w:next w:val="Normal"/>
    <w:link w:val="IntenseQuoteChar"/>
    <w:uiPriority w:val="30"/>
    <w:qFormat/>
    <w:rsid w:val="00E354E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354E3"/>
    <w:rPr>
      <w:i/>
      <w:iCs/>
      <w:color w:val="0F4761" w:themeColor="accent1" w:themeShade="BF"/>
    </w:rPr>
  </w:style>
  <w:style w:type="character" w:styleId="IntenseReference">
    <w:name w:val="Intense Reference"/>
    <w:basedOn w:val="DefaultParagraphFont"/>
    <w:uiPriority w:val="32"/>
    <w:qFormat/>
    <w:rsid w:val="00E354E3"/>
    <w:rPr>
      <w:b/>
      <w:bCs/>
      <w:smallCaps/>
      <w:color w:val="0F4761" w:themeColor="accent1" w:themeShade="BF"/>
      <w:spacing w:val="5"/>
    </w:rPr>
  </w:style>
  <w:style w:type="character" w:styleId="Strong">
    <w:name w:val="Strong"/>
    <w:basedOn w:val="DefaultParagraphFont"/>
    <w:uiPriority w:val="22"/>
    <w:qFormat/>
    <w:rsid w:val="00E354E3"/>
    <w:rPr>
      <w:b/>
      <w:bCs/>
    </w:rPr>
  </w:style>
  <w:style w:type="character" w:customStyle="1" w:styleId="apple-converted-space">
    <w:name w:val="apple-converted-space"/>
    <w:basedOn w:val="DefaultParagraphFont"/>
    <w:rsid w:val="00E354E3"/>
  </w:style>
  <w:style w:type="character" w:styleId="Emphasis">
    <w:name w:val="Emphasis"/>
    <w:basedOn w:val="DefaultParagraphFont"/>
    <w:uiPriority w:val="20"/>
    <w:qFormat/>
    <w:rsid w:val="00E354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Heroux, Devon</dc:creator>
  <cp:keywords/>
  <dc:description/>
  <cp:lastModifiedBy>Heroux, Devon</cp:lastModifiedBy>
  <cp:revision>2</cp:revision>
  <dcterms:created xsi:type="dcterms:W3CDTF">2025-08-07T20:54:00Z</dcterms:created>
  <dcterms:modified xsi:type="dcterms:W3CDTF">2025-08-07T21:04:00Z</dcterms:modified>
</cp:coreProperties>
</file>