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75AAF9" w14:textId="78798D91" w:rsidR="28E8D980" w:rsidRDefault="2BA5192D" w:rsidP="001407CA">
      <w:pPr>
        <w:pStyle w:val="Heading1"/>
        <w:spacing w:line="240" w:lineRule="auto"/>
      </w:pPr>
      <w:r w:rsidRPr="00101279">
        <w:rPr>
          <w:i/>
          <w:iCs/>
        </w:rPr>
        <w:t>Title</w:t>
      </w:r>
      <w:r>
        <w:t>: Using sentinel surveillance system data to characterize severe malaria illness and quality of malaria case management among hospitalized patients in Kenya, 2017-2024</w:t>
      </w:r>
    </w:p>
    <w:p w14:paraId="698ED90E" w14:textId="2EF5C812" w:rsidR="612E0E0C" w:rsidRDefault="612E0E0C" w:rsidP="001407CA">
      <w:pPr>
        <w:pStyle w:val="Heading1"/>
        <w:spacing w:line="480" w:lineRule="auto"/>
      </w:pPr>
    </w:p>
    <w:p w14:paraId="1365E135" w14:textId="6EC4D9DE" w:rsidR="00A61332" w:rsidRDefault="00A61332" w:rsidP="001407CA">
      <w:pPr>
        <w:spacing w:line="480" w:lineRule="auto"/>
      </w:pPr>
      <w:r w:rsidRPr="289CBE14">
        <w:rPr>
          <w:i/>
          <w:iCs/>
        </w:rPr>
        <w:t>Authors</w:t>
      </w:r>
      <w:r>
        <w:t>: Megumi Itoh</w:t>
      </w:r>
      <w:r w:rsidRPr="289CBE14">
        <w:rPr>
          <w:vertAlign w:val="superscript"/>
        </w:rPr>
        <w:t>1</w:t>
      </w:r>
      <w:r w:rsidR="00972D64">
        <w:rPr>
          <w:vertAlign w:val="superscript"/>
        </w:rPr>
        <w:t>,</w:t>
      </w:r>
      <w:r w:rsidRPr="289CBE14">
        <w:rPr>
          <w:vertAlign w:val="superscript"/>
        </w:rPr>
        <w:t>5</w:t>
      </w:r>
      <w:r>
        <w:t>, Naomi Lucchi</w:t>
      </w:r>
      <w:r w:rsidRPr="289CBE14">
        <w:rPr>
          <w:vertAlign w:val="superscript"/>
        </w:rPr>
        <w:t>2</w:t>
      </w:r>
      <w:r>
        <w:t>, Jonathan Schultz</w:t>
      </w:r>
      <w:r w:rsidRPr="289CBE14">
        <w:rPr>
          <w:vertAlign w:val="superscript"/>
        </w:rPr>
        <w:t>3</w:t>
      </w:r>
      <w:r>
        <w:t>, George O. Agogo</w:t>
      </w:r>
      <w:r w:rsidRPr="289CBE14">
        <w:rPr>
          <w:vertAlign w:val="superscript"/>
        </w:rPr>
        <w:t>2</w:t>
      </w:r>
      <w:r>
        <w:t>, Peninah Munyua</w:t>
      </w:r>
      <w:r w:rsidRPr="289CBE14">
        <w:rPr>
          <w:vertAlign w:val="superscript"/>
        </w:rPr>
        <w:t>2</w:t>
      </w:r>
      <w:r>
        <w:t>, Duncan Chege</w:t>
      </w:r>
      <w:r w:rsidRPr="289CBE14">
        <w:rPr>
          <w:vertAlign w:val="superscript"/>
        </w:rPr>
        <w:t>4</w:t>
      </w:r>
      <w:r>
        <w:t>, Doris Naitore Mwenda</w:t>
      </w:r>
      <w:r w:rsidRPr="289CBE14">
        <w:rPr>
          <w:vertAlign w:val="superscript"/>
        </w:rPr>
        <w:t>4</w:t>
      </w:r>
      <w:r>
        <w:t>, Steve Akoth</w:t>
      </w:r>
      <w:r w:rsidRPr="289CBE14">
        <w:rPr>
          <w:vertAlign w:val="superscript"/>
        </w:rPr>
        <w:t>4</w:t>
      </w:r>
      <w:r>
        <w:t>, Victor Sumbi</w:t>
      </w:r>
      <w:r w:rsidRPr="289CBE14">
        <w:rPr>
          <w:vertAlign w:val="superscript"/>
        </w:rPr>
        <w:t>5</w:t>
      </w:r>
      <w:r>
        <w:t>, Mildred Shieshia</w:t>
      </w:r>
      <w:r w:rsidRPr="289CBE14">
        <w:rPr>
          <w:vertAlign w:val="superscript"/>
        </w:rPr>
        <w:t>5</w:t>
      </w:r>
      <w:r>
        <w:t>, Regina Kandie</w:t>
      </w:r>
      <w:r w:rsidRPr="289CBE14">
        <w:rPr>
          <w:vertAlign w:val="superscript"/>
        </w:rPr>
        <w:t>6</w:t>
      </w:r>
      <w:r>
        <w:t>, Edwin Oluoch Onyango</w:t>
      </w:r>
      <w:r w:rsidRPr="289CBE14">
        <w:rPr>
          <w:vertAlign w:val="superscript"/>
        </w:rPr>
        <w:t>6</w:t>
      </w:r>
      <w:r>
        <w:t>, Jonas Z. Hines</w:t>
      </w:r>
      <w:r w:rsidRPr="289CBE14">
        <w:rPr>
          <w:vertAlign w:val="superscript"/>
        </w:rPr>
        <w:t>2</w:t>
      </w:r>
    </w:p>
    <w:p w14:paraId="467D7A9B" w14:textId="77777777" w:rsidR="00A61332" w:rsidRDefault="00A61332" w:rsidP="001407CA">
      <w:pPr>
        <w:spacing w:line="480" w:lineRule="auto"/>
      </w:pPr>
    </w:p>
    <w:p w14:paraId="56D569AB" w14:textId="77777777" w:rsidR="00A61332" w:rsidRDefault="00A61332" w:rsidP="001407CA">
      <w:pPr>
        <w:spacing w:line="480" w:lineRule="auto"/>
      </w:pPr>
      <w:r w:rsidRPr="00D0530C">
        <w:rPr>
          <w:i/>
          <w:iCs/>
        </w:rPr>
        <w:t>Affiliations</w:t>
      </w:r>
      <w:r>
        <w:t>:</w:t>
      </w:r>
    </w:p>
    <w:p w14:paraId="5443AB66" w14:textId="1C9EBDC3" w:rsidR="00A61332" w:rsidRDefault="00A61332" w:rsidP="001407CA">
      <w:pPr>
        <w:spacing w:line="480" w:lineRule="auto"/>
      </w:pPr>
      <w:r w:rsidRPr="289CBE14">
        <w:rPr>
          <w:vertAlign w:val="superscript"/>
        </w:rPr>
        <w:t xml:space="preserve">1 </w:t>
      </w:r>
      <w:r>
        <w:t>Malaria Branch, Division of Parasitic Diseases and Malaria, National Center for Emerging and Zoonotic Diseases,</w:t>
      </w:r>
      <w:r w:rsidRPr="00972D64">
        <w:t xml:space="preserve"> </w:t>
      </w:r>
      <w:r>
        <w:t>Centers for Disease Control and Prevention, Nairobi, Kenya</w:t>
      </w:r>
    </w:p>
    <w:p w14:paraId="43133F92" w14:textId="6C33D1C6" w:rsidR="00A61332" w:rsidRDefault="00A61332" w:rsidP="001407CA">
      <w:pPr>
        <w:spacing w:line="480" w:lineRule="auto"/>
      </w:pPr>
      <w:r w:rsidRPr="289CBE14">
        <w:rPr>
          <w:vertAlign w:val="superscript"/>
        </w:rPr>
        <w:t>2</w:t>
      </w:r>
      <w:r>
        <w:t xml:space="preserve"> Division of Global Health Protection, Global Health Center, Centers for Disease Control and Prevention, Nairobi, Kenya</w:t>
      </w:r>
    </w:p>
    <w:p w14:paraId="547AA3DF" w14:textId="77777777" w:rsidR="00A61332" w:rsidRDefault="00A61332" w:rsidP="001407CA">
      <w:pPr>
        <w:spacing w:line="480" w:lineRule="auto"/>
      </w:pPr>
      <w:r w:rsidRPr="289CBE14">
        <w:rPr>
          <w:vertAlign w:val="superscript"/>
        </w:rPr>
        <w:t>3</w:t>
      </w:r>
      <w:r>
        <w:t xml:space="preserve"> Malaria Branch, Division of Parasitic Diseases and Malaria, National Center for Emerging and Zoonotic Diseases, Centers for Disease Control and Prevention, Kisumu, Kenya</w:t>
      </w:r>
    </w:p>
    <w:p w14:paraId="7FED880F" w14:textId="77777777" w:rsidR="00A61332" w:rsidRDefault="00A61332" w:rsidP="001407CA">
      <w:pPr>
        <w:spacing w:line="480" w:lineRule="auto"/>
      </w:pPr>
      <w:r w:rsidRPr="289CBE14">
        <w:rPr>
          <w:vertAlign w:val="superscript"/>
        </w:rPr>
        <w:t>4</w:t>
      </w:r>
      <w:r>
        <w:t xml:space="preserve"> ICAP, Nairobi, Kenya</w:t>
      </w:r>
    </w:p>
    <w:p w14:paraId="5689B6C9" w14:textId="09B65532" w:rsidR="00A61332" w:rsidRDefault="00A61332" w:rsidP="001407CA">
      <w:pPr>
        <w:spacing w:line="480" w:lineRule="auto"/>
      </w:pPr>
      <w:r w:rsidRPr="289CBE14">
        <w:rPr>
          <w:vertAlign w:val="superscript"/>
        </w:rPr>
        <w:t>5</w:t>
      </w:r>
      <w:r>
        <w:t xml:space="preserve"> President’s Malaria Initiative, United States Agency for International Development, Nairobi Kenya</w:t>
      </w:r>
    </w:p>
    <w:p w14:paraId="7C36294A" w14:textId="1A77B1E3" w:rsidR="00A61332" w:rsidRDefault="00A61332" w:rsidP="001407CA">
      <w:pPr>
        <w:spacing w:line="480" w:lineRule="auto"/>
      </w:pPr>
      <w:r w:rsidRPr="289CBE14">
        <w:rPr>
          <w:vertAlign w:val="superscript"/>
        </w:rPr>
        <w:t>6</w:t>
      </w:r>
      <w:r>
        <w:t xml:space="preserve"> National Malaria Control Program, Kenya Ministry of Health</w:t>
      </w:r>
    </w:p>
    <w:p w14:paraId="3BA1A002" w14:textId="10F9D067" w:rsidR="004B6701" w:rsidRPr="002E568B" w:rsidRDefault="00A61332" w:rsidP="001407CA">
      <w:pPr>
        <w:spacing w:line="480" w:lineRule="auto"/>
      </w:pPr>
      <w:r w:rsidRPr="00D0530C">
        <w:rPr>
          <w:i/>
          <w:iCs/>
        </w:rPr>
        <w:t>Corresponding author</w:t>
      </w:r>
      <w:r>
        <w:t>: Megumi Itoh, MD (gvm8@cdc.gov)</w:t>
      </w:r>
    </w:p>
    <w:p w14:paraId="3D295263" w14:textId="5BC8CDC8" w:rsidR="00962F34" w:rsidRDefault="00553E19" w:rsidP="008C2B7E">
      <w:pPr>
        <w:pStyle w:val="Heading1"/>
        <w:spacing w:line="480" w:lineRule="auto"/>
      </w:pPr>
      <w:r>
        <w:lastRenderedPageBreak/>
        <w:t>Abstract</w:t>
      </w:r>
    </w:p>
    <w:p w14:paraId="128D14F7" w14:textId="4BCCB610" w:rsidR="004B6701" w:rsidRDefault="004B6701" w:rsidP="001407CA">
      <w:pPr>
        <w:spacing w:after="0" w:line="480" w:lineRule="auto"/>
      </w:pPr>
      <w:r>
        <w:t xml:space="preserve">Word count: </w:t>
      </w:r>
      <w:r w:rsidR="001E6FF0">
        <w:t>225</w:t>
      </w:r>
    </w:p>
    <w:p w14:paraId="373CCD53" w14:textId="77777777" w:rsidR="004B6701" w:rsidRPr="00962F34" w:rsidRDefault="004B6701" w:rsidP="001407CA">
      <w:pPr>
        <w:spacing w:after="0" w:line="480" w:lineRule="auto"/>
      </w:pPr>
    </w:p>
    <w:p w14:paraId="627DF680" w14:textId="45E91736" w:rsidR="5DE53123" w:rsidRDefault="5DE53123" w:rsidP="001407CA">
      <w:pPr>
        <w:spacing w:line="480" w:lineRule="auto"/>
        <w:rPr>
          <w:rFonts w:ascii="Arial" w:eastAsia="Arial" w:hAnsi="Arial" w:cs="Arial"/>
          <w:b/>
          <w:bCs/>
          <w:color w:val="000000" w:themeColor="text1"/>
        </w:rPr>
      </w:pPr>
      <w:r w:rsidRPr="275D6B32">
        <w:rPr>
          <w:i/>
          <w:iCs/>
        </w:rPr>
        <w:t>Keywords</w:t>
      </w:r>
      <w:r>
        <w:t>: Malaria</w:t>
      </w:r>
      <w:r w:rsidRPr="275D6B32">
        <w:rPr>
          <w:rFonts w:eastAsiaTheme="minorEastAsia"/>
        </w:rPr>
        <w:t>; Sentinel Surveillance; Quality of Health Care; Kenya; Africa</w:t>
      </w:r>
    </w:p>
    <w:p w14:paraId="6641325A" w14:textId="5E6544B0" w:rsidR="275D6B32" w:rsidRDefault="275D6B32" w:rsidP="001407CA">
      <w:pPr>
        <w:spacing w:after="0" w:line="480" w:lineRule="auto"/>
      </w:pPr>
    </w:p>
    <w:p w14:paraId="1CE1654F" w14:textId="157ED661" w:rsidR="006D270B" w:rsidRDefault="5DE53123" w:rsidP="001407CA">
      <w:pPr>
        <w:spacing w:after="0" w:line="480" w:lineRule="auto"/>
      </w:pPr>
      <w:r w:rsidRPr="275D6B32">
        <w:rPr>
          <w:b/>
          <w:bCs/>
        </w:rPr>
        <w:t>Background</w:t>
      </w:r>
      <w:r w:rsidR="00553E19">
        <w:t>:</w:t>
      </w:r>
      <w:r w:rsidR="00962F34">
        <w:t xml:space="preserve"> </w:t>
      </w:r>
      <w:r w:rsidR="00EA103E">
        <w:t xml:space="preserve"> </w:t>
      </w:r>
    </w:p>
    <w:p w14:paraId="3A311FFF" w14:textId="18D98814" w:rsidR="00A37B53" w:rsidRDefault="00A37B53" w:rsidP="001407CA">
      <w:pPr>
        <w:spacing w:after="0" w:line="480" w:lineRule="auto"/>
      </w:pPr>
      <w:r w:rsidRPr="00A37B53">
        <w:t>In Kenya, limited clinical data on hospitalized malaria patients restrict</w:t>
      </w:r>
      <w:r w:rsidR="00C11E41">
        <w:t>s</w:t>
      </w:r>
      <w:r w:rsidRPr="00A37B53">
        <w:t xml:space="preserve"> insights into disease severity and care quality. Using data from the Integrated Facility-based Surveillance (IFBS) system—a sentinel surveillance platform for febrile illnesses across twelve facilities—we assessed risk factors for severe illness and mortality, diagnostic accuracy of microscopy, and adherence to severe malaria treatment guidelines.</w:t>
      </w:r>
    </w:p>
    <w:p w14:paraId="13E350A5" w14:textId="77777777" w:rsidR="00E66CBC" w:rsidRDefault="00E66CBC" w:rsidP="001407CA">
      <w:pPr>
        <w:spacing w:after="0" w:line="480" w:lineRule="auto"/>
      </w:pPr>
    </w:p>
    <w:p w14:paraId="36498867" w14:textId="7AB058FA" w:rsidR="00C14D61" w:rsidRDefault="00553E19" w:rsidP="001407CA">
      <w:pPr>
        <w:spacing w:after="0" w:line="480" w:lineRule="auto"/>
      </w:pPr>
      <w:r w:rsidRPr="00F15DF6">
        <w:rPr>
          <w:b/>
          <w:bCs/>
        </w:rPr>
        <w:t>Methods:</w:t>
      </w:r>
      <w:r w:rsidR="00E66CBC" w:rsidRPr="00F15DF6">
        <w:rPr>
          <w:b/>
          <w:bCs/>
        </w:rPr>
        <w:t xml:space="preserve"> </w:t>
      </w:r>
      <w:r w:rsidR="00E66CBC" w:rsidRPr="00F15DF6">
        <w:rPr>
          <w:b/>
          <w:bCs/>
        </w:rPr>
        <w:br/>
      </w:r>
      <w:r w:rsidR="002D7F9F" w:rsidRPr="002D7F9F">
        <w:t xml:space="preserve">We analyzed IFBS data </w:t>
      </w:r>
      <w:r w:rsidR="0098786B">
        <w:t xml:space="preserve">obtained </w:t>
      </w:r>
      <w:r w:rsidR="002D7F9F" w:rsidRPr="002D7F9F">
        <w:t>from June 2017 to July 2024 using bivariable logistic regression to identify factors linked to severe illness and death</w:t>
      </w:r>
      <w:r w:rsidR="00B007AE">
        <w:t>s</w:t>
      </w:r>
      <w:r w:rsidR="002D7F9F" w:rsidRPr="002D7F9F">
        <w:t xml:space="preserve">. Microscopy results </w:t>
      </w:r>
      <w:r w:rsidR="006944EC">
        <w:t xml:space="preserve">were compared with PCR results </w:t>
      </w:r>
      <w:r w:rsidR="002D7F9F" w:rsidRPr="002D7F9F">
        <w:t xml:space="preserve">to assess diagnostic </w:t>
      </w:r>
      <w:r w:rsidR="006944EC">
        <w:t>co</w:t>
      </w:r>
      <w:r w:rsidR="00FB2664">
        <w:t>ncordance.</w:t>
      </w:r>
      <w:r w:rsidR="002D7F9F" w:rsidRPr="002D7F9F">
        <w:t xml:space="preserve"> We also evaluated whether patients received parasitological confirmation before treatment and if severe cases received IV artesunate followed by artemether-lumefantrine (AL), per standard guidelines.</w:t>
      </w:r>
    </w:p>
    <w:p w14:paraId="38586655" w14:textId="77777777" w:rsidR="002D7F9F" w:rsidRDefault="002D7F9F" w:rsidP="001407CA">
      <w:pPr>
        <w:spacing w:after="0" w:line="480" w:lineRule="auto"/>
      </w:pPr>
    </w:p>
    <w:p w14:paraId="4A846AF0" w14:textId="77777777" w:rsidR="009B4C59" w:rsidRDefault="00962F34" w:rsidP="001407CA">
      <w:pPr>
        <w:spacing w:after="0" w:line="480" w:lineRule="auto"/>
      </w:pPr>
      <w:r w:rsidRPr="00AE2706">
        <w:rPr>
          <w:b/>
          <w:bCs/>
        </w:rPr>
        <w:t>Results</w:t>
      </w:r>
      <w:r>
        <w:t>:</w:t>
      </w:r>
    </w:p>
    <w:p w14:paraId="40E03D98" w14:textId="368A728E" w:rsidR="002D7F9F" w:rsidRDefault="002D7F9F" w:rsidP="001407CA">
      <w:pPr>
        <w:spacing w:after="0" w:line="480" w:lineRule="auto"/>
      </w:pPr>
      <w:r>
        <w:t xml:space="preserve">Among 8,487 inpatients, 2,197 (25.9%) tested positive for malaria; </w:t>
      </w:r>
      <w:r w:rsidR="00A07618">
        <w:t xml:space="preserve">among malaria cases, </w:t>
      </w:r>
      <w:r>
        <w:t>713 (32.5%) had severe disease and 16 (0.7%) died. Severe illness and death</w:t>
      </w:r>
      <w:r w:rsidR="0012655D">
        <w:t>s</w:t>
      </w:r>
      <w:r>
        <w:t xml:space="preserve"> were associated with age under one year and delayed care-seeking. </w:t>
      </w:r>
      <w:r w:rsidR="484DDCBF">
        <w:t xml:space="preserve">Positive routine microscopy was PCR negative in 21% of patients. </w:t>
      </w:r>
      <w:r>
        <w:t xml:space="preserve">Only </w:t>
      </w:r>
      <w:r>
        <w:lastRenderedPageBreak/>
        <w:t xml:space="preserve">15% of severe cases </w:t>
      </w:r>
      <w:r w:rsidR="00DC6A8E">
        <w:t xml:space="preserve">were documented to have </w:t>
      </w:r>
      <w:r>
        <w:t>received both IV artesunate and AL, while 17% received IV quinine.</w:t>
      </w:r>
    </w:p>
    <w:p w14:paraId="26D25045" w14:textId="6E8D15F5" w:rsidR="004C3EFE" w:rsidRDefault="00962F34" w:rsidP="001407CA">
      <w:pPr>
        <w:spacing w:after="0" w:line="480" w:lineRule="auto"/>
      </w:pPr>
      <w:r>
        <w:br/>
      </w:r>
      <w:r w:rsidR="2049B676" w:rsidRPr="275D6B32">
        <w:rPr>
          <w:b/>
          <w:bCs/>
        </w:rPr>
        <w:t>Discussion</w:t>
      </w:r>
      <w:r>
        <w:t>:</w:t>
      </w:r>
      <w:r w:rsidR="004C3EFE">
        <w:t xml:space="preserve">  </w:t>
      </w:r>
    </w:p>
    <w:p w14:paraId="04259340" w14:textId="3E4BF509" w:rsidR="0090425B" w:rsidRDefault="00261BF4" w:rsidP="001407CA">
      <w:pPr>
        <w:spacing w:after="0" w:line="480" w:lineRule="auto"/>
      </w:pPr>
      <w:r>
        <w:t>Risk factors associated with</w:t>
      </w:r>
      <w:r w:rsidR="00F85A75">
        <w:t xml:space="preserve"> severe illness and mortality </w:t>
      </w:r>
      <w:r w:rsidR="0016617D">
        <w:t xml:space="preserve">included </w:t>
      </w:r>
      <w:r w:rsidR="00110A0F">
        <w:t xml:space="preserve">young age &lt;1 </w:t>
      </w:r>
      <w:r w:rsidR="0016617D">
        <w:t xml:space="preserve">as well as modifiable </w:t>
      </w:r>
      <w:r w:rsidR="00C036B5">
        <w:t xml:space="preserve">risk </w:t>
      </w:r>
      <w:r w:rsidR="00AE556B">
        <w:t>factors</w:t>
      </w:r>
      <w:r w:rsidR="00C036B5">
        <w:t xml:space="preserve"> that suggested delayed care seeking. </w:t>
      </w:r>
      <w:r w:rsidR="00BF2443">
        <w:t xml:space="preserve">Despite </w:t>
      </w:r>
      <w:r w:rsidR="00064B76">
        <w:t xml:space="preserve">IFBS </w:t>
      </w:r>
      <w:r w:rsidR="002D4232">
        <w:t xml:space="preserve">data </w:t>
      </w:r>
      <w:r w:rsidR="00BF2443">
        <w:t>reliance on chart reviews, findings reveal critical gaps in diagnostic accuracy and adherence to treatment protocols for severe malaria.</w:t>
      </w:r>
    </w:p>
    <w:p w14:paraId="5F933CF5" w14:textId="32501477" w:rsidR="275D6B32" w:rsidRDefault="275D6B32" w:rsidP="001407CA">
      <w:pPr>
        <w:spacing w:after="0" w:line="480" w:lineRule="auto"/>
      </w:pPr>
    </w:p>
    <w:p w14:paraId="7AD49219" w14:textId="6E61D073" w:rsidR="0090425B" w:rsidRDefault="5224DB52" w:rsidP="001407CA">
      <w:pPr>
        <w:spacing w:line="480" w:lineRule="auto"/>
        <w:rPr>
          <w:rFonts w:asciiTheme="majorHAnsi" w:eastAsiaTheme="majorEastAsia" w:hAnsiTheme="majorHAnsi" w:cstheme="majorBidi"/>
          <w:color w:val="2F5496" w:themeColor="accent1" w:themeShade="BF"/>
          <w:sz w:val="32"/>
          <w:szCs w:val="32"/>
        </w:rPr>
      </w:pPr>
      <w:r w:rsidRPr="275D6B32">
        <w:rPr>
          <w:b/>
          <w:bCs/>
        </w:rPr>
        <w:t xml:space="preserve">Trial registration:  </w:t>
      </w:r>
      <w:r>
        <w:t>N/A</w:t>
      </w:r>
    </w:p>
    <w:p w14:paraId="60F62542" w14:textId="55925B6F" w:rsidR="275D6B32" w:rsidRDefault="275D6B32" w:rsidP="001407CA">
      <w:pPr>
        <w:spacing w:line="480" w:lineRule="auto"/>
      </w:pPr>
    </w:p>
    <w:p w14:paraId="0C4535EE" w14:textId="77777777" w:rsidR="00492868" w:rsidRDefault="00492868" w:rsidP="002B515C"/>
    <w:p w14:paraId="74AE70BF" w14:textId="77777777" w:rsidR="002B515C" w:rsidRDefault="002B515C" w:rsidP="002B515C"/>
    <w:p w14:paraId="546F7A17" w14:textId="77777777" w:rsidR="002B515C" w:rsidRDefault="002B515C" w:rsidP="002B515C"/>
    <w:p w14:paraId="45C2E454" w14:textId="77777777" w:rsidR="002B515C" w:rsidRDefault="002B515C" w:rsidP="002B515C"/>
    <w:p w14:paraId="2324E08F" w14:textId="77777777" w:rsidR="002B515C" w:rsidRDefault="002B515C" w:rsidP="002B515C"/>
    <w:p w14:paraId="03292CBA" w14:textId="77777777" w:rsidR="002B515C" w:rsidRDefault="002B515C" w:rsidP="002B515C"/>
    <w:p w14:paraId="4C1B0C0E" w14:textId="77777777" w:rsidR="002B515C" w:rsidRDefault="002B515C" w:rsidP="002B515C"/>
    <w:p w14:paraId="631AC1EF" w14:textId="77777777" w:rsidR="002B515C" w:rsidRDefault="002B515C" w:rsidP="002B515C"/>
    <w:p w14:paraId="4772559A" w14:textId="77777777" w:rsidR="002B515C" w:rsidRDefault="002B515C" w:rsidP="002B515C"/>
    <w:p w14:paraId="6B95DF3A" w14:textId="77777777" w:rsidR="002B515C" w:rsidRDefault="002B515C" w:rsidP="002B515C"/>
    <w:p w14:paraId="1FB59607" w14:textId="77777777" w:rsidR="002B515C" w:rsidRDefault="002B515C" w:rsidP="002B515C"/>
    <w:p w14:paraId="45E634BE" w14:textId="77777777" w:rsidR="002B515C" w:rsidRDefault="002B515C" w:rsidP="002B515C"/>
    <w:p w14:paraId="7F3A735F" w14:textId="77777777" w:rsidR="002B515C" w:rsidRDefault="002B515C" w:rsidP="002B515C"/>
    <w:p w14:paraId="6DB25999" w14:textId="2ADCAEA4" w:rsidR="00784356" w:rsidRPr="00784356" w:rsidRDefault="00784356" w:rsidP="001407CA">
      <w:pPr>
        <w:pStyle w:val="Heading1"/>
        <w:spacing w:line="480" w:lineRule="auto"/>
      </w:pPr>
      <w:r w:rsidRPr="00784356">
        <w:lastRenderedPageBreak/>
        <w:t>Introduction</w:t>
      </w:r>
    </w:p>
    <w:p w14:paraId="3EE9D0E3" w14:textId="1F0AB4DD" w:rsidR="00176DFE" w:rsidRDefault="00844D3A" w:rsidP="001407CA">
      <w:pPr>
        <w:pStyle w:val="NoSpacing"/>
        <w:spacing w:line="480" w:lineRule="auto"/>
        <w:ind w:firstLine="720"/>
      </w:pPr>
      <w:r>
        <w:t>I</w:t>
      </w:r>
      <w:r w:rsidR="009424BB">
        <w:t>nvestments</w:t>
      </w:r>
      <w:r w:rsidR="00FF6969">
        <w:t xml:space="preserve"> in</w:t>
      </w:r>
      <w:r w:rsidR="0099146F">
        <w:t xml:space="preserve"> malaria control measures</w:t>
      </w:r>
      <w:r w:rsidR="00FF5CBB">
        <w:t xml:space="preserve"> — </w:t>
      </w:r>
      <w:r w:rsidR="0099146F">
        <w:t xml:space="preserve">such as </w:t>
      </w:r>
      <w:r w:rsidR="00FD652F">
        <w:t xml:space="preserve">broader </w:t>
      </w:r>
      <w:r w:rsidR="006F0EB6">
        <w:t xml:space="preserve">coverage and </w:t>
      </w:r>
      <w:r w:rsidR="00EA7508">
        <w:t xml:space="preserve">implementation of </w:t>
      </w:r>
      <w:r w:rsidR="00FF6969">
        <w:t xml:space="preserve">effective </w:t>
      </w:r>
      <w:r w:rsidR="00EA7508">
        <w:t xml:space="preserve">vector control </w:t>
      </w:r>
      <w:r w:rsidR="0099146F">
        <w:t>activities</w:t>
      </w:r>
      <w:r w:rsidR="00EA7508">
        <w:t xml:space="preserve"> and increased </w:t>
      </w:r>
      <w:r w:rsidR="00D4268F">
        <w:t xml:space="preserve">access </w:t>
      </w:r>
      <w:r w:rsidR="00891762">
        <w:t>to</w:t>
      </w:r>
      <w:r w:rsidR="00EA7508">
        <w:t xml:space="preserve"> effective malaria case </w:t>
      </w:r>
      <w:r w:rsidR="00FF5CBB">
        <w:t>management — ha</w:t>
      </w:r>
      <w:r w:rsidR="00FF6969">
        <w:t>ve</w:t>
      </w:r>
      <w:r w:rsidR="00FF5CBB">
        <w:t xml:space="preserve"> </w:t>
      </w:r>
      <w:r w:rsidR="00AD6CA0">
        <w:t>led to</w:t>
      </w:r>
      <w:r w:rsidR="00C04003">
        <w:t xml:space="preserve"> marked reduction in malaria </w:t>
      </w:r>
      <w:r w:rsidR="00EA7508">
        <w:t xml:space="preserve">prevalence among </w:t>
      </w:r>
      <w:r w:rsidR="00C04003">
        <w:t xml:space="preserve">children under 5 </w:t>
      </w:r>
      <w:r w:rsidR="00133E1A">
        <w:t>yea</w:t>
      </w:r>
      <w:r w:rsidR="00030EAD">
        <w:t xml:space="preserve">rs old in Kenya, decreasing </w:t>
      </w:r>
      <w:r w:rsidR="00EA7508">
        <w:t xml:space="preserve">from 11% nationally in 2010 </w:t>
      </w:r>
      <w:r w:rsidR="00EF6F36" w:rsidRPr="00EF6F36">
        <w:rPr>
          <w:vertAlign w:val="superscript"/>
        </w:rPr>
        <w:t>1</w:t>
      </w:r>
      <w:r w:rsidR="000C093C">
        <w:t xml:space="preserve"> t</w:t>
      </w:r>
      <w:r w:rsidR="00EA7508">
        <w:t>o 6% in 2020</w:t>
      </w:r>
      <w:r w:rsidR="00AD6CA0">
        <w:t>.</w:t>
      </w:r>
      <w:r w:rsidR="004A07C7" w:rsidRPr="004A07C7">
        <w:rPr>
          <w:vertAlign w:val="superscript"/>
        </w:rPr>
        <w:t>2</w:t>
      </w:r>
      <w:r w:rsidR="00AD6CA0">
        <w:t xml:space="preserve"> </w:t>
      </w:r>
      <w:r w:rsidR="0023639C" w:rsidRPr="00245F56">
        <w:t xml:space="preserve">Kenya has </w:t>
      </w:r>
      <w:r w:rsidR="00F31C2C" w:rsidRPr="00245F56">
        <w:t xml:space="preserve">heterogenous </w:t>
      </w:r>
      <w:r w:rsidR="00F333C0">
        <w:t xml:space="preserve">malaria </w:t>
      </w:r>
      <w:r w:rsidR="00F31C2C" w:rsidRPr="00245F56">
        <w:t>epidemiolog</w:t>
      </w:r>
      <w:r w:rsidR="00F333C0">
        <w:t>y</w:t>
      </w:r>
      <w:r w:rsidR="00F31C2C" w:rsidRPr="00245F56">
        <w:t xml:space="preserve">, </w:t>
      </w:r>
      <w:r w:rsidR="00914393" w:rsidRPr="00245F56">
        <w:t xml:space="preserve">with prevalence rates ranging from </w:t>
      </w:r>
      <w:r w:rsidR="001F1312" w:rsidRPr="00245F56">
        <w:t>&lt;1</w:t>
      </w:r>
      <w:r w:rsidR="00914393" w:rsidRPr="00245F56">
        <w:t xml:space="preserve">% in the low-risk epidemic zone to </w:t>
      </w:r>
      <w:r w:rsidR="001F1312" w:rsidRPr="00245F56">
        <w:t>19</w:t>
      </w:r>
      <w:r w:rsidR="00914393" w:rsidRPr="00245F56">
        <w:t>% in the lake endemic zone.</w:t>
      </w:r>
      <w:r w:rsidR="00EF6F36" w:rsidRPr="00EF6F36">
        <w:rPr>
          <w:vertAlign w:val="superscript"/>
        </w:rPr>
        <w:t>2</w:t>
      </w:r>
      <w:r w:rsidR="00914393">
        <w:t xml:space="preserve"> </w:t>
      </w:r>
    </w:p>
    <w:p w14:paraId="7820BEF5" w14:textId="53E5FC98" w:rsidR="00441A6C" w:rsidRDefault="00F457ED" w:rsidP="001407CA">
      <w:pPr>
        <w:pStyle w:val="NoSpacing"/>
        <w:spacing w:line="480" w:lineRule="auto"/>
        <w:ind w:firstLine="720"/>
      </w:pPr>
      <w:r>
        <w:t xml:space="preserve"> </w:t>
      </w:r>
      <w:r w:rsidR="00535BF6">
        <w:t>Advancements</w:t>
      </w:r>
      <w:r w:rsidR="00DC719C">
        <w:t xml:space="preserve"> in malaria </w:t>
      </w:r>
      <w:r w:rsidR="7825BBAF">
        <w:t>surveillance</w:t>
      </w:r>
      <w:r w:rsidR="00DC719C">
        <w:t xml:space="preserve"> ha</w:t>
      </w:r>
      <w:r w:rsidR="00EB2609">
        <w:t>ve</w:t>
      </w:r>
      <w:r w:rsidR="00DC719C">
        <w:t xml:space="preserve"> </w:t>
      </w:r>
      <w:r w:rsidR="00030EAD">
        <w:t xml:space="preserve">also </w:t>
      </w:r>
      <w:r w:rsidR="00DC719C">
        <w:t xml:space="preserve">resulted in </w:t>
      </w:r>
      <w:r w:rsidR="00535BF6">
        <w:t>improved data capture</w:t>
      </w:r>
      <w:r w:rsidR="0012655D">
        <w:t xml:space="preserve"> and use</w:t>
      </w:r>
      <w:r w:rsidR="00EA7508">
        <w:t xml:space="preserve">, </w:t>
      </w:r>
      <w:r w:rsidR="00030EAD">
        <w:t>with</w:t>
      </w:r>
      <w:r w:rsidR="00EA7508">
        <w:t xml:space="preserve"> t</w:t>
      </w:r>
      <w:r w:rsidR="00784356">
        <w:t xml:space="preserve">he quality and </w:t>
      </w:r>
      <w:r w:rsidR="008260E4">
        <w:t>availability</w:t>
      </w:r>
      <w:r w:rsidR="00784356">
        <w:t xml:space="preserve"> of routine malaria data steadily improv</w:t>
      </w:r>
      <w:r w:rsidR="006A7364">
        <w:t>ing</w:t>
      </w:r>
      <w:r w:rsidR="00784356">
        <w:t xml:space="preserve"> over the </w:t>
      </w:r>
      <w:r w:rsidR="006A7364">
        <w:t>p</w:t>
      </w:r>
      <w:r w:rsidR="00784356">
        <w:t xml:space="preserve">ast </w:t>
      </w:r>
      <w:r w:rsidR="002F5072">
        <w:t>several</w:t>
      </w:r>
      <w:r w:rsidR="00784356">
        <w:t xml:space="preserve"> years</w:t>
      </w:r>
      <w:r w:rsidR="00D32C51">
        <w:t xml:space="preserve">. </w:t>
      </w:r>
      <w:r w:rsidR="00EA7508">
        <w:t xml:space="preserve">However, </w:t>
      </w:r>
      <w:r w:rsidR="006A7364">
        <w:t xml:space="preserve">routine </w:t>
      </w:r>
      <w:r w:rsidR="00EA7508">
        <w:t xml:space="preserve">data </w:t>
      </w:r>
      <w:r w:rsidR="006A7364">
        <w:t>remain</w:t>
      </w:r>
      <w:r w:rsidR="000A46B6">
        <w:t xml:space="preserve"> primarily</w:t>
      </w:r>
      <w:r w:rsidR="006A7364">
        <w:t xml:space="preserve"> focused</w:t>
      </w:r>
      <w:r w:rsidR="000A46B6">
        <w:t xml:space="preserve"> </w:t>
      </w:r>
      <w:r w:rsidR="0013364B">
        <w:t xml:space="preserve">on </w:t>
      </w:r>
      <w:r w:rsidR="000A46B6">
        <w:t xml:space="preserve">the outpatient setting, </w:t>
      </w:r>
      <w:r w:rsidR="00FB0256">
        <w:t xml:space="preserve">emphasizing </w:t>
      </w:r>
      <w:r w:rsidR="001D0103">
        <w:t xml:space="preserve">the </w:t>
      </w:r>
      <w:r w:rsidR="00C36ED7">
        <w:t>treatment cascade</w:t>
      </w:r>
      <w:r w:rsidR="009A225F">
        <w:t xml:space="preserve"> of uncomplicated malaria</w:t>
      </w:r>
      <w:r w:rsidR="00FB0256">
        <w:t xml:space="preserve"> – </w:t>
      </w:r>
      <w:r w:rsidR="00C36ED7">
        <w:t xml:space="preserve">from </w:t>
      </w:r>
      <w:r w:rsidR="000A46B6">
        <w:t>testing</w:t>
      </w:r>
      <w:r w:rsidR="00FB0256">
        <w:t xml:space="preserve"> </w:t>
      </w:r>
      <w:r w:rsidR="000A46B6">
        <w:t xml:space="preserve">suspected febrile cases </w:t>
      </w:r>
      <w:r w:rsidR="00FB0256">
        <w:t>to</w:t>
      </w:r>
      <w:r w:rsidR="000A46B6">
        <w:t xml:space="preserve"> treatment of those </w:t>
      </w:r>
      <w:r w:rsidR="00FB0256">
        <w:t>with a</w:t>
      </w:r>
      <w:r w:rsidR="000A46B6">
        <w:t xml:space="preserve"> </w:t>
      </w:r>
      <w:r w:rsidR="00AD327A">
        <w:t>parasitological diagnosis</w:t>
      </w:r>
      <w:r w:rsidR="002C6B53">
        <w:t xml:space="preserve"> of</w:t>
      </w:r>
      <w:r w:rsidR="00AD327A">
        <w:t xml:space="preserve"> </w:t>
      </w:r>
      <w:r w:rsidR="000A46B6">
        <w:t>malaria</w:t>
      </w:r>
      <w:r w:rsidR="00D32C51">
        <w:t xml:space="preserve">. </w:t>
      </w:r>
      <w:r w:rsidR="007F1C19">
        <w:t>Despite increased</w:t>
      </w:r>
      <w:r w:rsidR="00597716">
        <w:t xml:space="preserve"> efforts to</w:t>
      </w:r>
      <w:r w:rsidR="007F1C19">
        <w:t xml:space="preserve"> enhance</w:t>
      </w:r>
      <w:r w:rsidR="00597716">
        <w:t xml:space="preserve"> data capture in the inpatient setting</w:t>
      </w:r>
      <w:r w:rsidR="007F1C19">
        <w:t>, information on patients hospitalized with malaria</w:t>
      </w:r>
      <w:r w:rsidR="00D403E6">
        <w:t xml:space="preserve"> in Kenya </w:t>
      </w:r>
      <w:r w:rsidR="004F2CB9">
        <w:t xml:space="preserve">and more broadly in Africa </w:t>
      </w:r>
      <w:r w:rsidR="00D403E6">
        <w:t>remain</w:t>
      </w:r>
      <w:r w:rsidR="000A46B6">
        <w:t xml:space="preserve"> </w:t>
      </w:r>
      <w:r w:rsidR="00F4358D">
        <w:t xml:space="preserve">sparse </w:t>
      </w:r>
      <w:r w:rsidR="004B7AA2">
        <w:t>and incomplete</w:t>
      </w:r>
      <w:r w:rsidR="00D403E6">
        <w:t>.</w:t>
      </w:r>
      <w:r w:rsidR="004B7AA2">
        <w:t xml:space="preserve"> </w:t>
      </w:r>
      <w:r w:rsidR="00D403E6">
        <w:t>Data on</w:t>
      </w:r>
      <w:r w:rsidR="000A46B6">
        <w:t xml:space="preserve"> clinical presentation</w:t>
      </w:r>
      <w:r w:rsidR="00D403E6">
        <w:t>,</w:t>
      </w:r>
      <w:r w:rsidR="000A46B6">
        <w:t xml:space="preserve"> </w:t>
      </w:r>
      <w:r w:rsidR="4F95791D">
        <w:t xml:space="preserve">treatments provided and clinical </w:t>
      </w:r>
      <w:r w:rsidR="000A46B6">
        <w:t>outcom</w:t>
      </w:r>
      <w:r w:rsidR="00EA7508">
        <w:t>e</w:t>
      </w:r>
      <w:r w:rsidR="00D403E6">
        <w:t>s</w:t>
      </w:r>
      <w:r w:rsidR="00270C10">
        <w:t xml:space="preserve"> </w:t>
      </w:r>
      <w:r w:rsidR="7D38E4C9">
        <w:t>among</w:t>
      </w:r>
      <w:r w:rsidR="191A1749">
        <w:t xml:space="preserve"> </w:t>
      </w:r>
      <w:r w:rsidR="1E695D45">
        <w:t xml:space="preserve">admitted </w:t>
      </w:r>
      <w:r w:rsidR="191A1749">
        <w:t xml:space="preserve">patients with malaria </w:t>
      </w:r>
      <w:r w:rsidR="00441A6C">
        <w:t>are limited</w:t>
      </w:r>
      <w:r w:rsidR="00D32C51">
        <w:t>.</w:t>
      </w:r>
      <w:r w:rsidR="00142237">
        <w:t xml:space="preserve"> </w:t>
      </w:r>
    </w:p>
    <w:p w14:paraId="5C19A8A0" w14:textId="018B10E2" w:rsidR="00EA7508" w:rsidRDefault="00142237" w:rsidP="001407CA">
      <w:pPr>
        <w:pStyle w:val="NoSpacing"/>
        <w:spacing w:line="480" w:lineRule="auto"/>
        <w:ind w:firstLine="720"/>
      </w:pPr>
      <w:r>
        <w:t xml:space="preserve">The only </w:t>
      </w:r>
      <w:r w:rsidR="00441A6C">
        <w:t>routinely reported</w:t>
      </w:r>
      <w:r w:rsidR="33BAB10B">
        <w:t xml:space="preserve"> malaria</w:t>
      </w:r>
      <w:r w:rsidR="00441A6C">
        <w:t xml:space="preserve"> </w:t>
      </w:r>
      <w:r>
        <w:t>indicator</w:t>
      </w:r>
      <w:r w:rsidR="00B75AFF">
        <w:t xml:space="preserve"> </w:t>
      </w:r>
      <w:r w:rsidR="1C973D9E">
        <w:t>on</w:t>
      </w:r>
      <w:r w:rsidR="00B75AFF">
        <w:t xml:space="preserve"> malaria-related hospitalization</w:t>
      </w:r>
      <w:r w:rsidR="70D7912B">
        <w:t>s</w:t>
      </w:r>
      <w:r>
        <w:t xml:space="preserve"> </w:t>
      </w:r>
      <w:r w:rsidR="5B5CDDB6">
        <w:t xml:space="preserve">in Kenya </w:t>
      </w:r>
      <w:r>
        <w:t xml:space="preserve">is the </w:t>
      </w:r>
      <w:r w:rsidR="00306E6E">
        <w:t>case fatality rate</w:t>
      </w:r>
      <w:r w:rsidR="0004416C">
        <w:t>,</w:t>
      </w:r>
      <w:r>
        <w:t xml:space="preserve"> calculated by dividing the </w:t>
      </w:r>
      <w:r w:rsidR="009174AF">
        <w:t>total number of malaria</w:t>
      </w:r>
      <w:r w:rsidR="00441A6C">
        <w:t xml:space="preserve">-related deaths in </w:t>
      </w:r>
      <w:r w:rsidR="009174AF">
        <w:t>health facilities</w:t>
      </w:r>
      <w:r w:rsidR="00E137A6">
        <w:t xml:space="preserve"> that offer inpatient services</w:t>
      </w:r>
      <w:r w:rsidR="009174AF">
        <w:t xml:space="preserve"> by the total number of malaria </w:t>
      </w:r>
      <w:r w:rsidR="006F09B0">
        <w:t>admissions. T</w:t>
      </w:r>
      <w:r w:rsidR="0051760D">
        <w:t xml:space="preserve">his indicator has </w:t>
      </w:r>
      <w:r w:rsidR="00AC4E88">
        <w:t xml:space="preserve">significant </w:t>
      </w:r>
      <w:r w:rsidR="0051760D">
        <w:t xml:space="preserve">limitations </w:t>
      </w:r>
      <w:r w:rsidR="006F09B0">
        <w:t xml:space="preserve">due to </w:t>
      </w:r>
      <w:r w:rsidR="0051760D">
        <w:t>incomplete data capture of</w:t>
      </w:r>
      <w:r w:rsidR="00AE1DFA">
        <w:t xml:space="preserve"> admission</w:t>
      </w:r>
      <w:r w:rsidR="7AF483E9">
        <w:t>s</w:t>
      </w:r>
      <w:r w:rsidR="00AE1DFA">
        <w:t xml:space="preserve"> and discharge diagnos</w:t>
      </w:r>
      <w:r w:rsidR="00F94492">
        <w:t>e</w:t>
      </w:r>
      <w:r w:rsidR="00AE1DFA">
        <w:t xml:space="preserve">s </w:t>
      </w:r>
      <w:r w:rsidR="0051760D">
        <w:t xml:space="preserve">in the inpatient setting. </w:t>
      </w:r>
      <w:r w:rsidR="00AE1DFA">
        <w:t>As a result, a</w:t>
      </w:r>
      <w:r w:rsidR="00306E6E">
        <w:t xml:space="preserve"> detailed </w:t>
      </w:r>
      <w:r w:rsidR="002B2F4E">
        <w:t xml:space="preserve">clinical </w:t>
      </w:r>
      <w:r w:rsidR="00306E6E">
        <w:t>picture</w:t>
      </w:r>
      <w:r w:rsidR="00B22E7F">
        <w:t xml:space="preserve"> </w:t>
      </w:r>
      <w:r w:rsidR="00306E6E">
        <w:t>o</w:t>
      </w:r>
      <w:r w:rsidR="00B22E7F">
        <w:t>f</w:t>
      </w:r>
      <w:r w:rsidR="00306E6E">
        <w:t xml:space="preserve"> hospitalized malaria </w:t>
      </w:r>
      <w:r w:rsidR="00AE1DFA">
        <w:t xml:space="preserve">patients, including </w:t>
      </w:r>
      <w:r w:rsidR="00306E6E">
        <w:t>their risk factors for severe presentation</w:t>
      </w:r>
      <w:r w:rsidR="004C0760">
        <w:t>s</w:t>
      </w:r>
      <w:r w:rsidR="00306E6E">
        <w:t xml:space="preserve"> and </w:t>
      </w:r>
      <w:r w:rsidR="004C0760">
        <w:t>mortality</w:t>
      </w:r>
      <w:r w:rsidR="00306E6E">
        <w:t xml:space="preserve">, cannot be </w:t>
      </w:r>
      <w:r w:rsidR="004C0760">
        <w:t xml:space="preserve">derived </w:t>
      </w:r>
      <w:r w:rsidR="00306E6E">
        <w:t>from routinely</w:t>
      </w:r>
      <w:r w:rsidR="004C0760">
        <w:t xml:space="preserve"> </w:t>
      </w:r>
      <w:r w:rsidR="00306E6E">
        <w:t xml:space="preserve">collected </w:t>
      </w:r>
      <w:r w:rsidR="0D65CEA9">
        <w:t xml:space="preserve">malaria surveillance </w:t>
      </w:r>
      <w:r w:rsidR="00306E6E">
        <w:t>data</w:t>
      </w:r>
      <w:r w:rsidR="00740971">
        <w:t>.</w:t>
      </w:r>
      <w:r w:rsidR="00604A34">
        <w:t xml:space="preserve">  Such </w:t>
      </w:r>
      <w:r w:rsidR="004C0760">
        <w:t xml:space="preserve">comprehensive </w:t>
      </w:r>
      <w:r w:rsidR="00604A34">
        <w:t xml:space="preserve">data </w:t>
      </w:r>
      <w:r w:rsidR="004C0760">
        <w:t xml:space="preserve">are typically obtained only through </w:t>
      </w:r>
      <w:r w:rsidR="00B64D74">
        <w:t xml:space="preserve">research studies </w:t>
      </w:r>
      <w:r w:rsidR="3B26B662">
        <w:t xml:space="preserve">or enhanced surveillance activities </w:t>
      </w:r>
      <w:r w:rsidR="004C0760">
        <w:t xml:space="preserve">conducted at a limited number of </w:t>
      </w:r>
      <w:r w:rsidR="41CE74BB">
        <w:t xml:space="preserve">health </w:t>
      </w:r>
      <w:r w:rsidR="004C0760">
        <w:t>facilities.</w:t>
      </w:r>
    </w:p>
    <w:p w14:paraId="4787FC84" w14:textId="15580ABE" w:rsidR="00112286" w:rsidRDefault="34E4C843" w:rsidP="001407CA">
      <w:pPr>
        <w:pStyle w:val="NoSpacing"/>
        <w:spacing w:before="240" w:line="480" w:lineRule="auto"/>
        <w:ind w:firstLine="720"/>
      </w:pPr>
      <w:r>
        <w:lastRenderedPageBreak/>
        <w:t xml:space="preserve">The </w:t>
      </w:r>
      <w:r w:rsidR="00784356">
        <w:t>Integrated Facility-based Surveillance (IFBS)</w:t>
      </w:r>
      <w:r w:rsidR="77B583C6">
        <w:t xml:space="preserve"> is a sentinel disease surveillance platform</w:t>
      </w:r>
      <w:r w:rsidR="00237975">
        <w:t xml:space="preserve"> </w:t>
      </w:r>
      <w:r w:rsidR="3BFE82D1">
        <w:t>carried out</w:t>
      </w:r>
      <w:r w:rsidR="000A46B6">
        <w:t xml:space="preserve"> across </w:t>
      </w:r>
      <w:r w:rsidR="004334C5">
        <w:t xml:space="preserve">12 facilities </w:t>
      </w:r>
      <w:r w:rsidR="000A46B6">
        <w:t>in Kenya</w:t>
      </w:r>
      <w:r w:rsidR="006970FB">
        <w:t xml:space="preserve"> across various</w:t>
      </w:r>
      <w:r w:rsidR="00064E16">
        <w:t xml:space="preserve"> malaria</w:t>
      </w:r>
      <w:r w:rsidR="006970FB">
        <w:t xml:space="preserve"> epidemiologic </w:t>
      </w:r>
      <w:r w:rsidR="009D31E8">
        <w:t>zones.</w:t>
      </w:r>
      <w:r w:rsidR="00BD2FCC">
        <w:t xml:space="preserve"> Of note, there are </w:t>
      </w:r>
      <w:r w:rsidR="000448A0">
        <w:t xml:space="preserve">about </w:t>
      </w:r>
      <w:r w:rsidR="00F34C97">
        <w:t>1600 public inpatient facilities in Kenya</w:t>
      </w:r>
      <w:r w:rsidR="00064E16">
        <w:t>.</w:t>
      </w:r>
      <w:r w:rsidR="1BFBAE7E">
        <w:t xml:space="preserve"> This surveillance platform</w:t>
      </w:r>
      <w:r w:rsidR="000A46B6">
        <w:t xml:space="preserve"> </w:t>
      </w:r>
      <w:r w:rsidR="00784356">
        <w:t xml:space="preserve">collects clinical </w:t>
      </w:r>
      <w:r w:rsidR="00D67937">
        <w:t xml:space="preserve">and laboratory </w:t>
      </w:r>
      <w:r w:rsidR="00784356">
        <w:t>information</w:t>
      </w:r>
      <w:r w:rsidR="00F04997">
        <w:t xml:space="preserve">, as well as </w:t>
      </w:r>
      <w:r w:rsidR="00784356">
        <w:t>specimens for pathogen testing among patients who present with acute febrile illness</w:t>
      </w:r>
      <w:r w:rsidR="000A46B6">
        <w:t xml:space="preserve"> (AFI)</w:t>
      </w:r>
      <w:r w:rsidR="75983AC8">
        <w:t xml:space="preserve">, defined as an axillary temperature of </w:t>
      </w:r>
      <w:r w:rsidR="00656672" w:rsidRPr="385DDE48">
        <w:t>≥</w:t>
      </w:r>
      <w:r w:rsidR="75983AC8">
        <w:t>38.0</w:t>
      </w:r>
      <w:r w:rsidR="00081DC3" w:rsidRPr="00081DC3">
        <w:rPr>
          <w:vertAlign w:val="superscript"/>
        </w:rPr>
        <w:t>o</w:t>
      </w:r>
      <w:r w:rsidR="75983AC8">
        <w:t>C</w:t>
      </w:r>
      <w:r w:rsidR="00D32C51">
        <w:t xml:space="preserve">. </w:t>
      </w:r>
      <w:r w:rsidR="000A46B6">
        <w:t>Malaria is considered an AFI</w:t>
      </w:r>
      <w:r w:rsidR="00306E6E">
        <w:t xml:space="preserve"> and all patients enrolled in IFBS are tested for malaria, </w:t>
      </w:r>
      <w:r w:rsidR="00E300BC">
        <w:t>initially</w:t>
      </w:r>
      <w:r w:rsidR="00306E6E">
        <w:t xml:space="preserve"> by rapid diagnostic testing (mRDT), confirmed by expert microscopy, and in some cases, </w:t>
      </w:r>
      <w:r w:rsidR="00E300BC">
        <w:t xml:space="preserve">by </w:t>
      </w:r>
      <w:r w:rsidR="6F94CF49">
        <w:t xml:space="preserve">multiplex </w:t>
      </w:r>
      <w:r w:rsidR="687DE701">
        <w:t xml:space="preserve">TaqMan Array Cards </w:t>
      </w:r>
      <w:r w:rsidR="00306E6E">
        <w:t>PCR testing</w:t>
      </w:r>
      <w:r w:rsidR="00264564">
        <w:t xml:space="preserve"> (TAC)</w:t>
      </w:r>
      <w:r w:rsidR="00D32C51">
        <w:t xml:space="preserve">. </w:t>
      </w:r>
      <w:r w:rsidR="00FB78A5">
        <w:t xml:space="preserve">As such, </w:t>
      </w:r>
      <w:r w:rsidR="00E96817">
        <w:t xml:space="preserve">the </w:t>
      </w:r>
      <w:r w:rsidR="00985E23">
        <w:t>information</w:t>
      </w:r>
      <w:r w:rsidR="00E96817">
        <w:t xml:space="preserve"> collected </w:t>
      </w:r>
      <w:r w:rsidR="00985E23">
        <w:t>as part of</w:t>
      </w:r>
      <w:r w:rsidR="00E96817">
        <w:t xml:space="preserve"> IFBS </w:t>
      </w:r>
      <w:r w:rsidR="00985E23">
        <w:t>provide</w:t>
      </w:r>
      <w:r w:rsidR="00FC44C9">
        <w:t>s</w:t>
      </w:r>
      <w:r w:rsidR="00985E23">
        <w:t xml:space="preserve"> </w:t>
      </w:r>
      <w:r w:rsidR="00FB78A5">
        <w:t xml:space="preserve">a rich </w:t>
      </w:r>
      <w:r w:rsidR="395A302F">
        <w:t xml:space="preserve">and unique </w:t>
      </w:r>
      <w:r w:rsidR="00FB78A5">
        <w:t>data</w:t>
      </w:r>
      <w:r w:rsidR="00A9447D">
        <w:t>set</w:t>
      </w:r>
      <w:r w:rsidR="0044562F">
        <w:t xml:space="preserve"> from multiple sites across Kenya</w:t>
      </w:r>
      <w:r w:rsidR="00FC44C9">
        <w:t xml:space="preserve">, describing </w:t>
      </w:r>
      <w:r w:rsidR="00FB78A5">
        <w:t>the clinical characteristics</w:t>
      </w:r>
      <w:r w:rsidR="1024A93B">
        <w:t>, treatments provided</w:t>
      </w:r>
      <w:r w:rsidR="008252CC">
        <w:t>,</w:t>
      </w:r>
      <w:r w:rsidR="00C92139">
        <w:t xml:space="preserve"> and outcomes</w:t>
      </w:r>
      <w:r w:rsidR="00FB78A5">
        <w:t xml:space="preserve"> of inpatients </w:t>
      </w:r>
      <w:r w:rsidR="008F472F">
        <w:t xml:space="preserve">diagnosed </w:t>
      </w:r>
      <w:r w:rsidR="00FB78A5">
        <w:t>with malaria</w:t>
      </w:r>
      <w:r w:rsidR="00FC44C9">
        <w:t xml:space="preserve"> and </w:t>
      </w:r>
      <w:r w:rsidR="3AF6BCAA">
        <w:t>other co-morbidities</w:t>
      </w:r>
      <w:r w:rsidR="00050A1F">
        <w:t>,</w:t>
      </w:r>
      <w:r w:rsidR="3AF6BCAA">
        <w:t xml:space="preserve"> </w:t>
      </w:r>
      <w:r w:rsidR="00FC44C9">
        <w:t>enabling analyses</w:t>
      </w:r>
      <w:r w:rsidR="006E12D7">
        <w:t xml:space="preserve"> o</w:t>
      </w:r>
      <w:r w:rsidR="00112286">
        <w:t>f</w:t>
      </w:r>
      <w:r w:rsidR="0044562F">
        <w:t xml:space="preserve"> risk factors </w:t>
      </w:r>
      <w:r w:rsidR="00747A7B">
        <w:t xml:space="preserve">associated with </w:t>
      </w:r>
      <w:r w:rsidR="0044562F">
        <w:t xml:space="preserve">severe disease presentation and mortality. </w:t>
      </w:r>
      <w:r w:rsidR="00FB78A5">
        <w:t xml:space="preserve"> </w:t>
      </w:r>
    </w:p>
    <w:p w14:paraId="2EF69345" w14:textId="1FA75F36" w:rsidR="007D35B9" w:rsidRPr="00DA6FAF" w:rsidRDefault="007D35B9" w:rsidP="001407CA">
      <w:pPr>
        <w:pStyle w:val="NoSpacing"/>
        <w:spacing w:before="240" w:line="480" w:lineRule="auto"/>
        <w:ind w:firstLine="720"/>
      </w:pPr>
      <w:r>
        <w:t>As a pathogen surveillance platform, IFBS also identifies cases of co-infection with non-</w:t>
      </w:r>
      <w:r w:rsidRPr="45250AB3">
        <w:rPr>
          <w:i/>
          <w:iCs/>
        </w:rPr>
        <w:t>Plasmodium</w:t>
      </w:r>
      <w:r>
        <w:t xml:space="preserve"> pathogens. In other studies of children with severe malaria, 6-8% have been reported to have bacterial co-infection (vs. 1% among adults with severe malaria), predominantly gram-negative enteric organisms, especially non-typhoidal </w:t>
      </w:r>
      <w:r w:rsidRPr="45250AB3">
        <w:rPr>
          <w:i/>
          <w:iCs/>
        </w:rPr>
        <w:t>Salmonella</w:t>
      </w:r>
      <w:r>
        <w:t xml:space="preserve"> (NTS</w:t>
      </w:r>
      <w:r w:rsidR="00EF6F36">
        <w:t>)</w:t>
      </w:r>
      <w:r>
        <w:t>.</w:t>
      </w:r>
      <w:r w:rsidR="00EF6F36" w:rsidRPr="00EF6F36">
        <w:rPr>
          <w:vertAlign w:val="superscript"/>
        </w:rPr>
        <w:t>3,4</w:t>
      </w:r>
      <w:r>
        <w:t xml:space="preserve"> Literature varies regarding disease severity and mortality among patients co-infected with malaria and </w:t>
      </w:r>
      <w:r w:rsidR="00EB27D9">
        <w:t>other</w:t>
      </w:r>
      <w:r>
        <w:t xml:space="preserve"> pathogen</w:t>
      </w:r>
      <w:r w:rsidR="1E566DF9">
        <w:t>s</w:t>
      </w:r>
      <w:r>
        <w:t>, but up to one-third of deaths among children with severe malaria have been attributed to a bacterial co-infectio</w:t>
      </w:r>
      <w:r w:rsidR="007E6534">
        <w:t>n</w:t>
      </w:r>
      <w:r>
        <w:t>.</w:t>
      </w:r>
      <w:r w:rsidR="00EF6F36" w:rsidRPr="00EF6F36">
        <w:rPr>
          <w:vertAlign w:val="superscript"/>
        </w:rPr>
        <w:t>5</w:t>
      </w:r>
      <w:r>
        <w:t xml:space="preserve"> </w:t>
      </w:r>
      <w:r w:rsidR="00AC7606">
        <w:t xml:space="preserve">These findings have influenced WHO guidelines for the treatment and management of severe malaria among children, which recommend </w:t>
      </w:r>
      <w:r w:rsidR="43362F78">
        <w:t xml:space="preserve">co-administering </w:t>
      </w:r>
      <w:r w:rsidR="00AC7606">
        <w:t>broad-spectrum antibiotics in moderate to high malaria transmission settings.</w:t>
      </w:r>
      <w:r w:rsidR="00EF6F36" w:rsidRPr="00EF6F36">
        <w:rPr>
          <w:vertAlign w:val="superscript"/>
        </w:rPr>
        <w:t>6</w:t>
      </w:r>
      <w:r w:rsidR="00AC7606">
        <w:t xml:space="preserve">  However, this recommendation is inconsistently applied, and the widespread resistance of gram-negative bacteria (such as NTS) to commonly used empiric antibiotics, as well as laboratory limitations in culture-based diagnosis of bacterial infections, pose significant challenges to</w:t>
      </w:r>
      <w:r w:rsidR="3DBDCEC3">
        <w:t xml:space="preserve"> implementing</w:t>
      </w:r>
      <w:r w:rsidR="00AC7606">
        <w:t xml:space="preserve"> this approach. </w:t>
      </w:r>
    </w:p>
    <w:p w14:paraId="4ED7D2A0" w14:textId="7119DEB8" w:rsidR="009A5BD6" w:rsidRDefault="00EF61A4" w:rsidP="001407CA">
      <w:pPr>
        <w:pStyle w:val="NoSpacing"/>
        <w:spacing w:before="240" w:line="480" w:lineRule="auto"/>
        <w:ind w:firstLine="720"/>
      </w:pPr>
      <w:r>
        <w:lastRenderedPageBreak/>
        <w:t xml:space="preserve">Microscopy is the </w:t>
      </w:r>
      <w:r w:rsidR="00637FE2">
        <w:t xml:space="preserve">gold standard clinical diagnostic method </w:t>
      </w:r>
      <w:r w:rsidR="546BC815">
        <w:t xml:space="preserve">for malaria </w:t>
      </w:r>
      <w:r w:rsidR="00637FE2">
        <w:t>in Kenya given its relative cost and implementation</w:t>
      </w:r>
      <w:r w:rsidR="00F8408F">
        <w:t xml:space="preserve"> feasibility</w:t>
      </w:r>
      <w:r w:rsidR="00637FE2">
        <w:t xml:space="preserve"> at the point-of-service</w:t>
      </w:r>
      <w:r w:rsidR="006E3AFF">
        <w:t xml:space="preserve"> in higher-level facilities</w:t>
      </w:r>
      <w:r w:rsidR="00637FE2">
        <w:t xml:space="preserve">. </w:t>
      </w:r>
      <w:r w:rsidR="008D0BE3">
        <w:t xml:space="preserve">Malaria </w:t>
      </w:r>
      <w:r w:rsidR="003579AF">
        <w:t xml:space="preserve">RDTs </w:t>
      </w:r>
      <w:r w:rsidR="000716F1">
        <w:t>are used when microscopy is not possible</w:t>
      </w:r>
      <w:r w:rsidR="008D0BE3">
        <w:t>, typically in lower-level facilities without laboratory infrastructure</w:t>
      </w:r>
      <w:r w:rsidR="6ED04D0D">
        <w:t xml:space="preserve"> or adequately trained staff</w:t>
      </w:r>
      <w:r w:rsidR="008D0BE3">
        <w:t>.</w:t>
      </w:r>
      <w:r w:rsidR="000716F1">
        <w:t xml:space="preserve"> </w:t>
      </w:r>
      <w:r w:rsidR="003579AF">
        <w:t xml:space="preserve">Facility </w:t>
      </w:r>
      <w:r w:rsidR="00E95443">
        <w:t xml:space="preserve">laboratory </w:t>
      </w:r>
      <w:r w:rsidR="003579AF">
        <w:t xml:space="preserve">staff </w:t>
      </w:r>
      <w:r w:rsidR="00E95443">
        <w:t xml:space="preserve">receive pre-service training in malaria diagnostics, including </w:t>
      </w:r>
      <w:r w:rsidR="009A3814">
        <w:t xml:space="preserve">reading thick </w:t>
      </w:r>
      <w:r w:rsidR="4C4771F3">
        <w:t xml:space="preserve">and thin blood </w:t>
      </w:r>
      <w:r w:rsidR="009A3814">
        <w:t>smears</w:t>
      </w:r>
      <w:r w:rsidR="1C9A2C45">
        <w:t>,</w:t>
      </w:r>
      <w:r w:rsidR="009A3814">
        <w:t xml:space="preserve"> but </w:t>
      </w:r>
      <w:r w:rsidR="00EB448C">
        <w:t xml:space="preserve">in </w:t>
      </w:r>
      <w:r w:rsidR="6E5FFBE0">
        <w:t xml:space="preserve">many </w:t>
      </w:r>
      <w:r w:rsidR="00682ADC">
        <w:t xml:space="preserve">malaria-endemic </w:t>
      </w:r>
      <w:r w:rsidR="00D21A6D">
        <w:t>countries</w:t>
      </w:r>
      <w:r w:rsidR="00625611">
        <w:t>,</w:t>
      </w:r>
      <w:r w:rsidR="00865C69">
        <w:t xml:space="preserve"> </w:t>
      </w:r>
      <w:r w:rsidR="009A3814">
        <w:t xml:space="preserve">the </w:t>
      </w:r>
      <w:r w:rsidR="2E9BDFBA">
        <w:t>external quality assurance (</w:t>
      </w:r>
      <w:r w:rsidR="009A3814">
        <w:t>EQA</w:t>
      </w:r>
      <w:r w:rsidR="0D6C8E5E">
        <w:t>)</w:t>
      </w:r>
      <w:r w:rsidR="009A3814">
        <w:t xml:space="preserve"> program </w:t>
      </w:r>
      <w:r w:rsidR="00EB448C">
        <w:t xml:space="preserve">to maintain </w:t>
      </w:r>
      <w:r w:rsidR="00A72FA7">
        <w:t xml:space="preserve">reliability and accuracy of </w:t>
      </w:r>
      <w:r w:rsidR="007F017C">
        <w:t>microscopy-based diagnostic results</w:t>
      </w:r>
      <w:r w:rsidR="00EB448C">
        <w:t xml:space="preserve"> </w:t>
      </w:r>
      <w:r w:rsidR="009A3814">
        <w:t>struggles with resource constraints</w:t>
      </w:r>
      <w:r w:rsidR="00E95443">
        <w:t>.</w:t>
      </w:r>
      <w:r w:rsidR="00EF6F36" w:rsidRPr="00EF6F36">
        <w:rPr>
          <w:vertAlign w:val="superscript"/>
        </w:rPr>
        <w:t>7</w:t>
      </w:r>
      <w:r w:rsidR="00E95443">
        <w:t xml:space="preserve"> </w:t>
      </w:r>
      <w:r w:rsidR="002D4ED3" w:rsidRPr="007F0B45">
        <w:t>S</w:t>
      </w:r>
      <w:r w:rsidR="00100E9F" w:rsidRPr="007F0B45">
        <w:t>ince the</w:t>
      </w:r>
      <w:r w:rsidR="00770026" w:rsidRPr="007F0B45">
        <w:t xml:space="preserve"> IFBS </w:t>
      </w:r>
      <w:r w:rsidR="00100E9F" w:rsidRPr="007F0B45">
        <w:t xml:space="preserve">platform also </w:t>
      </w:r>
      <w:r w:rsidR="00770026" w:rsidRPr="007F0B45">
        <w:t>conducts its own malaria testing for all</w:t>
      </w:r>
      <w:r w:rsidR="000E0B31" w:rsidRPr="007F0B45">
        <w:t xml:space="preserve"> </w:t>
      </w:r>
      <w:r w:rsidR="00770026" w:rsidRPr="007F0B45">
        <w:t>enrolled</w:t>
      </w:r>
      <w:r w:rsidR="000E0B31" w:rsidRPr="007F0B45">
        <w:t xml:space="preserve"> patients</w:t>
      </w:r>
      <w:r w:rsidR="00770026" w:rsidRPr="007F0B45">
        <w:t xml:space="preserve">, </w:t>
      </w:r>
      <w:r w:rsidR="00100E9F" w:rsidRPr="007F0B45">
        <w:t>it provides</w:t>
      </w:r>
      <w:r w:rsidR="00770026" w:rsidRPr="007F0B45">
        <w:t xml:space="preserve"> an opportunity to assess </w:t>
      </w:r>
      <w:r w:rsidR="003F2B66" w:rsidRPr="007F0B45">
        <w:t>how</w:t>
      </w:r>
      <w:r w:rsidR="002A6B7E" w:rsidRPr="007F0B45">
        <w:t xml:space="preserve"> </w:t>
      </w:r>
      <w:r w:rsidR="00596D97" w:rsidRPr="007F0B45">
        <w:t xml:space="preserve">routine clinical </w:t>
      </w:r>
      <w:r w:rsidR="002A6B7E" w:rsidRPr="007F0B45">
        <w:t>smears read by laboratory staff at the facilities (clinical smears) compare with smear resu</w:t>
      </w:r>
      <w:r w:rsidR="00B109A6" w:rsidRPr="007F0B45">
        <w:t xml:space="preserve">lts </w:t>
      </w:r>
      <w:r w:rsidR="00770026" w:rsidRPr="007F0B45">
        <w:t>read by expert microscopists (surveillance smears)</w:t>
      </w:r>
      <w:r w:rsidR="00BE3F4A" w:rsidRPr="00A127EC">
        <w:t xml:space="preserve">. </w:t>
      </w:r>
      <w:r w:rsidR="00770026" w:rsidRPr="00A127EC">
        <w:t>The information captured in IFBS</w:t>
      </w:r>
      <w:r w:rsidR="00415C03" w:rsidRPr="00A127EC">
        <w:t xml:space="preserve"> in terms of </w:t>
      </w:r>
      <w:r w:rsidR="004470EC" w:rsidRPr="00A127EC">
        <w:t>treatments provided during hospitalization</w:t>
      </w:r>
      <w:r w:rsidR="00770026">
        <w:t xml:space="preserve"> can also demonstrate the level of adherence to clinical guidelines in the inpatient setting, particularly regarding </w:t>
      </w:r>
      <w:r w:rsidR="004470EC">
        <w:t xml:space="preserve">provision of antimalarials and </w:t>
      </w:r>
      <w:r w:rsidR="009A5BD6">
        <w:t xml:space="preserve">empiric antibiotics. </w:t>
      </w:r>
    </w:p>
    <w:p w14:paraId="31BD41E5" w14:textId="13B466B1" w:rsidR="00085E34" w:rsidRDefault="00F52250" w:rsidP="001407CA">
      <w:pPr>
        <w:pStyle w:val="NoSpacing"/>
        <w:spacing w:before="240" w:line="480" w:lineRule="auto"/>
        <w:ind w:firstLine="720"/>
      </w:pPr>
      <w:r>
        <w:t xml:space="preserve">We </w:t>
      </w:r>
      <w:r w:rsidR="00E43412">
        <w:t>used</w:t>
      </w:r>
      <w:r w:rsidR="000E153A">
        <w:t xml:space="preserve"> data from the</w:t>
      </w:r>
      <w:r>
        <w:t xml:space="preserve"> IFBS </w:t>
      </w:r>
      <w:r w:rsidR="000E153A">
        <w:t xml:space="preserve">platform across Kenya </w:t>
      </w:r>
      <w:r>
        <w:t xml:space="preserve">to </w:t>
      </w:r>
      <w:r w:rsidR="00747057">
        <w:t>examine two key objectives:  First</w:t>
      </w:r>
      <w:r w:rsidR="006F4F22">
        <w:t>,</w:t>
      </w:r>
      <w:r w:rsidR="00747057">
        <w:t xml:space="preserve"> to assess the factors associated with severe illness and mortality </w:t>
      </w:r>
      <w:r w:rsidR="00445D00">
        <w:t>among patients with</w:t>
      </w:r>
      <w:r w:rsidR="050D5C0B">
        <w:t xml:space="preserve"> laboratory confirmed</w:t>
      </w:r>
      <w:r w:rsidR="00445D00">
        <w:t xml:space="preserve"> malaria</w:t>
      </w:r>
      <w:r w:rsidR="006F4F22">
        <w:t>;</w:t>
      </w:r>
      <w:r w:rsidR="00445D00">
        <w:t xml:space="preserve"> second</w:t>
      </w:r>
      <w:r w:rsidR="006F4F22">
        <w:t>,</w:t>
      </w:r>
      <w:r w:rsidR="00445D00">
        <w:t xml:space="preserve"> to </w:t>
      </w:r>
      <w:r w:rsidR="0023590F">
        <w:t>describe</w:t>
      </w:r>
      <w:r w:rsidR="00445D00">
        <w:t xml:space="preserve"> the quality of malaria case management among hospitalized patients</w:t>
      </w:r>
      <w:r w:rsidR="00A000DA">
        <w:t xml:space="preserve"> </w:t>
      </w:r>
      <w:r w:rsidR="00445D00">
        <w:t>b</w:t>
      </w:r>
      <w:r w:rsidR="00A000DA">
        <w:t>y</w:t>
      </w:r>
      <w:r w:rsidR="00445D00">
        <w:t xml:space="preserve"> </w:t>
      </w:r>
      <w:r w:rsidR="00A000DA">
        <w:t>evaluating</w:t>
      </w:r>
      <w:r w:rsidR="00445D00">
        <w:t xml:space="preserve"> the </w:t>
      </w:r>
      <w:r w:rsidR="0023590F">
        <w:t xml:space="preserve">diagnostic accuracy of clinical malaria </w:t>
      </w:r>
      <w:r w:rsidR="00A000DA">
        <w:t>testing and assessing</w:t>
      </w:r>
      <w:r w:rsidR="00E91B5D">
        <w:t xml:space="preserve"> the</w:t>
      </w:r>
      <w:r w:rsidR="006B7A37">
        <w:t xml:space="preserve"> implementation of</w:t>
      </w:r>
      <w:r w:rsidR="00E91B5D">
        <w:t xml:space="preserve"> appropriate</w:t>
      </w:r>
      <w:r w:rsidR="004D0ECE">
        <w:t xml:space="preserve"> malaria case management.</w:t>
      </w:r>
      <w:r w:rsidR="004D0ECE" w:rsidDel="004D0ECE">
        <w:t xml:space="preserve"> </w:t>
      </w:r>
    </w:p>
    <w:p w14:paraId="3F2C816C" w14:textId="668AC2F2" w:rsidR="00784356" w:rsidRDefault="00784356" w:rsidP="001407CA">
      <w:pPr>
        <w:pStyle w:val="Heading1"/>
        <w:spacing w:line="480" w:lineRule="auto"/>
      </w:pPr>
      <w:r w:rsidRPr="00784356">
        <w:t>Methodology</w:t>
      </w:r>
    </w:p>
    <w:p w14:paraId="139BC207" w14:textId="5D2E71FF" w:rsidR="00FA4BB1" w:rsidRDefault="003A4BAC" w:rsidP="001407CA">
      <w:pPr>
        <w:spacing w:line="480" w:lineRule="auto"/>
        <w:ind w:firstLine="720"/>
      </w:pPr>
      <w:r>
        <w:t>IFBS</w:t>
      </w:r>
      <w:r w:rsidR="0049074E">
        <w:t xml:space="preserve"> procedures have been previously described</w:t>
      </w:r>
      <w:r w:rsidR="0064246C">
        <w:t>.</w:t>
      </w:r>
      <w:r w:rsidR="00EF6F36" w:rsidRPr="00EF6F36">
        <w:rPr>
          <w:vertAlign w:val="superscript"/>
        </w:rPr>
        <w:t>8</w:t>
      </w:r>
      <w:r w:rsidR="008F31C2">
        <w:t xml:space="preserve"> </w:t>
      </w:r>
      <w:r w:rsidR="00E70990">
        <w:t xml:space="preserve">Each </w:t>
      </w:r>
      <w:r w:rsidR="00415F24">
        <w:t>morning</w:t>
      </w:r>
      <w:r w:rsidR="00E70990">
        <w:t xml:space="preserve">, trained surveillance officers reviewed </w:t>
      </w:r>
      <w:r w:rsidR="5538CA6E">
        <w:t xml:space="preserve">daily </w:t>
      </w:r>
      <w:r w:rsidR="7B5083C4">
        <w:t xml:space="preserve">hospital </w:t>
      </w:r>
      <w:r w:rsidR="00E70990">
        <w:t>admission logs for pediatric and adult medical wards</w:t>
      </w:r>
      <w:r w:rsidR="00882DEC">
        <w:t xml:space="preserve"> </w:t>
      </w:r>
      <w:r w:rsidR="00415F24">
        <w:t xml:space="preserve">for the past 24 hours </w:t>
      </w:r>
      <w:r w:rsidR="00882DEC">
        <w:t>an</w:t>
      </w:r>
      <w:r w:rsidR="00826C2C">
        <w:t>d</w:t>
      </w:r>
      <w:r w:rsidR="00882DEC">
        <w:t xml:space="preserve"> a</w:t>
      </w:r>
      <w:r w:rsidR="00E70990">
        <w:t xml:space="preserve">ll new admissions were screened for eligibility based on information in the medical record. </w:t>
      </w:r>
      <w:r w:rsidR="00763856">
        <w:t>AFI</w:t>
      </w:r>
      <w:r w:rsidR="00826C2C">
        <w:t xml:space="preserve"> was</w:t>
      </w:r>
      <w:r w:rsidR="00763856">
        <w:t xml:space="preserve"> defined as </w:t>
      </w:r>
      <w:r w:rsidR="00826C2C">
        <w:t xml:space="preserve">a </w:t>
      </w:r>
      <w:r w:rsidR="00763856">
        <w:t>measured temperature ≥38</w:t>
      </w:r>
      <w:r w:rsidR="006B5292">
        <w:t>.0</w:t>
      </w:r>
      <w:r w:rsidR="00F31294">
        <w:t xml:space="preserve"> </w:t>
      </w:r>
      <w:r w:rsidR="00F31294" w:rsidRPr="00F31294">
        <w:rPr>
          <w:vertAlign w:val="superscript"/>
        </w:rPr>
        <w:t>0</w:t>
      </w:r>
      <w:r w:rsidR="00763856">
        <w:t>C for ≤14 days</w:t>
      </w:r>
      <w:r w:rsidR="00063FC6">
        <w:t xml:space="preserve">. Those eligible were approached for </w:t>
      </w:r>
      <w:r w:rsidR="1F1626BC">
        <w:t xml:space="preserve">informed </w:t>
      </w:r>
      <w:r w:rsidR="00063FC6">
        <w:t>consent and enrolment into the surveillance system</w:t>
      </w:r>
      <w:r w:rsidR="553FBF4D">
        <w:t xml:space="preserve"> study</w:t>
      </w:r>
      <w:r w:rsidR="00063FC6">
        <w:t xml:space="preserve">.  </w:t>
      </w:r>
      <w:r w:rsidR="00415F24">
        <w:t>Additionally, a</w:t>
      </w:r>
      <w:r w:rsidR="00063FC6">
        <w:t xml:space="preserve">t some sites, recruitment was </w:t>
      </w:r>
      <w:r w:rsidR="00063FC6">
        <w:lastRenderedPageBreak/>
        <w:t xml:space="preserve">done </w:t>
      </w:r>
      <w:r w:rsidR="00740D80">
        <w:t xml:space="preserve">at </w:t>
      </w:r>
      <w:r w:rsidR="004A7074">
        <w:t xml:space="preserve">outpatient </w:t>
      </w:r>
      <w:r w:rsidR="00740D80">
        <w:t xml:space="preserve">department </w:t>
      </w:r>
      <w:r w:rsidR="260D81E0" w:rsidDel="351B0AB6">
        <w:t>clinics</w:t>
      </w:r>
      <w:r w:rsidR="003358EF">
        <w:t xml:space="preserve"> for persons aged ≥13 years only</w:t>
      </w:r>
      <w:r w:rsidR="3045785C">
        <w:t>.</w:t>
      </w:r>
      <w:r w:rsidR="00513208">
        <w:t xml:space="preserve"> </w:t>
      </w:r>
      <w:r w:rsidR="009D1C69">
        <w:t xml:space="preserve">However, </w:t>
      </w:r>
      <w:r w:rsidR="000359FA">
        <w:t>we limited our analysis to inpatients</w:t>
      </w:r>
      <w:r w:rsidR="00FA4BB1">
        <w:t xml:space="preserve"> given the objectives of the project and relatively small number of outpatients enrolled.</w:t>
      </w:r>
    </w:p>
    <w:p w14:paraId="46347A94" w14:textId="180A7BCE" w:rsidR="00C051ED" w:rsidRDefault="0084034E" w:rsidP="001407CA">
      <w:pPr>
        <w:spacing w:line="480" w:lineRule="auto"/>
        <w:ind w:firstLine="720"/>
      </w:pPr>
      <w:r>
        <w:t>F</w:t>
      </w:r>
      <w:r w:rsidR="00D01444">
        <w:t>ollowing enrollment</w:t>
      </w:r>
      <w:r w:rsidR="003F3B3F">
        <w:t>, the</w:t>
      </w:r>
      <w:r w:rsidR="00A11463">
        <w:t xml:space="preserve"> </w:t>
      </w:r>
      <w:r w:rsidR="00FC49CC">
        <w:t xml:space="preserve">surveillance officer </w:t>
      </w:r>
      <w:r w:rsidR="0042598A">
        <w:t>interviewed the patient</w:t>
      </w:r>
      <w:r w:rsidR="008F0E8F">
        <w:t>,</w:t>
      </w:r>
      <w:r w:rsidR="0042598A">
        <w:t xml:space="preserve"> </w:t>
      </w:r>
      <w:r w:rsidR="00F84C15">
        <w:t xml:space="preserve">extracted information from </w:t>
      </w:r>
      <w:r w:rsidR="0042598A">
        <w:t xml:space="preserve">their </w:t>
      </w:r>
      <w:r w:rsidR="00F84C15">
        <w:t>medical records</w:t>
      </w:r>
      <w:r w:rsidR="003925DF">
        <w:t>,</w:t>
      </w:r>
      <w:r w:rsidR="00F84C15">
        <w:t xml:space="preserve"> and</w:t>
      </w:r>
      <w:r w:rsidR="00FC49CC">
        <w:t xml:space="preserve"> </w:t>
      </w:r>
      <w:r w:rsidR="0042598A">
        <w:t xml:space="preserve">recorded this information in </w:t>
      </w:r>
      <w:r w:rsidR="00FC49CC">
        <w:t>a</w:t>
      </w:r>
      <w:r w:rsidR="004405AB">
        <w:t xml:space="preserve"> standardized</w:t>
      </w:r>
      <w:r w:rsidR="00FC49CC">
        <w:t xml:space="preserve"> </w:t>
      </w:r>
      <w:r w:rsidR="0042598A">
        <w:t xml:space="preserve">digital </w:t>
      </w:r>
      <w:r w:rsidR="00085AF6">
        <w:t>form</w:t>
      </w:r>
      <w:r w:rsidR="0042598A">
        <w:t xml:space="preserve">. </w:t>
      </w:r>
      <w:r w:rsidR="00144390">
        <w:t xml:space="preserve">Data </w:t>
      </w:r>
      <w:r w:rsidR="0042598A">
        <w:t>included</w:t>
      </w:r>
      <w:r w:rsidR="00144390">
        <w:t xml:space="preserve"> </w:t>
      </w:r>
      <w:r w:rsidR="003925DF">
        <w:t xml:space="preserve">pertinent </w:t>
      </w:r>
      <w:r w:rsidR="00FC49CC">
        <w:t xml:space="preserve">medical history, </w:t>
      </w:r>
      <w:r w:rsidR="005B5E56" w:rsidRPr="001D0599">
        <w:t xml:space="preserve">clinical presentation, vital signs and physical exam, </w:t>
      </w:r>
      <w:r w:rsidR="00CF4012" w:rsidRPr="001D0599">
        <w:t>clinical management, routine lab results</w:t>
      </w:r>
      <w:r w:rsidR="006F61B9" w:rsidRPr="001D0599">
        <w:t xml:space="preserve"> </w:t>
      </w:r>
      <w:r w:rsidR="00FB3660" w:rsidRPr="001D0599">
        <w:t>(</w:t>
      </w:r>
      <w:r w:rsidR="006F61B9" w:rsidRPr="001D0599">
        <w:t xml:space="preserve">including mRDT </w:t>
      </w:r>
      <w:r w:rsidR="00FB3660" w:rsidRPr="001D0599">
        <w:t>or microscopy)</w:t>
      </w:r>
      <w:r w:rsidR="00801ECA" w:rsidRPr="001D0599">
        <w:t>, discharge diagnosis,</w:t>
      </w:r>
      <w:r w:rsidR="00CF4012" w:rsidRPr="001D0599">
        <w:t xml:space="preserve"> and </w:t>
      </w:r>
      <w:r w:rsidR="00513208" w:rsidRPr="001D0599">
        <w:t xml:space="preserve">clinical </w:t>
      </w:r>
      <w:r w:rsidR="00CF4012" w:rsidRPr="001D0599">
        <w:t>outcome</w:t>
      </w:r>
      <w:r w:rsidR="03019BE2" w:rsidRPr="001D0599">
        <w:t>s</w:t>
      </w:r>
      <w:r w:rsidR="00D32C51" w:rsidRPr="001D0599">
        <w:t>.</w:t>
      </w:r>
      <w:r w:rsidR="00D32C51" w:rsidRPr="001D0599" w:rsidDel="00D01C6F">
        <w:t xml:space="preserve"> </w:t>
      </w:r>
      <w:r w:rsidR="00B11BEA">
        <w:t>R</w:t>
      </w:r>
      <w:r w:rsidR="00BB7BC5" w:rsidRPr="001D0599">
        <w:t>egardless of whether they had already undergo</w:t>
      </w:r>
      <w:r w:rsidR="00830A7C" w:rsidRPr="001D0599">
        <w:t>ne</w:t>
      </w:r>
      <w:r w:rsidR="00BB7BC5" w:rsidRPr="001D0599">
        <w:t xml:space="preserve"> clinical testing for malaria</w:t>
      </w:r>
      <w:r w:rsidR="30493CD9" w:rsidRPr="001D0599">
        <w:t xml:space="preserve"> at the health facility</w:t>
      </w:r>
      <w:r w:rsidR="00B11BEA">
        <w:t xml:space="preserve">, trained laboratory staff collected </w:t>
      </w:r>
      <w:r w:rsidR="00B11BEA" w:rsidRPr="00E56259">
        <w:t>5</w:t>
      </w:r>
      <w:r w:rsidR="00B11BEA">
        <w:t xml:space="preserve"> </w:t>
      </w:r>
      <w:r w:rsidR="00B11BEA" w:rsidRPr="00E56259">
        <w:t xml:space="preserve">cc </w:t>
      </w:r>
      <w:r w:rsidR="00B11BEA">
        <w:t xml:space="preserve">(2.5 cc for children under five years old) venous blood from </w:t>
      </w:r>
      <w:r w:rsidR="00D13204">
        <w:t xml:space="preserve">all </w:t>
      </w:r>
      <w:r w:rsidR="00B11BEA">
        <w:t>enrolled patients in Ethylenediaminetetraacetic acid (EDTA) anticoagulant tubes and transported it to an onsite laboratory, where on the same day a mRDT (Abbott Bioline Malaria Ag P.f/Pan) was performed and thin and thick blood smears were prepared with Geimsa for microscopy following the WHO malaria microscopy standard operating procedure.</w:t>
      </w:r>
      <w:r w:rsidR="00993E83" w:rsidRPr="00993E83">
        <w:rPr>
          <w:vertAlign w:val="superscript"/>
        </w:rPr>
        <w:t>9</w:t>
      </w:r>
      <w:r w:rsidR="00B11BEA">
        <w:t xml:space="preserve"> Microscopy slides from all sites were transferred </w:t>
      </w:r>
      <w:r w:rsidR="00243B24">
        <w:t xml:space="preserve">weekly </w:t>
      </w:r>
      <w:r w:rsidR="00B11BEA">
        <w:t xml:space="preserve">to Jaramogi Oginga Odinga Teaching &amp; Referral Hospital in Kisumu, where certified </w:t>
      </w:r>
      <w:r w:rsidR="004129D2">
        <w:t xml:space="preserve">expert </w:t>
      </w:r>
      <w:r w:rsidR="00B11BEA">
        <w:t xml:space="preserve">microscopists analyzed the slides for malaria parasites. For </w:t>
      </w:r>
      <w:r w:rsidR="005F327D" w:rsidRPr="001D0599">
        <w:t xml:space="preserve">a subset of </w:t>
      </w:r>
      <w:r w:rsidR="00B11BEA">
        <w:t>patients who met undifferentiated fever</w:t>
      </w:r>
      <w:r w:rsidR="004C6147">
        <w:rPr>
          <w:vertAlign w:val="superscript"/>
        </w:rPr>
        <w:t>**</w:t>
      </w:r>
      <w:r w:rsidR="00B11BEA">
        <w:t xml:space="preserve"> criteria, whole blood samples were stored at -20˚ C for up to seven days and transported to the CDC-supported laboratory at the Kenya Medical Research Institute (KEMRI) in Nairobi for PCR testing using</w:t>
      </w:r>
      <w:r w:rsidR="00E654BC" w:rsidRPr="001D0599">
        <w:t xml:space="preserve"> TAC PCR</w:t>
      </w:r>
      <w:r w:rsidR="00871954" w:rsidRPr="001D0599">
        <w:t xml:space="preserve"> </w:t>
      </w:r>
      <w:r w:rsidR="00B11BEA">
        <w:t>(ThermoFisher).</w:t>
      </w:r>
      <w:r w:rsidR="00B11BEA">
        <w:rPr>
          <w:rStyle w:val="FootnoteReference"/>
        </w:rPr>
        <w:footnoteReference w:id="2"/>
      </w:r>
      <w:r w:rsidR="00B11BEA">
        <w:t xml:space="preserve">  TAC PCR is intended for surveillance and was not approved for the diagnoses </w:t>
      </w:r>
      <w:r w:rsidR="00B11BEA">
        <w:lastRenderedPageBreak/>
        <w:t xml:space="preserve">of patients for clinical purposes. </w:t>
      </w:r>
      <w:r w:rsidR="00D718A7">
        <w:t>F</w:t>
      </w:r>
      <w:r w:rsidR="00AC5700">
        <w:t>rom</w:t>
      </w:r>
      <w:r w:rsidR="00517B2D" w:rsidRPr="001D0599">
        <w:t xml:space="preserve"> June 2023 </w:t>
      </w:r>
      <w:r w:rsidR="00AC5700">
        <w:t>onwards,</w:t>
      </w:r>
      <w:r w:rsidR="00517B2D" w:rsidRPr="001D0599">
        <w:t xml:space="preserve"> patients who had a positive </w:t>
      </w:r>
      <w:r w:rsidR="00AC5700">
        <w:t xml:space="preserve">IFBS </w:t>
      </w:r>
      <w:r w:rsidR="00517B2D" w:rsidRPr="001D0599">
        <w:t>mRDT did</w:t>
      </w:r>
      <w:r w:rsidR="00147346" w:rsidRPr="001D0599">
        <w:t xml:space="preserve"> not get a TAC PCR</w:t>
      </w:r>
      <w:r w:rsidR="00686FF1" w:rsidRPr="001D0599">
        <w:t xml:space="preserve"> as a</w:t>
      </w:r>
      <w:r w:rsidR="00603A90" w:rsidRPr="001D0599">
        <w:t xml:space="preserve"> resource savings</w:t>
      </w:r>
      <w:r w:rsidR="00CE2170" w:rsidRPr="001D0599">
        <w:t xml:space="preserve"> </w:t>
      </w:r>
      <w:r w:rsidR="00911904" w:rsidRPr="001D0599">
        <w:t>measure</w:t>
      </w:r>
      <w:r w:rsidR="00D32C51" w:rsidRPr="001D0599">
        <w:t>.</w:t>
      </w:r>
      <w:r w:rsidR="00D32C51">
        <w:t xml:space="preserve"> </w:t>
      </w:r>
    </w:p>
    <w:p w14:paraId="4B54E2C5" w14:textId="521A7094" w:rsidR="00877B7B" w:rsidRDefault="00877B7B" w:rsidP="001407CA">
      <w:pPr>
        <w:spacing w:line="480" w:lineRule="auto"/>
        <w:ind w:firstLine="720"/>
      </w:pPr>
      <w:r>
        <w:t>IFBS data from June 2017 – July 2024 were analyzed to describe the clinical characteristics and hospitalization course of patients with AFI who were diagnosed with malaria. Data were analyzed from the 12 sentinel IFBS health facilities across Kenya</w:t>
      </w:r>
      <w:r w:rsidR="00BD6609">
        <w:t xml:space="preserve"> </w:t>
      </w:r>
      <w:r w:rsidR="00A05127">
        <w:t>(Figure 1)</w:t>
      </w:r>
      <w:r>
        <w:t>, which were not constant during the analysis period (Supplemental table 1)</w:t>
      </w:r>
    </w:p>
    <w:p w14:paraId="47B250EF" w14:textId="0D855C60" w:rsidR="00A05127" w:rsidRPr="007E54DC" w:rsidRDefault="00A05127" w:rsidP="007E54DC">
      <w:pPr>
        <w:pStyle w:val="Heading2"/>
        <w:spacing w:line="240" w:lineRule="auto"/>
        <w:rPr>
          <w:b/>
          <w:bCs/>
        </w:rPr>
      </w:pPr>
      <w:r w:rsidRPr="007E54DC">
        <w:rPr>
          <w:b/>
          <w:bCs/>
        </w:rPr>
        <w:t>Figu</w:t>
      </w:r>
      <w:r w:rsidRPr="007E54DC">
        <w:rPr>
          <w:b/>
          <w:bCs/>
          <w:sz w:val="24"/>
          <w:szCs w:val="24"/>
        </w:rPr>
        <w:t>re 1:  Location of surveillance sites and malaria epidemic zones in Kenya</w:t>
      </w:r>
    </w:p>
    <w:p w14:paraId="5E8A7E06" w14:textId="6835BADF" w:rsidR="00BD6609" w:rsidRDefault="00BD6609" w:rsidP="001407CA">
      <w:pPr>
        <w:spacing w:line="480" w:lineRule="auto"/>
        <w:ind w:firstLine="720"/>
      </w:pPr>
      <w:r w:rsidRPr="009F34A6">
        <w:rPr>
          <w:noProof/>
        </w:rPr>
        <w:drawing>
          <wp:inline distT="0" distB="0" distL="0" distR="0" wp14:anchorId="0AB5DE15" wp14:editId="63499E42">
            <wp:extent cx="3811712" cy="4185912"/>
            <wp:effectExtent l="0" t="0" r="0" b="5715"/>
            <wp:docPr id="15894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6155" t="3551" r="6018"/>
                    <a:stretch/>
                  </pic:blipFill>
                  <pic:spPr bwMode="auto">
                    <a:xfrm>
                      <a:off x="0" y="0"/>
                      <a:ext cx="3811712" cy="4185912"/>
                    </a:xfrm>
                    <a:prstGeom prst="rect">
                      <a:avLst/>
                    </a:prstGeom>
                    <a:noFill/>
                    <a:ln>
                      <a:noFill/>
                    </a:ln>
                    <a:extLst>
                      <a:ext uri="{53640926-AAD7-44D8-BBD7-CCE9431645EC}">
                        <a14:shadowObscured xmlns:a14="http://schemas.microsoft.com/office/drawing/2010/main"/>
                      </a:ext>
                    </a:extLst>
                  </pic:spPr>
                </pic:pic>
              </a:graphicData>
            </a:graphic>
          </wp:inline>
        </w:drawing>
      </w:r>
    </w:p>
    <w:p w14:paraId="36FF2AC5" w14:textId="0BBD1E3A" w:rsidR="00C051ED" w:rsidRDefault="6A8D688E" w:rsidP="001407CA">
      <w:pPr>
        <w:spacing w:line="480" w:lineRule="auto"/>
        <w:ind w:firstLine="720"/>
      </w:pPr>
      <w:r>
        <w:t>F</w:t>
      </w:r>
      <w:r w:rsidR="00CC4A82">
        <w:t xml:space="preserve">or the analysis </w:t>
      </w:r>
      <w:r w:rsidR="009F72E4">
        <w:t>of</w:t>
      </w:r>
      <w:r w:rsidR="00A605BF">
        <w:t xml:space="preserve"> factors </w:t>
      </w:r>
      <w:r w:rsidR="00470F87">
        <w:t xml:space="preserve">associated with </w:t>
      </w:r>
      <w:r w:rsidR="00A605BF">
        <w:t>severe disease and mortality</w:t>
      </w:r>
      <w:r w:rsidR="41E0BB82">
        <w:t>, a</w:t>
      </w:r>
      <w:r w:rsidR="5069D6D8">
        <w:t xml:space="preserve"> positive malaria diagnosis </w:t>
      </w:r>
      <w:r w:rsidR="00CC4A82">
        <w:t xml:space="preserve">was </w:t>
      </w:r>
      <w:r w:rsidR="00A605BF">
        <w:t xml:space="preserve">defined </w:t>
      </w:r>
      <w:r w:rsidR="00CC4A82">
        <w:t xml:space="preserve">as a patient who </w:t>
      </w:r>
      <w:r w:rsidR="009F5307">
        <w:t xml:space="preserve">tested </w:t>
      </w:r>
      <w:r w:rsidR="00C83789">
        <w:t xml:space="preserve">positive </w:t>
      </w:r>
      <w:r w:rsidR="009F5307">
        <w:t xml:space="preserve">on </w:t>
      </w:r>
      <w:r w:rsidR="00C83789">
        <w:t>mRDT or microscopy</w:t>
      </w:r>
      <w:r w:rsidR="00871211">
        <w:t xml:space="preserve"> during IFBS enrollment (“surveillance” test)</w:t>
      </w:r>
      <w:r w:rsidR="00921B61">
        <w:t xml:space="preserve">. </w:t>
      </w:r>
      <w:r w:rsidR="00F8041A">
        <w:t>A positive</w:t>
      </w:r>
      <w:r w:rsidR="008930F0">
        <w:t xml:space="preserve"> malaria result on</w:t>
      </w:r>
      <w:r w:rsidR="00F8041A">
        <w:t xml:space="preserve"> TAC PCR test </w:t>
      </w:r>
      <w:r w:rsidR="001D6541">
        <w:t xml:space="preserve">only </w:t>
      </w:r>
      <w:r w:rsidR="00F8041A">
        <w:t xml:space="preserve">without a positive parasitological result was </w:t>
      </w:r>
      <w:r w:rsidR="006E4003">
        <w:t xml:space="preserve">considered </w:t>
      </w:r>
      <w:r w:rsidR="00887255">
        <w:t xml:space="preserve">a case of </w:t>
      </w:r>
      <w:r w:rsidR="006E4003">
        <w:t>submicro</w:t>
      </w:r>
      <w:r w:rsidR="0082440E">
        <w:t xml:space="preserve">scopic malaria </w:t>
      </w:r>
      <w:r w:rsidR="00887255">
        <w:t xml:space="preserve">and </w:t>
      </w:r>
      <w:r w:rsidR="00F8041A">
        <w:t xml:space="preserve">not </w:t>
      </w:r>
      <w:r w:rsidR="008C6955">
        <w:t>included in the analysis</w:t>
      </w:r>
      <w:r w:rsidR="00D8522B">
        <w:t xml:space="preserve">; this is aligned </w:t>
      </w:r>
      <w:r w:rsidR="00BD5B0C">
        <w:lastRenderedPageBreak/>
        <w:t>with the national guideline’s defi</w:t>
      </w:r>
      <w:r w:rsidR="009C1AF6">
        <w:t>ni</w:t>
      </w:r>
      <w:r w:rsidR="00BD5B0C">
        <w:t>tion of parasitological confirmation for clinical diagnosis</w:t>
      </w:r>
      <w:r w:rsidR="00631B52">
        <w:t>.</w:t>
      </w:r>
      <w:r w:rsidR="00A605BF">
        <w:t xml:space="preserve"> For the analysis assess</w:t>
      </w:r>
      <w:r w:rsidR="009F72E4">
        <w:t>ing</w:t>
      </w:r>
      <w:r w:rsidR="00A605BF">
        <w:t xml:space="preserve"> adherence</w:t>
      </w:r>
      <w:r w:rsidR="00780B4C">
        <w:t xml:space="preserve"> of clinical care</w:t>
      </w:r>
      <w:r w:rsidR="00A605BF">
        <w:t xml:space="preserve"> to </w:t>
      </w:r>
      <w:r w:rsidR="0004313A">
        <w:t xml:space="preserve">MOH </w:t>
      </w:r>
      <w:r w:rsidR="00A605BF">
        <w:t>guidelines,</w:t>
      </w:r>
      <w:r w:rsidR="00DB2060">
        <w:t xml:space="preserve"> </w:t>
      </w:r>
      <w:r w:rsidR="004B597F">
        <w:t>a</w:t>
      </w:r>
      <w:r w:rsidR="00DB2060">
        <w:t xml:space="preserve"> positive malaria </w:t>
      </w:r>
      <w:r w:rsidR="0004313A">
        <w:t>diagnosis was</w:t>
      </w:r>
      <w:r w:rsidR="00F67B3B">
        <w:t xml:space="preserve"> defined</w:t>
      </w:r>
      <w:r w:rsidR="00090B8B">
        <w:t xml:space="preserve"> as a patient</w:t>
      </w:r>
      <w:r w:rsidR="0004313A">
        <w:t xml:space="preserve"> </w:t>
      </w:r>
      <w:r w:rsidR="000523B8">
        <w:t xml:space="preserve">with a positive mRDT or </w:t>
      </w:r>
      <w:r w:rsidR="00513550">
        <w:t>microscopy</w:t>
      </w:r>
      <w:r w:rsidR="00412F8F">
        <w:t xml:space="preserve"> </w:t>
      </w:r>
      <w:r w:rsidR="007C0C2D">
        <w:t xml:space="preserve">performed </w:t>
      </w:r>
      <w:r w:rsidR="00412F8F">
        <w:t>by health facility staff as part of their routine care (</w:t>
      </w:r>
      <w:r w:rsidR="00045C79">
        <w:t>“clinical” test)</w:t>
      </w:r>
      <w:r w:rsidR="00987108">
        <w:t xml:space="preserve">, which </w:t>
      </w:r>
      <w:r w:rsidR="00450202">
        <w:t>we</w:t>
      </w:r>
      <w:r w:rsidR="00987108">
        <w:t xml:space="preserve">re the results used by the clinician </w:t>
      </w:r>
      <w:r w:rsidR="00200F94">
        <w:t xml:space="preserve">to </w:t>
      </w:r>
      <w:r w:rsidR="00987108">
        <w:t>manag</w:t>
      </w:r>
      <w:r w:rsidR="00200F94">
        <w:t>e</w:t>
      </w:r>
      <w:r w:rsidR="00987108">
        <w:t xml:space="preserve"> the patient</w:t>
      </w:r>
      <w:r w:rsidR="00A45293">
        <w:t>.</w:t>
      </w:r>
    </w:p>
    <w:p w14:paraId="7F9D928D" w14:textId="7D955D09" w:rsidR="00BE1B92" w:rsidRDefault="00DF2DEA" w:rsidP="001407CA">
      <w:pPr>
        <w:spacing w:line="480" w:lineRule="auto"/>
        <w:ind w:firstLine="720"/>
      </w:pPr>
      <w:r>
        <w:t xml:space="preserve">While all </w:t>
      </w:r>
      <w:r w:rsidR="00D943A0">
        <w:t>inpatients</w:t>
      </w:r>
      <w:r w:rsidR="005447C8">
        <w:t xml:space="preserve"> </w:t>
      </w:r>
      <w:r w:rsidR="00031055">
        <w:t>technically</w:t>
      </w:r>
      <w:r w:rsidR="005447C8">
        <w:t xml:space="preserve"> meet the definition of “severe malaria” by virtue of being</w:t>
      </w:r>
      <w:r w:rsidR="00DF4F56">
        <w:t xml:space="preserve"> assessed by a clinician to </w:t>
      </w:r>
      <w:r w:rsidR="00D943A0">
        <w:t>require</w:t>
      </w:r>
      <w:r w:rsidR="00DF4F56">
        <w:t xml:space="preserve"> hospitalization</w:t>
      </w:r>
      <w:r w:rsidR="003654D5">
        <w:t xml:space="preserve">, </w:t>
      </w:r>
      <w:r w:rsidR="008E02CC">
        <w:t xml:space="preserve">inclusion in the analysis of severe illness required documentation of </w:t>
      </w:r>
      <w:r w:rsidR="001B5654">
        <w:t xml:space="preserve">at least </w:t>
      </w:r>
      <w:r w:rsidR="00DC2DC6">
        <w:t xml:space="preserve">one </w:t>
      </w:r>
      <w:r w:rsidR="001B5654">
        <w:t>of the</w:t>
      </w:r>
      <w:r w:rsidR="00DC2DC6">
        <w:t xml:space="preserve"> following characteristics: physical exam findings of severe respiratory </w:t>
      </w:r>
      <w:r w:rsidR="00606359">
        <w:t xml:space="preserve">disease </w:t>
      </w:r>
      <w:r w:rsidR="00DC2DC6">
        <w:t>(i.e.</w:t>
      </w:r>
      <w:r w:rsidR="008D3D2C">
        <w:t>,</w:t>
      </w:r>
      <w:r w:rsidR="00DC2DC6">
        <w:t xml:space="preserve"> </w:t>
      </w:r>
      <w:r w:rsidR="000A72C6">
        <w:t xml:space="preserve">oxygen saturation of ≤90%, </w:t>
      </w:r>
      <w:r w:rsidR="00DC2DC6">
        <w:t xml:space="preserve">stridor, nasal flaring, lower chest indrawing, or grunting), </w:t>
      </w:r>
      <w:r w:rsidR="002801BC">
        <w:t xml:space="preserve">severe neurological </w:t>
      </w:r>
      <w:r w:rsidR="00606359">
        <w:t xml:space="preserve">disease </w:t>
      </w:r>
      <w:r w:rsidR="002801BC">
        <w:t>(i.e.</w:t>
      </w:r>
      <w:r w:rsidR="008D3D2C">
        <w:t>,</w:t>
      </w:r>
      <w:r w:rsidR="002801BC">
        <w:t xml:space="preserve"> </w:t>
      </w:r>
      <w:r w:rsidR="00020265">
        <w:t xml:space="preserve">level of consciousness below “alert” on the Alert/Verbal/Pain/Unresponsive [AVPU] scale, </w:t>
      </w:r>
      <w:r w:rsidR="002801BC">
        <w:t>convulsions, photophobia, nuchal rigidity, and bulging fontanelle)</w:t>
      </w:r>
      <w:r w:rsidR="00881534">
        <w:t xml:space="preserve">, </w:t>
      </w:r>
      <w:r w:rsidR="00896AEA">
        <w:t xml:space="preserve">jaundice, petechial rash, </w:t>
      </w:r>
      <w:r w:rsidR="00B00E55">
        <w:t>or</w:t>
      </w:r>
      <w:r w:rsidR="00881534">
        <w:t xml:space="preserve"> </w:t>
      </w:r>
      <w:r w:rsidR="00B00E55">
        <w:t xml:space="preserve">severe anemia </w:t>
      </w:r>
      <w:r w:rsidR="00606359">
        <w:t>(</w:t>
      </w:r>
      <w:r w:rsidR="00B00E55">
        <w:t>hemoglobin &lt;7g/</w:t>
      </w:r>
      <w:r w:rsidR="00B00E55" w:rsidRPr="00E7015A">
        <w:t>dL</w:t>
      </w:r>
      <w:r w:rsidR="00606359">
        <w:t>)</w:t>
      </w:r>
      <w:r w:rsidR="00B00E55" w:rsidRPr="00E7015A">
        <w:t>.</w:t>
      </w:r>
      <w:r w:rsidR="00E7015A" w:rsidRPr="00F32E21">
        <w:rPr>
          <w:sz w:val="20"/>
          <w:szCs w:val="20"/>
          <w:vertAlign w:val="superscript"/>
        </w:rPr>
        <w:t>6</w:t>
      </w:r>
      <w:r w:rsidR="00D32C51" w:rsidRPr="00E7015A">
        <w:t xml:space="preserve"> </w:t>
      </w:r>
      <w:r w:rsidR="002801BC" w:rsidRPr="00E7015A">
        <w:t>Patient</w:t>
      </w:r>
      <w:r w:rsidR="002801BC">
        <w:t xml:space="preserve"> outcomes were dichotomized to either discharged in stable condition or died</w:t>
      </w:r>
      <w:r w:rsidR="006C2FFF">
        <w:t xml:space="preserve">.  </w:t>
      </w:r>
      <w:r w:rsidR="006D269F">
        <w:t>T</w:t>
      </w:r>
      <w:r w:rsidR="00884925">
        <w:t>hose</w:t>
      </w:r>
      <w:r w:rsidR="2ED90BC4">
        <w:t xml:space="preserve"> with ambiguous outcomes -- such as </w:t>
      </w:r>
      <w:r w:rsidR="007078B2">
        <w:t xml:space="preserve">discharged against medical advice, transferred to another hospital </w:t>
      </w:r>
      <w:r w:rsidR="00A84DB9">
        <w:t>or missing outcome</w:t>
      </w:r>
      <w:r w:rsidR="006C2FFF">
        <w:t>—</w:t>
      </w:r>
      <w:r w:rsidR="00911E12">
        <w:t>were excluded from the</w:t>
      </w:r>
      <w:r w:rsidR="006D269F">
        <w:t xml:space="preserve"> mortality</w:t>
      </w:r>
      <w:r w:rsidR="00911E12">
        <w:t xml:space="preserve"> analysis</w:t>
      </w:r>
      <w:r w:rsidR="00D32C51">
        <w:t xml:space="preserve">. </w:t>
      </w:r>
    </w:p>
    <w:p w14:paraId="3784501A" w14:textId="215F2CB0" w:rsidR="00402C68" w:rsidRPr="00402C68" w:rsidRDefault="00C960F4" w:rsidP="008C2B7E">
      <w:pPr>
        <w:pStyle w:val="Heading2"/>
        <w:spacing w:line="480" w:lineRule="auto"/>
      </w:pPr>
      <w:r>
        <w:t>S</w:t>
      </w:r>
      <w:r w:rsidR="005E2F83" w:rsidRPr="005E2F83">
        <w:t>tatistical analysis</w:t>
      </w:r>
    </w:p>
    <w:p w14:paraId="7E1E4ECB" w14:textId="3E7CBFA8" w:rsidR="007E49DC" w:rsidRDefault="0030039A" w:rsidP="001407CA">
      <w:pPr>
        <w:spacing w:line="480" w:lineRule="auto"/>
        <w:ind w:firstLine="720"/>
      </w:pPr>
      <w:r>
        <w:t xml:space="preserve">Demographic </w:t>
      </w:r>
      <w:r w:rsidR="003C3494">
        <w:t xml:space="preserve">and baseline characteristics of the study population </w:t>
      </w:r>
      <w:r>
        <w:t>were described using frequencies</w:t>
      </w:r>
      <w:r w:rsidR="00A9077F">
        <w:t xml:space="preserve"> and percentages</w:t>
      </w:r>
      <w:r w:rsidR="00E05225">
        <w:t>,</w:t>
      </w:r>
      <w:r w:rsidR="00D40FE6">
        <w:t xml:space="preserve"> and chi-square test</w:t>
      </w:r>
      <w:r w:rsidR="00901E20">
        <w:t>s</w:t>
      </w:r>
      <w:r w:rsidR="00D40FE6">
        <w:t xml:space="preserve"> w</w:t>
      </w:r>
      <w:r w:rsidR="00901E20">
        <w:t>ere</w:t>
      </w:r>
      <w:r w:rsidR="00D40FE6">
        <w:t xml:space="preserve"> used to </w:t>
      </w:r>
      <w:r w:rsidR="005A596C">
        <w:t xml:space="preserve">test for </w:t>
      </w:r>
      <w:r w:rsidR="00762FC9">
        <w:t xml:space="preserve">statistical significance in differences. </w:t>
      </w:r>
      <w:r w:rsidR="008633DD" w:rsidRPr="00526B58">
        <w:t>B</w:t>
      </w:r>
      <w:r w:rsidR="0053439C" w:rsidRPr="00526B58">
        <w:t xml:space="preserve">ivariate </w:t>
      </w:r>
      <w:r w:rsidR="00A35488" w:rsidRPr="00526B58">
        <w:t xml:space="preserve">logistic regression </w:t>
      </w:r>
      <w:r w:rsidR="0053439C" w:rsidRPr="00526B58">
        <w:t>a</w:t>
      </w:r>
      <w:r w:rsidR="007E49DC" w:rsidRPr="00526B58">
        <w:t>nalys</w:t>
      </w:r>
      <w:r w:rsidR="00901E20">
        <w:t>e</w:t>
      </w:r>
      <w:r w:rsidR="007E49DC" w:rsidRPr="00526B58">
        <w:t>s w</w:t>
      </w:r>
      <w:r w:rsidR="00901E20">
        <w:t>ere</w:t>
      </w:r>
      <w:r w:rsidR="007E49DC" w:rsidRPr="00526B58">
        <w:t xml:space="preserve"> </w:t>
      </w:r>
      <w:r w:rsidR="00A35488" w:rsidRPr="00526B58">
        <w:t>performed in</w:t>
      </w:r>
      <w:r w:rsidR="007E49DC" w:rsidRPr="00526B58">
        <w:t xml:space="preserve"> R</w:t>
      </w:r>
      <w:r w:rsidR="00A35488" w:rsidRPr="00526B58">
        <w:t xml:space="preserve"> (</w:t>
      </w:r>
      <w:r w:rsidR="008019F3" w:rsidRPr="00526B58">
        <w:t>v4.</w:t>
      </w:r>
      <w:r w:rsidR="00000553" w:rsidRPr="00526B58">
        <w:t>4</w:t>
      </w:r>
      <w:r w:rsidR="008019F3" w:rsidRPr="00526B58">
        <w:t>.2)</w:t>
      </w:r>
      <w:r w:rsidR="00D32C51" w:rsidRPr="00526B58">
        <w:t xml:space="preserve">. </w:t>
      </w:r>
      <w:r w:rsidR="00451BD5" w:rsidRPr="00526B58">
        <w:t xml:space="preserve">To ascertain factors associated with severe illness </w:t>
      </w:r>
      <w:r w:rsidR="004845FA" w:rsidRPr="00526B58">
        <w:t xml:space="preserve">at enrollment </w:t>
      </w:r>
      <w:r w:rsidR="00451BD5" w:rsidRPr="00526B58">
        <w:t xml:space="preserve">and mortality, we looked at the following </w:t>
      </w:r>
      <w:r w:rsidR="00EC768C" w:rsidRPr="00526B58">
        <w:t xml:space="preserve">patient characteristics: sex, age, malaria epidemic zone of residence, number of days of fever prior to presentation, </w:t>
      </w:r>
      <w:r w:rsidR="00D71A34" w:rsidRPr="00526B58">
        <w:t>care-seeking prior to presentation</w:t>
      </w:r>
      <w:r w:rsidR="00AA1FFA" w:rsidRPr="00526B58">
        <w:t xml:space="preserve"> (</w:t>
      </w:r>
      <w:r w:rsidR="00D71A34" w:rsidRPr="00526B58">
        <w:t>including referrals from other health facilities</w:t>
      </w:r>
      <w:r w:rsidR="00AA1FFA" w:rsidRPr="00526B58">
        <w:t xml:space="preserve"> and</w:t>
      </w:r>
      <w:r w:rsidR="00D612F5" w:rsidRPr="00526B58">
        <w:t xml:space="preserve"> antimalarials taken</w:t>
      </w:r>
      <w:r w:rsidR="00AA1FFA" w:rsidRPr="00526B58">
        <w:t xml:space="preserve"> prior to admission)</w:t>
      </w:r>
      <w:r w:rsidR="3ED029B0" w:rsidRPr="00526B58">
        <w:t>,</w:t>
      </w:r>
      <w:r w:rsidR="00AA1FFA" w:rsidRPr="00526B58">
        <w:t xml:space="preserve"> </w:t>
      </w:r>
      <w:r w:rsidR="00EC768C" w:rsidRPr="00526B58">
        <w:t>pregnancy, HIV</w:t>
      </w:r>
      <w:r w:rsidR="024495CB" w:rsidRPr="00526B58">
        <w:t xml:space="preserve"> status</w:t>
      </w:r>
      <w:r w:rsidR="00EC768C" w:rsidRPr="00526B58">
        <w:t xml:space="preserve">, and </w:t>
      </w:r>
      <w:r w:rsidR="004225BC" w:rsidRPr="00526B58">
        <w:t>malnutrition</w:t>
      </w:r>
      <w:r w:rsidR="4C05A700" w:rsidRPr="00526B58">
        <w:t>.</w:t>
      </w:r>
      <w:r w:rsidR="00D32C51" w:rsidRPr="00526B58">
        <w:t xml:space="preserve"> </w:t>
      </w:r>
      <w:r w:rsidR="004225BC" w:rsidRPr="00526B58">
        <w:t xml:space="preserve">Pregnancy status was self-reported for </w:t>
      </w:r>
      <w:r w:rsidR="0042294A" w:rsidRPr="00526B58">
        <w:t>women aged 15-49 years</w:t>
      </w:r>
      <w:r w:rsidR="00AA434D" w:rsidRPr="00526B58">
        <w:t>, and HIV status</w:t>
      </w:r>
      <w:r w:rsidR="00322A97" w:rsidRPr="00526B58">
        <w:t xml:space="preserve"> </w:t>
      </w:r>
      <w:r w:rsidR="00AA434D" w:rsidRPr="00526B58">
        <w:t xml:space="preserve">was </w:t>
      </w:r>
      <w:r w:rsidR="00D841D9" w:rsidRPr="00526B58">
        <w:t xml:space="preserve">ascertained </w:t>
      </w:r>
      <w:r w:rsidR="00AA434D" w:rsidRPr="00526B58">
        <w:t xml:space="preserve">by self-report or the medical </w:t>
      </w:r>
      <w:r w:rsidR="00AA434D" w:rsidRPr="00526B58">
        <w:lastRenderedPageBreak/>
        <w:t>chart</w:t>
      </w:r>
      <w:r w:rsidR="00516B5F" w:rsidRPr="00526B58">
        <w:t xml:space="preserve"> </w:t>
      </w:r>
      <w:r w:rsidR="00741DF0" w:rsidRPr="00526B58">
        <w:t xml:space="preserve">but </w:t>
      </w:r>
      <w:r w:rsidR="00516B5F" w:rsidRPr="00526B58">
        <w:t xml:space="preserve">was not </w:t>
      </w:r>
      <w:r w:rsidR="00741DF0" w:rsidRPr="00526B58">
        <w:t>confirmed by HIV testing</w:t>
      </w:r>
      <w:r w:rsidR="00D32C51" w:rsidRPr="00526B58">
        <w:t xml:space="preserve">. </w:t>
      </w:r>
      <w:r w:rsidR="00516B5F" w:rsidRPr="00526B58">
        <w:t xml:space="preserve">Malnutrition status was determined by </w:t>
      </w:r>
      <w:r w:rsidR="009805BC" w:rsidRPr="00526B58">
        <w:t xml:space="preserve">age-based </w:t>
      </w:r>
      <w:r w:rsidR="00516B5F" w:rsidRPr="00526B58">
        <w:t xml:space="preserve">mid-upper arm circumference (MUAC) </w:t>
      </w:r>
      <w:r w:rsidR="009805BC" w:rsidRPr="00526B58">
        <w:t xml:space="preserve">cut-offs </w:t>
      </w:r>
      <w:r w:rsidR="00516B5F" w:rsidRPr="00526B58">
        <w:t>for children</w:t>
      </w:r>
      <w:r w:rsidR="00741DF0" w:rsidRPr="00526B58">
        <w:t xml:space="preserve"> aged</w:t>
      </w:r>
      <w:r w:rsidR="00516B5F" w:rsidRPr="00526B58">
        <w:t xml:space="preserve"> &lt;5 years</w:t>
      </w:r>
      <w:r w:rsidR="00AF0D76" w:rsidRPr="00526B58">
        <w:t>.</w:t>
      </w:r>
      <w:r w:rsidR="007C0B3B">
        <w:t xml:space="preserve">  </w:t>
      </w:r>
    </w:p>
    <w:p w14:paraId="7F10B9C9" w14:textId="327941BE" w:rsidR="008818EE" w:rsidRDefault="23D57757" w:rsidP="001407CA">
      <w:pPr>
        <w:spacing w:line="480" w:lineRule="auto"/>
        <w:ind w:firstLine="720"/>
      </w:pPr>
      <w:r>
        <w:t>Malaria c</w:t>
      </w:r>
      <w:r w:rsidR="61630D1E">
        <w:t xml:space="preserve">o-infection was defined as a </w:t>
      </w:r>
      <w:r w:rsidR="5211D78F" w:rsidRPr="00B458FA">
        <w:rPr>
          <w:i/>
          <w:iCs/>
        </w:rPr>
        <w:t>P</w:t>
      </w:r>
      <w:r w:rsidR="4D37A74C" w:rsidRPr="385DDE48">
        <w:rPr>
          <w:i/>
          <w:iCs/>
        </w:rPr>
        <w:t>lasmodium</w:t>
      </w:r>
      <w:r w:rsidR="61630D1E">
        <w:t xml:space="preserve"> species infection plus another non-</w:t>
      </w:r>
      <w:r w:rsidR="00901E20" w:rsidRPr="00B458FA">
        <w:rPr>
          <w:i/>
          <w:iCs/>
        </w:rPr>
        <w:t>P</w:t>
      </w:r>
      <w:r w:rsidR="61630D1E" w:rsidRPr="00B458FA">
        <w:rPr>
          <w:i/>
        </w:rPr>
        <w:t>lasmodium</w:t>
      </w:r>
      <w:r w:rsidR="61630D1E">
        <w:t xml:space="preserve"> pathogen detected on TAC PCR. </w:t>
      </w:r>
      <w:r w:rsidR="00CE6B9A">
        <w:t xml:space="preserve">We </w:t>
      </w:r>
      <w:r w:rsidR="7CCDEA0E">
        <w:t>determined</w:t>
      </w:r>
      <w:r w:rsidR="000A4CAC">
        <w:t xml:space="preserve"> the</w:t>
      </w:r>
      <w:r w:rsidR="00CE6B9A">
        <w:t xml:space="preserve"> </w:t>
      </w:r>
      <w:r w:rsidR="060AD37C">
        <w:t>odds of developing severe illness or dying with malaria mono-infection vs. co-infection</w:t>
      </w:r>
      <w:r w:rsidR="00FB6168">
        <w:t xml:space="preserve"> vs. other pathogens</w:t>
      </w:r>
      <w:r w:rsidR="6BDBC62F">
        <w:t xml:space="preserve"> using logistic regression</w:t>
      </w:r>
      <w:r w:rsidR="00741B00">
        <w:t xml:space="preserve"> and quantified the effects with odds ratios</w:t>
      </w:r>
      <w:r w:rsidR="060AD37C">
        <w:t>.</w:t>
      </w:r>
      <w:r w:rsidR="005E31DE">
        <w:t xml:space="preserve"> For the purposes of analyzing the TAC </w:t>
      </w:r>
      <w:r w:rsidR="00B458FA">
        <w:t xml:space="preserve">PCR </w:t>
      </w:r>
      <w:r w:rsidR="005E31DE">
        <w:t xml:space="preserve">results, we included data from all patients who had a TAC PCR, not </w:t>
      </w:r>
      <w:r w:rsidR="000A28DB">
        <w:t xml:space="preserve">limited to those with a positive malaria test.  </w:t>
      </w:r>
    </w:p>
    <w:p w14:paraId="72E19EE3" w14:textId="713D4AFE" w:rsidR="004355CE" w:rsidRDefault="007B2DDA" w:rsidP="001407CA">
      <w:pPr>
        <w:spacing w:line="480" w:lineRule="auto"/>
        <w:ind w:firstLine="720"/>
      </w:pPr>
      <w:r>
        <w:t xml:space="preserve">To assess </w:t>
      </w:r>
      <w:r w:rsidR="00B24950">
        <w:t xml:space="preserve">the </w:t>
      </w:r>
      <w:r>
        <w:t>accuracy of parasitological testing</w:t>
      </w:r>
      <w:r w:rsidR="00B4504C">
        <w:t xml:space="preserve"> by health facility staff</w:t>
      </w:r>
      <w:r>
        <w:t xml:space="preserve">, we </w:t>
      </w:r>
      <w:r w:rsidR="00D37D70">
        <w:t xml:space="preserve">assessed the </w:t>
      </w:r>
      <w:r w:rsidR="6686522A">
        <w:t xml:space="preserve">PCR positivity </w:t>
      </w:r>
      <w:r w:rsidR="00D7389B">
        <w:t>for both clinical and surveillance smears</w:t>
      </w:r>
      <w:r w:rsidR="62A01E52">
        <w:t xml:space="preserve"> and mRDTs</w:t>
      </w:r>
      <w:r w:rsidR="00D7389B">
        <w:t>.</w:t>
      </w:r>
      <w:r w:rsidR="00312518">
        <w:t xml:space="preserve"> While PCR results were not used for </w:t>
      </w:r>
      <w:r w:rsidR="30CD96BC">
        <w:t xml:space="preserve">malaria </w:t>
      </w:r>
      <w:r w:rsidR="00312518">
        <w:t xml:space="preserve">diagnosis, </w:t>
      </w:r>
      <w:r w:rsidR="002F06B0">
        <w:t xml:space="preserve">PCR </w:t>
      </w:r>
      <w:r w:rsidR="00CD18E7">
        <w:t>has a</w:t>
      </w:r>
      <w:r w:rsidR="002F06B0">
        <w:t xml:space="preserve"> </w:t>
      </w:r>
      <w:r w:rsidR="00CD18E7">
        <w:t xml:space="preserve">higher </w:t>
      </w:r>
      <w:r w:rsidR="004724B8">
        <w:t>sensitivity</w:t>
      </w:r>
      <w:r w:rsidR="126E4C3A">
        <w:t xml:space="preserve"> for detecting </w:t>
      </w:r>
      <w:r w:rsidR="126E4C3A" w:rsidRPr="00623E34">
        <w:rPr>
          <w:i/>
          <w:iCs/>
        </w:rPr>
        <w:t xml:space="preserve">Plasmodium </w:t>
      </w:r>
      <w:r w:rsidR="126E4C3A">
        <w:t>spp.</w:t>
      </w:r>
      <w:r w:rsidR="00C66DC3">
        <w:t xml:space="preserve">, </w:t>
      </w:r>
      <w:r w:rsidR="438832EE">
        <w:t>making it</w:t>
      </w:r>
      <w:r w:rsidR="00416D8F">
        <w:t xml:space="preserve"> possible to assess</w:t>
      </w:r>
      <w:r w:rsidR="00F24378">
        <w:t xml:space="preserve"> </w:t>
      </w:r>
      <w:r w:rsidR="1D144523">
        <w:t>mis</w:t>
      </w:r>
      <w:r w:rsidR="00C01027">
        <w:t xml:space="preserve">diagnoses </w:t>
      </w:r>
      <w:r w:rsidR="744B345F">
        <w:t>by</w:t>
      </w:r>
      <w:r w:rsidR="00C01027">
        <w:t xml:space="preserve"> microscopy</w:t>
      </w:r>
      <w:r w:rsidR="18F076BD">
        <w:t xml:space="preserve"> and mRDT</w:t>
      </w:r>
      <w:r w:rsidR="00C01027">
        <w:t xml:space="preserve">. </w:t>
      </w:r>
      <w:r w:rsidR="00C612F2">
        <w:t xml:space="preserve">To assess </w:t>
      </w:r>
      <w:r w:rsidR="00E9685B">
        <w:t xml:space="preserve">the </w:t>
      </w:r>
      <w:r w:rsidR="00C612F2">
        <w:t xml:space="preserve">quality of care provided, we examined whether patients </w:t>
      </w:r>
      <w:r w:rsidR="0079028A">
        <w:t xml:space="preserve">diagnosed with malaria by either clinical mRDT or microscopy test </w:t>
      </w:r>
      <w:r w:rsidR="007F6B2C">
        <w:t xml:space="preserve">received appropriate antimalarial treatment </w:t>
      </w:r>
      <w:r w:rsidR="00EA7AFF">
        <w:t>per national guidelines</w:t>
      </w:r>
      <w:r w:rsidR="00B0169D">
        <w:t>:</w:t>
      </w:r>
      <w:r w:rsidR="00EA7AFF">
        <w:t xml:space="preserve"> </w:t>
      </w:r>
      <w:r w:rsidR="007F6B2C">
        <w:t xml:space="preserve">injectable artesunate followed by a course of </w:t>
      </w:r>
      <w:r w:rsidR="002B1108">
        <w:t>artemeth</w:t>
      </w:r>
      <w:r w:rsidR="3C30332B">
        <w:t>e</w:t>
      </w:r>
      <w:r w:rsidR="002B1108">
        <w:t>r</w:t>
      </w:r>
      <w:r w:rsidR="7C5A23A8">
        <w:t>-</w:t>
      </w:r>
      <w:r w:rsidR="002B1108">
        <w:t>lum</w:t>
      </w:r>
      <w:r w:rsidR="50414ED4">
        <w:t>e</w:t>
      </w:r>
      <w:r w:rsidR="002B1108">
        <w:t>fant</w:t>
      </w:r>
      <w:r w:rsidR="7B0FFA89">
        <w:t>r</w:t>
      </w:r>
      <w:r w:rsidR="002B1108">
        <w:t>ine (</w:t>
      </w:r>
      <w:r w:rsidR="007F6B2C">
        <w:t>AL</w:t>
      </w:r>
      <w:r w:rsidR="002B1108">
        <w:t>)</w:t>
      </w:r>
      <w:r w:rsidR="007F6B2C">
        <w:t xml:space="preserve"> for severe disease, AL alone for uncomplicated disease</w:t>
      </w:r>
      <w:r w:rsidR="00EA7AFF">
        <w:t xml:space="preserve">; </w:t>
      </w:r>
      <w:r w:rsidR="009C2217">
        <w:t xml:space="preserve">and </w:t>
      </w:r>
      <w:r w:rsidR="00EA7AFF">
        <w:t xml:space="preserve">if artesunate was not available, </w:t>
      </w:r>
      <w:r w:rsidR="00A81530">
        <w:t xml:space="preserve">IV quinine </w:t>
      </w:r>
      <w:r w:rsidR="009C2217">
        <w:t>as</w:t>
      </w:r>
      <w:r w:rsidR="00A81530">
        <w:t xml:space="preserve"> an alternate choice</w:t>
      </w:r>
      <w:r w:rsidR="00851E0F">
        <w:t xml:space="preserve"> </w:t>
      </w:r>
      <w:r w:rsidR="00DE010B">
        <w:t xml:space="preserve">for severe disease </w:t>
      </w:r>
      <w:r w:rsidR="00851E0F">
        <w:t>(</w:t>
      </w:r>
      <w:r w:rsidR="00E534E9">
        <w:t xml:space="preserve">per the </w:t>
      </w:r>
      <w:r w:rsidR="00851E0F">
        <w:t>Kenya National Malaria Treatment Guidelines</w:t>
      </w:r>
      <w:r w:rsidR="00EA7AFF">
        <w:t>)</w:t>
      </w:r>
      <w:r w:rsidR="00A81530">
        <w:t xml:space="preserve">.  We also assessed the proportion of patients who received any antimalarial treatment without a documented </w:t>
      </w:r>
      <w:r w:rsidR="00101EB0">
        <w:t>parasitological</w:t>
      </w:r>
      <w:r w:rsidR="00A81530">
        <w:t xml:space="preserve"> diagno</w:t>
      </w:r>
      <w:r w:rsidR="00101EB0">
        <w:t>sis of malaria</w:t>
      </w:r>
      <w:r w:rsidR="009C1028">
        <w:t>, as this would</w:t>
      </w:r>
      <w:r w:rsidR="00C7635E">
        <w:t xml:space="preserve"> not be in accordance </w:t>
      </w:r>
      <w:r w:rsidR="09395931">
        <w:t>with</w:t>
      </w:r>
      <w:r w:rsidR="00C7635E">
        <w:t xml:space="preserve"> </w:t>
      </w:r>
      <w:r w:rsidR="009C1028">
        <w:t>national guidelines. Lastly, we assessed the proportion of patients with severe</w:t>
      </w:r>
      <w:r w:rsidR="00376FCC">
        <w:t xml:space="preserve"> malaria illness who received </w:t>
      </w:r>
      <w:r w:rsidR="00917A58">
        <w:t>empiric treatment with antibiotics per WHO guidelines, particularly in moderate to high transmission areas</w:t>
      </w:r>
      <w:r w:rsidR="001D0EC7">
        <w:t>, which is applicable in Kenya’s malaria endemic zones in western Kenya as well as on the coast</w:t>
      </w:r>
      <w:r w:rsidR="007E4DBE">
        <w:t xml:space="preserve"> (WHO</w:t>
      </w:r>
      <w:r w:rsidR="002406AE">
        <w:t xml:space="preserve"> guidelines for malaria, 30 Nov 2024)</w:t>
      </w:r>
      <w:r w:rsidR="00917A58">
        <w:t>.</w:t>
      </w:r>
      <w:r w:rsidR="00C7635E">
        <w:t xml:space="preserve"> </w:t>
      </w:r>
      <w:r w:rsidR="00917A58">
        <w:t xml:space="preserve"> </w:t>
      </w:r>
    </w:p>
    <w:p w14:paraId="54549224" w14:textId="77777777" w:rsidR="00C7635E" w:rsidRPr="003C27B4" w:rsidRDefault="00C7635E" w:rsidP="001407CA">
      <w:pPr>
        <w:spacing w:line="480" w:lineRule="auto"/>
        <w:ind w:firstLine="720"/>
      </w:pPr>
    </w:p>
    <w:p w14:paraId="0B658075" w14:textId="79F4EA43" w:rsidR="00784356" w:rsidRDefault="00784356" w:rsidP="001407CA">
      <w:pPr>
        <w:pStyle w:val="Heading1"/>
        <w:spacing w:line="480" w:lineRule="auto"/>
      </w:pPr>
      <w:r w:rsidRPr="00784356">
        <w:lastRenderedPageBreak/>
        <w:t>Results</w:t>
      </w:r>
    </w:p>
    <w:p w14:paraId="72372E90" w14:textId="54A001A1" w:rsidR="000F515B" w:rsidRDefault="5FAB5D82" w:rsidP="008C2B7E">
      <w:pPr>
        <w:spacing w:line="480" w:lineRule="auto"/>
        <w:ind w:firstLine="720"/>
      </w:pPr>
      <w:r>
        <w:t>In total, 9,4</w:t>
      </w:r>
      <w:r w:rsidR="5689CC22">
        <w:t>36</w:t>
      </w:r>
      <w:r>
        <w:t xml:space="preserve"> patient </w:t>
      </w:r>
      <w:r w:rsidR="4AFF36E7">
        <w:t xml:space="preserve">records were available from the </w:t>
      </w:r>
      <w:r w:rsidR="2518B904">
        <w:t>IFBS</w:t>
      </w:r>
      <w:r w:rsidR="4AFF36E7">
        <w:t xml:space="preserve"> platform from June 2017 to </w:t>
      </w:r>
      <w:r w:rsidR="5486A9C5">
        <w:t>July</w:t>
      </w:r>
      <w:r w:rsidR="4AFF36E7">
        <w:t xml:space="preserve"> 202</w:t>
      </w:r>
      <w:r w:rsidR="52F7D9DA">
        <w:t>4</w:t>
      </w:r>
      <w:r w:rsidR="5486A9C5">
        <w:t xml:space="preserve"> (</w:t>
      </w:r>
      <w:r w:rsidR="28A19A65" w:rsidRPr="004C6147">
        <w:t xml:space="preserve">Supplemental </w:t>
      </w:r>
      <w:r w:rsidR="5486A9C5" w:rsidRPr="004C6147">
        <w:t xml:space="preserve">figure </w:t>
      </w:r>
      <w:r w:rsidR="28A19A65" w:rsidRPr="004C6147">
        <w:t>2</w:t>
      </w:r>
      <w:r w:rsidR="5486A9C5" w:rsidRPr="004C6147">
        <w:t>)</w:t>
      </w:r>
      <w:r w:rsidR="66717FF0" w:rsidRPr="004C6147">
        <w:t xml:space="preserve">. </w:t>
      </w:r>
      <w:r w:rsidR="5486A9C5" w:rsidRPr="004C6147">
        <w:t>Of</w:t>
      </w:r>
      <w:r w:rsidR="5486A9C5">
        <w:t xml:space="preserve"> these, </w:t>
      </w:r>
      <w:r w:rsidR="00832AF8">
        <w:t xml:space="preserve">9,212 </w:t>
      </w:r>
      <w:r w:rsidR="00D206EF">
        <w:t>had a surveillance smear or mRDT and 2,232 (23.7%) tested positive for malaria</w:t>
      </w:r>
      <w:r w:rsidR="00E83E76">
        <w:t>.</w:t>
      </w:r>
      <w:r w:rsidR="006B6897">
        <w:t xml:space="preserve"> </w:t>
      </w:r>
      <w:r w:rsidR="02B79180">
        <w:t>Among 2,</w:t>
      </w:r>
      <w:r w:rsidR="7172D8CA">
        <w:t>19</w:t>
      </w:r>
      <w:r w:rsidR="29DE3907">
        <w:t>7</w:t>
      </w:r>
      <w:r w:rsidR="02B79180">
        <w:t xml:space="preserve"> patients with malaria who were hospitalized, </w:t>
      </w:r>
      <w:r w:rsidR="2DAF54E4">
        <w:t>713</w:t>
      </w:r>
      <w:r w:rsidR="02B79180">
        <w:t xml:space="preserve"> (</w:t>
      </w:r>
      <w:r w:rsidR="5843165D">
        <w:t>32</w:t>
      </w:r>
      <w:r w:rsidR="29F7C68E">
        <w:t>.5</w:t>
      </w:r>
      <w:r w:rsidR="02B79180">
        <w:t xml:space="preserve">%) met criteria for severe illness presentation and </w:t>
      </w:r>
      <w:r w:rsidR="28D13DEC">
        <w:t>16</w:t>
      </w:r>
      <w:r w:rsidR="02B79180">
        <w:t xml:space="preserve"> </w:t>
      </w:r>
      <w:r w:rsidR="7E34998A">
        <w:t>(</w:t>
      </w:r>
      <w:r w:rsidR="28D13DEC">
        <w:t>0.7</w:t>
      </w:r>
      <w:r w:rsidR="7E34998A">
        <w:t>%) died</w:t>
      </w:r>
      <w:r w:rsidR="741ABA44">
        <w:t>.</w:t>
      </w:r>
    </w:p>
    <w:p w14:paraId="3943BB72" w14:textId="0B8D82E4" w:rsidR="0089098A" w:rsidRDefault="00F00AD3" w:rsidP="001407CA">
      <w:pPr>
        <w:pStyle w:val="Heading2"/>
        <w:spacing w:line="480" w:lineRule="auto"/>
      </w:pPr>
      <w:r>
        <w:t>Factors associated with severe illness and mortality</w:t>
      </w:r>
    </w:p>
    <w:p w14:paraId="548B4EEE" w14:textId="6A4F0160" w:rsidR="0035265B" w:rsidRDefault="3DD470D5" w:rsidP="00811CA0">
      <w:pPr>
        <w:spacing w:line="480" w:lineRule="auto"/>
        <w:ind w:firstLine="720"/>
      </w:pPr>
      <w:r>
        <w:t xml:space="preserve">Table </w:t>
      </w:r>
      <w:r w:rsidR="37E505BE">
        <w:t>1</w:t>
      </w:r>
      <w:r w:rsidR="359537F3">
        <w:t xml:space="preserve"> shows the results from </w:t>
      </w:r>
      <w:r w:rsidR="15BC9CFD">
        <w:t>bivariate</w:t>
      </w:r>
      <w:r w:rsidR="75DD9130">
        <w:t xml:space="preserve"> analysis</w:t>
      </w:r>
      <w:r w:rsidR="02E9BAF5">
        <w:t xml:space="preserve"> o</w:t>
      </w:r>
      <w:r w:rsidR="0013603B">
        <w:t>f</w:t>
      </w:r>
      <w:r w:rsidR="02E9BAF5">
        <w:t xml:space="preserve"> factors associated with severe illness presentation and mortality</w:t>
      </w:r>
      <w:r w:rsidR="66717FF0">
        <w:t xml:space="preserve">. </w:t>
      </w:r>
      <w:r w:rsidR="75DD9130">
        <w:t>In summary, patients had greater odds of severe illness if they were very young (</w:t>
      </w:r>
      <w:r w:rsidR="09653CB7">
        <w:t xml:space="preserve">aged </w:t>
      </w:r>
      <w:r w:rsidR="75DD9130">
        <w:t xml:space="preserve">&lt;1 year), </w:t>
      </w:r>
      <w:r w:rsidR="09653CB7">
        <w:t>had a</w:t>
      </w:r>
      <w:r w:rsidR="75DD9130">
        <w:t xml:space="preserve"> longer </w:t>
      </w:r>
      <w:r w:rsidR="09653CB7">
        <w:t xml:space="preserve">fever </w:t>
      </w:r>
      <w:r w:rsidR="75DD9130">
        <w:t xml:space="preserve">duration </w:t>
      </w:r>
      <w:r w:rsidR="09653CB7">
        <w:t>before presentation</w:t>
      </w:r>
      <w:r w:rsidR="75DD9130">
        <w:t xml:space="preserve">, </w:t>
      </w:r>
      <w:r w:rsidR="6FAFB710">
        <w:t xml:space="preserve">or </w:t>
      </w:r>
      <w:r w:rsidR="427B12A1">
        <w:t>ha</w:t>
      </w:r>
      <w:r w:rsidR="09653CB7">
        <w:t>d</w:t>
      </w:r>
      <w:r w:rsidR="427B12A1">
        <w:t xml:space="preserve"> sought </w:t>
      </w:r>
      <w:r w:rsidR="1C7D26A2">
        <w:t>care at another facility</w:t>
      </w:r>
      <w:r w:rsidR="44CFB393">
        <w:t xml:space="preserve"> </w:t>
      </w:r>
      <w:r w:rsidR="427B12A1">
        <w:t xml:space="preserve">or </w:t>
      </w:r>
      <w:r w:rsidR="09653CB7">
        <w:t xml:space="preserve">been </w:t>
      </w:r>
      <w:r w:rsidR="427B12A1">
        <w:t>referred from another</w:t>
      </w:r>
      <w:r w:rsidR="7A0C6DF1">
        <w:t xml:space="preserve"> health facility, </w:t>
      </w:r>
      <w:r w:rsidR="2FB4EF39">
        <w:t xml:space="preserve">including </w:t>
      </w:r>
      <w:r w:rsidR="51F0B165">
        <w:t xml:space="preserve">self-report of having received antimalarials </w:t>
      </w:r>
      <w:r w:rsidR="0027691E">
        <w:t>in the last 7 days</w:t>
      </w:r>
      <w:r w:rsidR="66717FF0">
        <w:t xml:space="preserve">. </w:t>
      </w:r>
      <w:r w:rsidR="0DD8E0EA">
        <w:t>Similar</w:t>
      </w:r>
      <w:r w:rsidR="0FAA6B2A">
        <w:t>ly,</w:t>
      </w:r>
      <w:r w:rsidR="5E21628D">
        <w:t xml:space="preserve"> </w:t>
      </w:r>
      <w:r w:rsidR="7C6949CB">
        <w:t>longe</w:t>
      </w:r>
      <w:r w:rsidR="5BD14B9C">
        <w:t>r</w:t>
      </w:r>
      <w:r w:rsidR="7C6949CB">
        <w:t xml:space="preserve"> fever</w:t>
      </w:r>
      <w:r w:rsidR="5BD14B9C">
        <w:t xml:space="preserve"> duration</w:t>
      </w:r>
      <w:r w:rsidR="7C6949CB">
        <w:t xml:space="preserve">, </w:t>
      </w:r>
      <w:r w:rsidR="4214F92D">
        <w:t>being referred from another health facility</w:t>
      </w:r>
      <w:r w:rsidR="1B1BE8CF">
        <w:t xml:space="preserve">, </w:t>
      </w:r>
      <w:r w:rsidR="35C5B597">
        <w:t xml:space="preserve">and </w:t>
      </w:r>
      <w:r w:rsidR="430A3CBE">
        <w:t xml:space="preserve">having received </w:t>
      </w:r>
      <w:r w:rsidR="34BDE48E">
        <w:t>antimalarials in the last 7 days</w:t>
      </w:r>
      <w:r w:rsidR="1C2E0C4B">
        <w:t xml:space="preserve"> </w:t>
      </w:r>
      <w:r w:rsidR="02E9BAF5">
        <w:t>were</w:t>
      </w:r>
      <w:r w:rsidR="23D63670">
        <w:t xml:space="preserve"> associated with greater odds of mortality</w:t>
      </w:r>
      <w:r w:rsidR="02E9BAF5">
        <w:t>.</w:t>
      </w:r>
      <w:r w:rsidR="73C78498">
        <w:t xml:space="preserve"> </w:t>
      </w:r>
      <w:r w:rsidR="22903CCA">
        <w:t xml:space="preserve">Severe </w:t>
      </w:r>
      <w:r w:rsidR="5FA35785">
        <w:t>illness</w:t>
      </w:r>
      <w:r w:rsidR="22903CCA">
        <w:t xml:space="preserve"> was also associated with </w:t>
      </w:r>
      <w:r w:rsidR="6249DC7E">
        <w:t xml:space="preserve">mortality among patients with malaria. </w:t>
      </w:r>
    </w:p>
    <w:p w14:paraId="26C83E0F" w14:textId="1BB48A2C" w:rsidR="00F00AD3" w:rsidRDefault="00F00AD3" w:rsidP="001407CA">
      <w:pPr>
        <w:pStyle w:val="Heading2"/>
        <w:spacing w:line="480" w:lineRule="auto"/>
      </w:pPr>
      <w:r>
        <w:t>Malaria co-infections</w:t>
      </w:r>
      <w:r w:rsidR="001D7C0E">
        <w:t xml:space="preserve"> and association with disease severity and mortality</w:t>
      </w:r>
    </w:p>
    <w:p w14:paraId="153657BF" w14:textId="0E462BB4" w:rsidR="002907AC" w:rsidRPr="0005639F" w:rsidRDefault="0C4C3324" w:rsidP="001407CA">
      <w:pPr>
        <w:spacing w:line="480" w:lineRule="auto"/>
        <w:ind w:firstLine="720"/>
        <w:rPr>
          <w:b/>
          <w:bCs/>
        </w:rPr>
      </w:pPr>
      <w:r>
        <w:t>TAC PCR</w:t>
      </w:r>
      <w:r w:rsidR="408E5BE4">
        <w:t xml:space="preserve"> </w:t>
      </w:r>
      <w:r w:rsidR="0A17303A">
        <w:t xml:space="preserve">was done on </w:t>
      </w:r>
      <w:r w:rsidR="700D8ED9">
        <w:t>6,069</w:t>
      </w:r>
      <w:r w:rsidR="0A17303A">
        <w:t xml:space="preserve"> patients presenting with AFI</w:t>
      </w:r>
      <w:r w:rsidR="00EB4762">
        <w:t>;</w:t>
      </w:r>
      <w:r w:rsidR="01330323">
        <w:t xml:space="preserve"> </w:t>
      </w:r>
      <w:r w:rsidR="01330323" w:rsidRPr="2E81FE77">
        <w:rPr>
          <w:i/>
          <w:iCs/>
        </w:rPr>
        <w:t>P. falciparum</w:t>
      </w:r>
      <w:r w:rsidR="01330323">
        <w:t xml:space="preserve"> was detected in 2,09</w:t>
      </w:r>
      <w:r w:rsidR="5B3F8F22">
        <w:t>3</w:t>
      </w:r>
      <w:r w:rsidR="01330323">
        <w:t xml:space="preserve"> (34.5%)</w:t>
      </w:r>
      <w:r w:rsidR="641A7007">
        <w:t xml:space="preserve"> cases</w:t>
      </w:r>
      <w:r w:rsidR="00EB4762">
        <w:t xml:space="preserve"> (Table 2)</w:t>
      </w:r>
      <w:r w:rsidR="641A7007">
        <w:t>.</w:t>
      </w:r>
      <w:r w:rsidR="5FB814F8">
        <w:t xml:space="preserve"> </w:t>
      </w:r>
      <w:r w:rsidR="5B3CC46F">
        <w:t xml:space="preserve">Narrowing the results only to </w:t>
      </w:r>
      <w:r w:rsidR="5B3F8F22">
        <w:t xml:space="preserve">inpatients </w:t>
      </w:r>
      <w:r w:rsidR="5B3CC46F">
        <w:t xml:space="preserve">with </w:t>
      </w:r>
      <w:r w:rsidR="5B3F8F22">
        <w:t xml:space="preserve">a positive </w:t>
      </w:r>
      <w:r w:rsidR="5B3CC46F">
        <w:t xml:space="preserve">surveillance </w:t>
      </w:r>
      <w:r w:rsidR="000E0825">
        <w:t>m</w:t>
      </w:r>
      <w:r w:rsidR="5B3CC46F">
        <w:t xml:space="preserve">RDT and/or </w:t>
      </w:r>
      <w:r w:rsidR="28AA3436">
        <w:t xml:space="preserve">positive blood </w:t>
      </w:r>
      <w:r w:rsidR="5B3CC46F">
        <w:t xml:space="preserve">smear, </w:t>
      </w:r>
      <w:r w:rsidR="1A8E689F" w:rsidRPr="00D10385">
        <w:rPr>
          <w:i/>
          <w:iCs/>
        </w:rPr>
        <w:t>P</w:t>
      </w:r>
      <w:r w:rsidR="00F20322">
        <w:rPr>
          <w:i/>
          <w:iCs/>
        </w:rPr>
        <w:t xml:space="preserve">lasmodium spp. </w:t>
      </w:r>
      <w:r w:rsidR="1A8E689F">
        <w:t>was detected in 94.</w:t>
      </w:r>
      <w:r w:rsidR="5B3F8F22">
        <w:t>3</w:t>
      </w:r>
      <w:r w:rsidR="1A8E689F">
        <w:t>%.</w:t>
      </w:r>
      <w:r w:rsidR="5CAD903A">
        <w:t xml:space="preserve"> </w:t>
      </w:r>
      <w:r w:rsidR="00B528B1">
        <w:t xml:space="preserve">Among those who tested positive </w:t>
      </w:r>
      <w:r w:rsidR="00207887">
        <w:t>with an mRDT or smear, t</w:t>
      </w:r>
      <w:r w:rsidR="5CAD903A">
        <w:t xml:space="preserve">he most common co-infection pathogen detected </w:t>
      </w:r>
      <w:r w:rsidR="1EC73782">
        <w:t xml:space="preserve">by TAC PCR </w:t>
      </w:r>
      <w:r w:rsidR="5CAD903A">
        <w:t>was non-typhoid Salmonella (NTS)</w:t>
      </w:r>
      <w:r w:rsidR="340645A7">
        <w:t xml:space="preserve"> with 26 cases (2.0%), followed by HIV-1 (1.</w:t>
      </w:r>
      <w:r w:rsidR="769A0760">
        <w:t>2</w:t>
      </w:r>
      <w:r w:rsidR="340645A7">
        <w:t>%)</w:t>
      </w:r>
      <w:r w:rsidR="00696812">
        <w:t>,</w:t>
      </w:r>
      <w:r w:rsidR="340645A7">
        <w:t xml:space="preserve"> </w:t>
      </w:r>
      <w:r w:rsidR="340645A7" w:rsidRPr="00715CBA">
        <w:rPr>
          <w:i/>
        </w:rPr>
        <w:t>Rickett</w:t>
      </w:r>
      <w:r w:rsidR="6267BE36" w:rsidRPr="00715CBA">
        <w:rPr>
          <w:i/>
        </w:rPr>
        <w:t>s</w:t>
      </w:r>
      <w:r w:rsidR="340645A7" w:rsidRPr="00715CBA">
        <w:rPr>
          <w:i/>
        </w:rPr>
        <w:t>ia</w:t>
      </w:r>
      <w:r w:rsidR="340645A7">
        <w:t xml:space="preserve"> (0</w:t>
      </w:r>
      <w:r w:rsidR="769A0760">
        <w:t>.9</w:t>
      </w:r>
      <w:r w:rsidR="340645A7">
        <w:t>%)</w:t>
      </w:r>
      <w:r w:rsidR="00696812">
        <w:t>,</w:t>
      </w:r>
      <w:r w:rsidR="340645A7">
        <w:t xml:space="preserve"> and </w:t>
      </w:r>
      <w:r w:rsidR="6267BE36">
        <w:t>Dengue virus (0.</w:t>
      </w:r>
      <w:r w:rsidR="1CF27773">
        <w:t>9</w:t>
      </w:r>
      <w:r w:rsidR="6267BE36">
        <w:t xml:space="preserve">%). </w:t>
      </w:r>
      <w:r w:rsidR="7BF7D375">
        <w:t xml:space="preserve">There was no clear pattern of association between TAC </w:t>
      </w:r>
      <w:r w:rsidR="358942FD">
        <w:t xml:space="preserve">PCR </w:t>
      </w:r>
      <w:r w:rsidR="7BF7D375">
        <w:t>test result</w:t>
      </w:r>
      <w:r w:rsidR="3627486B">
        <w:t>s</w:t>
      </w:r>
      <w:r w:rsidR="7BF7D375">
        <w:t xml:space="preserve"> and disease severity. However, compared to detection of </w:t>
      </w:r>
      <w:r w:rsidR="7399F557" w:rsidRPr="385DDE48">
        <w:rPr>
          <w:i/>
          <w:iCs/>
        </w:rPr>
        <w:t>P</w:t>
      </w:r>
      <w:r w:rsidR="1F5A6234" w:rsidRPr="385DDE48">
        <w:rPr>
          <w:i/>
          <w:iCs/>
        </w:rPr>
        <w:t>lasmodium</w:t>
      </w:r>
      <w:r w:rsidR="7BF7D375">
        <w:t xml:space="preserve"> alone, the odds of mortality </w:t>
      </w:r>
      <w:r w:rsidR="2D83E8CF">
        <w:t>w</w:t>
      </w:r>
      <w:r w:rsidR="45CF18A6">
        <w:t>ere</w:t>
      </w:r>
      <w:r w:rsidR="7BF7D375">
        <w:t xml:space="preserve"> higher for malaria co-infection, detection of a non-</w:t>
      </w:r>
      <w:r w:rsidR="00901E20" w:rsidRPr="000C759C">
        <w:rPr>
          <w:i/>
          <w:iCs/>
        </w:rPr>
        <w:t>P</w:t>
      </w:r>
      <w:r w:rsidR="7BF7D375" w:rsidRPr="000C759C">
        <w:rPr>
          <w:i/>
        </w:rPr>
        <w:t>lasmodium</w:t>
      </w:r>
      <w:r w:rsidR="7BF7D375">
        <w:t xml:space="preserve"> pathogen(s), or a negative TAC result</w:t>
      </w:r>
      <w:r w:rsidR="00E24D5B">
        <w:t>.</w:t>
      </w:r>
      <w:r w:rsidR="7BF7D375">
        <w:t xml:space="preserve"> </w:t>
      </w:r>
      <w:r w:rsidR="00E24D5B">
        <w:t xml:space="preserve">Though </w:t>
      </w:r>
      <w:r w:rsidR="7BF7D375">
        <w:t xml:space="preserve">only detection of </w:t>
      </w:r>
      <w:r w:rsidR="7BF7D375">
        <w:lastRenderedPageBreak/>
        <w:t>a non-</w:t>
      </w:r>
      <w:r w:rsidR="00901E20" w:rsidRPr="000C759C">
        <w:rPr>
          <w:i/>
          <w:iCs/>
        </w:rPr>
        <w:t>P</w:t>
      </w:r>
      <w:r w:rsidR="7BF7D375" w:rsidRPr="000C759C">
        <w:rPr>
          <w:i/>
        </w:rPr>
        <w:t>lasmodium</w:t>
      </w:r>
      <w:r w:rsidR="7BF7D375">
        <w:t xml:space="preserve"> pathogen was statistically significant</w:t>
      </w:r>
      <w:r w:rsidR="00E24D5B">
        <w:t>, there was near significance of patients who had a negative TAC result</w:t>
      </w:r>
      <w:r w:rsidR="7BF7D375">
        <w:t xml:space="preserve"> (Table 3). </w:t>
      </w:r>
    </w:p>
    <w:p w14:paraId="24570ACB" w14:textId="2F6CCFC2" w:rsidR="008B3ED9" w:rsidRPr="000B7FC8" w:rsidRDefault="51CD2175" w:rsidP="00C01EA0">
      <w:pPr>
        <w:pStyle w:val="Heading2"/>
        <w:spacing w:line="240" w:lineRule="auto"/>
        <w:rPr>
          <w:b/>
          <w:bCs/>
          <w:sz w:val="22"/>
          <w:szCs w:val="22"/>
        </w:rPr>
      </w:pPr>
      <w:r w:rsidRPr="000B7FC8">
        <w:rPr>
          <w:b/>
          <w:bCs/>
          <w:sz w:val="22"/>
          <w:szCs w:val="22"/>
        </w:rPr>
        <w:t>Table 2:  Pathogens detected on T</w:t>
      </w:r>
      <w:r w:rsidR="272D39F3" w:rsidRPr="000B7FC8">
        <w:rPr>
          <w:b/>
          <w:bCs/>
          <w:sz w:val="22"/>
          <w:szCs w:val="22"/>
        </w:rPr>
        <w:t xml:space="preserve">aqMan </w:t>
      </w:r>
      <w:r w:rsidRPr="000B7FC8">
        <w:rPr>
          <w:b/>
          <w:bCs/>
          <w:sz w:val="22"/>
          <w:szCs w:val="22"/>
        </w:rPr>
        <w:t>A</w:t>
      </w:r>
      <w:r w:rsidR="272D39F3" w:rsidRPr="000B7FC8">
        <w:rPr>
          <w:b/>
          <w:bCs/>
          <w:sz w:val="22"/>
          <w:szCs w:val="22"/>
        </w:rPr>
        <w:t xml:space="preserve">rray </w:t>
      </w:r>
      <w:r w:rsidRPr="000B7FC8">
        <w:rPr>
          <w:b/>
          <w:bCs/>
          <w:sz w:val="22"/>
          <w:szCs w:val="22"/>
        </w:rPr>
        <w:t>C</w:t>
      </w:r>
      <w:r w:rsidR="272D39F3" w:rsidRPr="000B7FC8">
        <w:rPr>
          <w:b/>
          <w:bCs/>
          <w:sz w:val="22"/>
          <w:szCs w:val="22"/>
        </w:rPr>
        <w:t>ard</w:t>
      </w:r>
      <w:r w:rsidRPr="000B7FC8">
        <w:rPr>
          <w:b/>
          <w:bCs/>
          <w:sz w:val="22"/>
          <w:szCs w:val="22"/>
        </w:rPr>
        <w:t xml:space="preserve"> </w:t>
      </w:r>
      <w:r w:rsidR="44F7CCF2" w:rsidRPr="000B7FC8">
        <w:rPr>
          <w:b/>
          <w:bCs/>
          <w:sz w:val="22"/>
          <w:szCs w:val="22"/>
        </w:rPr>
        <w:t>of persons with acute febrile illness in Kenya, 2017-</w:t>
      </w:r>
      <w:r w:rsidR="4D80362E" w:rsidRPr="000B7FC8">
        <w:rPr>
          <w:b/>
          <w:bCs/>
          <w:sz w:val="22"/>
          <w:szCs w:val="22"/>
        </w:rPr>
        <w:t>2024</w:t>
      </w:r>
    </w:p>
    <w:tbl>
      <w:tblPr>
        <w:tblW w:w="8010" w:type="dxa"/>
        <w:tblLayout w:type="fixed"/>
        <w:tblLook w:val="04A0" w:firstRow="1" w:lastRow="0" w:firstColumn="1" w:lastColumn="0" w:noHBand="0" w:noVBand="1"/>
      </w:tblPr>
      <w:tblGrid>
        <w:gridCol w:w="4230"/>
        <w:gridCol w:w="1890"/>
        <w:gridCol w:w="1890"/>
      </w:tblGrid>
      <w:tr w:rsidR="00FE18ED" w:rsidRPr="00D37B2D" w14:paraId="4450DD40" w14:textId="77777777" w:rsidTr="48F4EE4A">
        <w:trPr>
          <w:trHeight w:val="20"/>
        </w:trPr>
        <w:tc>
          <w:tcPr>
            <w:tcW w:w="4230" w:type="dxa"/>
            <w:tcBorders>
              <w:top w:val="single" w:sz="4" w:space="0" w:color="auto"/>
              <w:left w:val="nil"/>
              <w:bottom w:val="single" w:sz="4" w:space="0" w:color="auto"/>
              <w:right w:val="nil"/>
            </w:tcBorders>
            <w:shd w:val="clear" w:color="auto" w:fill="auto"/>
            <w:noWrap/>
            <w:vAlign w:val="center"/>
            <w:hideMark/>
          </w:tcPr>
          <w:p w14:paraId="3FE99904" w14:textId="5E82DEA9" w:rsidR="00FE18ED" w:rsidRPr="00091B01" w:rsidRDefault="00FE18ED" w:rsidP="00D768D6">
            <w:pPr>
              <w:spacing w:after="0" w:line="240" w:lineRule="auto"/>
              <w:jc w:val="center"/>
              <w:rPr>
                <w:rFonts w:ascii="Calibri" w:eastAsia="Times New Roman" w:hAnsi="Calibri" w:cs="Calibri"/>
                <w:color w:val="000000"/>
                <w:kern w:val="0"/>
                <w:sz w:val="18"/>
                <w:szCs w:val="18"/>
                <w:vertAlign w:val="superscript"/>
                <w14:ligatures w14:val="none"/>
              </w:rPr>
            </w:pPr>
            <w:r w:rsidRPr="00091B01">
              <w:rPr>
                <w:rFonts w:ascii="Calibri" w:eastAsia="Times New Roman" w:hAnsi="Calibri" w:cs="Calibri"/>
                <w:color w:val="000000"/>
                <w:kern w:val="0"/>
                <w:sz w:val="18"/>
                <w:szCs w:val="18"/>
                <w14:ligatures w14:val="none"/>
              </w:rPr>
              <w:t>Pathogen</w:t>
            </w:r>
            <w:r w:rsidR="00C377B1" w:rsidRPr="00091B01">
              <w:rPr>
                <w:rFonts w:ascii="Calibri" w:eastAsia="Times New Roman" w:hAnsi="Calibri" w:cs="Calibri"/>
                <w:color w:val="000000"/>
                <w:kern w:val="0"/>
                <w:sz w:val="18"/>
                <w:szCs w:val="18"/>
                <w14:ligatures w14:val="none"/>
              </w:rPr>
              <w:t>*</w:t>
            </w:r>
            <w:r w:rsidR="00564EB3" w:rsidRPr="00091B01">
              <w:rPr>
                <w:rFonts w:ascii="Calibri" w:eastAsia="Times New Roman" w:hAnsi="Calibri" w:cs="Calibri"/>
                <w:color w:val="000000"/>
                <w:kern w:val="0"/>
                <w:sz w:val="18"/>
                <w:szCs w:val="18"/>
                <w:vertAlign w:val="superscript"/>
                <w14:ligatures w14:val="none"/>
              </w:rPr>
              <w:t>,†</w:t>
            </w:r>
          </w:p>
        </w:tc>
        <w:tc>
          <w:tcPr>
            <w:tcW w:w="1890" w:type="dxa"/>
            <w:tcBorders>
              <w:top w:val="single" w:sz="4" w:space="0" w:color="auto"/>
              <w:left w:val="nil"/>
              <w:bottom w:val="single" w:sz="4" w:space="0" w:color="auto"/>
              <w:right w:val="nil"/>
            </w:tcBorders>
            <w:shd w:val="clear" w:color="auto" w:fill="auto"/>
            <w:vAlign w:val="center"/>
            <w:hideMark/>
          </w:tcPr>
          <w:p w14:paraId="7FA01447" w14:textId="0255DB7D" w:rsidR="00FE18ED" w:rsidRPr="00091B01" w:rsidRDefault="00FE18ED" w:rsidP="00D768D6">
            <w:pPr>
              <w:spacing w:after="0" w:line="240" w:lineRule="auto"/>
              <w:jc w:val="center"/>
              <w:rPr>
                <w:rFonts w:ascii="Calibri" w:eastAsia="Times New Roman" w:hAnsi="Calibri" w:cs="Calibri"/>
                <w:color w:val="000000"/>
                <w:kern w:val="0"/>
                <w:sz w:val="18"/>
                <w:szCs w:val="18"/>
                <w:vertAlign w:val="superscript"/>
                <w14:ligatures w14:val="none"/>
              </w:rPr>
            </w:pPr>
            <w:r w:rsidRPr="00091B01">
              <w:rPr>
                <w:rFonts w:ascii="Calibri" w:eastAsia="Times New Roman" w:hAnsi="Calibri" w:cs="Calibri"/>
                <w:color w:val="000000"/>
                <w:kern w:val="0"/>
                <w:sz w:val="18"/>
                <w:szCs w:val="18"/>
                <w14:ligatures w14:val="none"/>
              </w:rPr>
              <w:t xml:space="preserve">All persons with </w:t>
            </w:r>
            <w:r w:rsidR="33B7A29A" w:rsidRPr="00091B01">
              <w:rPr>
                <w:rFonts w:ascii="Calibri" w:eastAsia="Times New Roman" w:hAnsi="Calibri" w:cs="Calibri"/>
                <w:color w:val="000000"/>
                <w:kern w:val="0"/>
                <w:sz w:val="18"/>
                <w:szCs w:val="18"/>
                <w14:ligatures w14:val="none"/>
              </w:rPr>
              <w:t>AFI with</w:t>
            </w:r>
            <w:r w:rsidRPr="00091B01">
              <w:rPr>
                <w:rFonts w:ascii="Calibri" w:eastAsia="Times New Roman" w:hAnsi="Calibri" w:cs="Calibri"/>
                <w:color w:val="000000"/>
                <w:kern w:val="0"/>
                <w:sz w:val="18"/>
                <w:szCs w:val="18"/>
                <w14:ligatures w14:val="none"/>
              </w:rPr>
              <w:t xml:space="preserve"> TAC done (N = 6069)</w:t>
            </w:r>
            <w:r w:rsidR="00564EB3" w:rsidRPr="00091B01">
              <w:rPr>
                <w:rFonts w:ascii="Calibri" w:eastAsia="Times New Roman" w:hAnsi="Calibri" w:cs="Calibri"/>
                <w:color w:val="000000"/>
                <w:kern w:val="0"/>
                <w:sz w:val="18"/>
                <w:szCs w:val="18"/>
                <w:vertAlign w:val="superscript"/>
                <w14:ligatures w14:val="none"/>
              </w:rPr>
              <w:t>‡</w:t>
            </w:r>
          </w:p>
        </w:tc>
        <w:tc>
          <w:tcPr>
            <w:tcW w:w="1890" w:type="dxa"/>
            <w:tcBorders>
              <w:top w:val="single" w:sz="4" w:space="0" w:color="auto"/>
              <w:left w:val="nil"/>
              <w:bottom w:val="single" w:sz="4" w:space="0" w:color="auto"/>
              <w:right w:val="nil"/>
            </w:tcBorders>
            <w:shd w:val="clear" w:color="auto" w:fill="auto"/>
            <w:vAlign w:val="center"/>
            <w:hideMark/>
          </w:tcPr>
          <w:p w14:paraId="3B36E23A" w14:textId="35B2F43F" w:rsidR="00FE18ED" w:rsidRPr="00091B01" w:rsidRDefault="47BCD712" w:rsidP="00D768D6">
            <w:pPr>
              <w:spacing w:after="0" w:line="240" w:lineRule="auto"/>
              <w:jc w:val="center"/>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 xml:space="preserve">Inpatients with an </w:t>
            </w:r>
            <w:r w:rsidR="000E0825" w:rsidRPr="00091B01">
              <w:rPr>
                <w:rFonts w:ascii="Calibri" w:eastAsia="Times New Roman" w:hAnsi="Calibri" w:cs="Calibri"/>
                <w:color w:val="000000"/>
                <w:kern w:val="0"/>
                <w:sz w:val="18"/>
                <w:szCs w:val="18"/>
                <w14:ligatures w14:val="none"/>
              </w:rPr>
              <w:t>m</w:t>
            </w:r>
            <w:r w:rsidR="78612C66" w:rsidRPr="00091B01">
              <w:rPr>
                <w:rFonts w:ascii="Calibri" w:eastAsia="Times New Roman" w:hAnsi="Calibri" w:cs="Calibri"/>
                <w:color w:val="000000"/>
                <w:kern w:val="0"/>
                <w:sz w:val="18"/>
                <w:szCs w:val="18"/>
                <w14:ligatures w14:val="none"/>
              </w:rPr>
              <w:t xml:space="preserve">RDT and/or smear </w:t>
            </w:r>
            <w:r w:rsidR="439A5C4C" w:rsidRPr="00091B01">
              <w:rPr>
                <w:rFonts w:ascii="Calibri" w:eastAsia="Times New Roman" w:hAnsi="Calibri" w:cs="Calibri"/>
                <w:color w:val="000000"/>
                <w:kern w:val="0"/>
                <w:sz w:val="18"/>
                <w:szCs w:val="18"/>
                <w14:ligatures w14:val="none"/>
              </w:rPr>
              <w:t>pos</w:t>
            </w:r>
            <w:r w:rsidR="7197C8A7" w:rsidRPr="00091B01">
              <w:rPr>
                <w:rFonts w:ascii="Calibri" w:eastAsia="Times New Roman" w:hAnsi="Calibri" w:cs="Calibri"/>
                <w:color w:val="000000"/>
                <w:kern w:val="0"/>
                <w:sz w:val="18"/>
                <w:szCs w:val="18"/>
                <w14:ligatures w14:val="none"/>
              </w:rPr>
              <w:t>itive</w:t>
            </w:r>
            <w:r w:rsidR="78612C66" w:rsidRPr="00091B01">
              <w:rPr>
                <w:rFonts w:ascii="Calibri" w:eastAsia="Times New Roman" w:hAnsi="Calibri" w:cs="Calibri"/>
                <w:color w:val="000000"/>
                <w:kern w:val="0"/>
                <w:sz w:val="18"/>
                <w:szCs w:val="18"/>
                <w14:ligatures w14:val="none"/>
              </w:rPr>
              <w:t xml:space="preserve"> </w:t>
            </w:r>
            <w:r w:rsidR="4280E2E2" w:rsidRPr="00091B01">
              <w:rPr>
                <w:rFonts w:ascii="Calibri" w:eastAsia="Times New Roman" w:hAnsi="Calibri" w:cs="Calibri"/>
                <w:color w:val="000000"/>
                <w:kern w:val="0"/>
                <w:sz w:val="18"/>
                <w:szCs w:val="18"/>
                <w14:ligatures w14:val="none"/>
              </w:rPr>
              <w:t>for malaria</w:t>
            </w:r>
            <w:r w:rsidR="439A5C4C" w:rsidRPr="00091B01">
              <w:rPr>
                <w:rFonts w:ascii="Calibri" w:eastAsia="Times New Roman" w:hAnsi="Calibri" w:cs="Calibri"/>
                <w:color w:val="000000"/>
                <w:kern w:val="0"/>
                <w:sz w:val="18"/>
                <w:szCs w:val="18"/>
                <w14:ligatures w14:val="none"/>
              </w:rPr>
              <w:t xml:space="preserve"> </w:t>
            </w:r>
            <w:r w:rsidR="78612C66" w:rsidRPr="00091B01">
              <w:rPr>
                <w:rFonts w:ascii="Calibri" w:eastAsia="Times New Roman" w:hAnsi="Calibri" w:cs="Calibri"/>
                <w:color w:val="000000"/>
                <w:kern w:val="0"/>
                <w:sz w:val="18"/>
                <w:szCs w:val="18"/>
                <w14:ligatures w14:val="none"/>
              </w:rPr>
              <w:t>(N = 1</w:t>
            </w:r>
            <w:r w:rsidR="0BE2ECAE" w:rsidRPr="00091B01">
              <w:rPr>
                <w:rFonts w:ascii="Calibri" w:eastAsia="Times New Roman" w:hAnsi="Calibri" w:cs="Calibri"/>
                <w:color w:val="000000"/>
                <w:kern w:val="0"/>
                <w:sz w:val="18"/>
                <w:szCs w:val="18"/>
                <w14:ligatures w14:val="none"/>
              </w:rPr>
              <w:t>293</w:t>
            </w:r>
            <w:r w:rsidR="78612C66" w:rsidRPr="00091B01">
              <w:rPr>
                <w:rFonts w:ascii="Calibri" w:eastAsia="Times New Roman" w:hAnsi="Calibri" w:cs="Calibri"/>
                <w:color w:val="000000"/>
                <w:kern w:val="0"/>
                <w:sz w:val="18"/>
                <w:szCs w:val="18"/>
                <w14:ligatures w14:val="none"/>
              </w:rPr>
              <w:t>)</w:t>
            </w:r>
          </w:p>
        </w:tc>
      </w:tr>
      <w:tr w:rsidR="00F77879" w:rsidRPr="00D37B2D" w14:paraId="2D006075" w14:textId="77777777" w:rsidTr="48F4EE4A">
        <w:trPr>
          <w:trHeight w:val="20"/>
        </w:trPr>
        <w:tc>
          <w:tcPr>
            <w:tcW w:w="4230" w:type="dxa"/>
            <w:tcBorders>
              <w:top w:val="nil"/>
              <w:left w:val="nil"/>
              <w:bottom w:val="nil"/>
              <w:right w:val="nil"/>
            </w:tcBorders>
            <w:shd w:val="clear" w:color="auto" w:fill="auto"/>
            <w:noWrap/>
            <w:hideMark/>
          </w:tcPr>
          <w:p w14:paraId="386D791A" w14:textId="507A6FC3" w:rsidR="00F77879" w:rsidRPr="00091B01" w:rsidRDefault="4A7140C1" w:rsidP="00D768D6">
            <w:pPr>
              <w:spacing w:after="0" w:line="240" w:lineRule="auto"/>
              <w:rPr>
                <w:rFonts w:ascii="Calibri" w:eastAsia="Times New Roman" w:hAnsi="Calibri" w:cs="Calibri"/>
                <w:i/>
                <w:iCs/>
                <w:color w:val="000000"/>
                <w:kern w:val="0"/>
                <w:sz w:val="18"/>
                <w:szCs w:val="18"/>
                <w14:ligatures w14:val="none"/>
              </w:rPr>
            </w:pPr>
            <w:r w:rsidRPr="00091B01">
              <w:rPr>
                <w:rFonts w:ascii="Calibri" w:eastAsia="Times New Roman" w:hAnsi="Calibri" w:cs="Calibri"/>
                <w:i/>
                <w:iCs/>
                <w:color w:val="000000"/>
                <w:kern w:val="0"/>
                <w:sz w:val="18"/>
                <w:szCs w:val="18"/>
                <w14:ligatures w14:val="none"/>
              </w:rPr>
              <w:t>Plasmodium</w:t>
            </w:r>
            <w:r w:rsidR="3DF22984" w:rsidRPr="00091B01">
              <w:rPr>
                <w:rFonts w:ascii="Calibri" w:eastAsia="Times New Roman" w:hAnsi="Calibri" w:cs="Calibri"/>
                <w:i/>
                <w:iCs/>
                <w:color w:val="000000"/>
                <w:kern w:val="0"/>
                <w:sz w:val="18"/>
                <w:szCs w:val="18"/>
                <w14:ligatures w14:val="none"/>
              </w:rPr>
              <w:t xml:space="preserve"> spp.</w:t>
            </w:r>
          </w:p>
        </w:tc>
        <w:tc>
          <w:tcPr>
            <w:tcW w:w="1890" w:type="dxa"/>
            <w:tcBorders>
              <w:top w:val="nil"/>
              <w:left w:val="nil"/>
              <w:bottom w:val="nil"/>
              <w:right w:val="nil"/>
            </w:tcBorders>
            <w:shd w:val="clear" w:color="auto" w:fill="auto"/>
            <w:noWrap/>
            <w:hideMark/>
          </w:tcPr>
          <w:p w14:paraId="5ACB9F61" w14:textId="126503F5"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2093 (34.5%) </w:t>
            </w:r>
          </w:p>
        </w:tc>
        <w:tc>
          <w:tcPr>
            <w:tcW w:w="1890" w:type="dxa"/>
            <w:tcBorders>
              <w:top w:val="nil"/>
              <w:left w:val="nil"/>
              <w:bottom w:val="nil"/>
              <w:right w:val="nil"/>
            </w:tcBorders>
            <w:shd w:val="clear" w:color="auto" w:fill="auto"/>
            <w:noWrap/>
          </w:tcPr>
          <w:p w14:paraId="50AE2A46" w14:textId="2D50DE18" w:rsidR="00F77879" w:rsidRPr="00091B01" w:rsidRDefault="0E47C1F6"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1219 (94.3%) </w:t>
            </w:r>
          </w:p>
        </w:tc>
      </w:tr>
      <w:tr w:rsidR="00F77879" w:rsidRPr="00D37B2D" w14:paraId="62D9C509" w14:textId="77777777" w:rsidTr="48F4EE4A">
        <w:trPr>
          <w:trHeight w:val="20"/>
        </w:trPr>
        <w:tc>
          <w:tcPr>
            <w:tcW w:w="4230" w:type="dxa"/>
            <w:tcBorders>
              <w:top w:val="nil"/>
              <w:left w:val="nil"/>
              <w:bottom w:val="nil"/>
              <w:right w:val="nil"/>
            </w:tcBorders>
            <w:shd w:val="clear" w:color="auto" w:fill="auto"/>
            <w:noWrap/>
            <w:hideMark/>
          </w:tcPr>
          <w:p w14:paraId="0281255A" w14:textId="77777777" w:rsidR="00F77879" w:rsidRPr="00091B01" w:rsidRDefault="00F77879" w:rsidP="00D768D6">
            <w:pPr>
              <w:spacing w:after="0" w:line="240" w:lineRule="auto"/>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HIV-1</w:t>
            </w:r>
          </w:p>
        </w:tc>
        <w:tc>
          <w:tcPr>
            <w:tcW w:w="1890" w:type="dxa"/>
            <w:tcBorders>
              <w:top w:val="nil"/>
              <w:left w:val="nil"/>
              <w:bottom w:val="nil"/>
              <w:right w:val="nil"/>
            </w:tcBorders>
            <w:shd w:val="clear" w:color="auto" w:fill="auto"/>
            <w:noWrap/>
            <w:hideMark/>
          </w:tcPr>
          <w:p w14:paraId="2F828DB1" w14:textId="1AE41448"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136 (2.2%) </w:t>
            </w:r>
          </w:p>
        </w:tc>
        <w:tc>
          <w:tcPr>
            <w:tcW w:w="1890" w:type="dxa"/>
            <w:tcBorders>
              <w:top w:val="nil"/>
              <w:left w:val="nil"/>
              <w:bottom w:val="nil"/>
              <w:right w:val="nil"/>
            </w:tcBorders>
            <w:shd w:val="clear" w:color="auto" w:fill="auto"/>
            <w:noWrap/>
          </w:tcPr>
          <w:p w14:paraId="3E828849" w14:textId="5C386855"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16 (1.2%) </w:t>
            </w:r>
          </w:p>
        </w:tc>
      </w:tr>
      <w:tr w:rsidR="00F77879" w:rsidRPr="00D37B2D" w14:paraId="3F044D14" w14:textId="77777777" w:rsidTr="48F4EE4A">
        <w:trPr>
          <w:trHeight w:val="20"/>
        </w:trPr>
        <w:tc>
          <w:tcPr>
            <w:tcW w:w="4230" w:type="dxa"/>
            <w:tcBorders>
              <w:top w:val="nil"/>
              <w:left w:val="nil"/>
              <w:bottom w:val="nil"/>
              <w:right w:val="nil"/>
            </w:tcBorders>
            <w:shd w:val="clear" w:color="auto" w:fill="auto"/>
            <w:noWrap/>
            <w:hideMark/>
          </w:tcPr>
          <w:p w14:paraId="5768D81D" w14:textId="357D4015" w:rsidR="00F77879" w:rsidRPr="00091B01" w:rsidRDefault="00386577" w:rsidP="00D768D6">
            <w:pPr>
              <w:spacing w:after="0" w:line="240" w:lineRule="auto"/>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 xml:space="preserve">Non-typhoid </w:t>
            </w:r>
            <w:r w:rsidR="00F77879" w:rsidRPr="00091B01">
              <w:rPr>
                <w:rFonts w:ascii="Calibri" w:eastAsia="Times New Roman" w:hAnsi="Calibri" w:cs="Calibri"/>
                <w:color w:val="000000"/>
                <w:kern w:val="0"/>
                <w:sz w:val="18"/>
                <w:szCs w:val="18"/>
                <w14:ligatures w14:val="none"/>
              </w:rPr>
              <w:t>Salmonella</w:t>
            </w:r>
          </w:p>
        </w:tc>
        <w:tc>
          <w:tcPr>
            <w:tcW w:w="1890" w:type="dxa"/>
            <w:tcBorders>
              <w:top w:val="nil"/>
              <w:left w:val="nil"/>
              <w:bottom w:val="nil"/>
              <w:right w:val="nil"/>
            </w:tcBorders>
            <w:shd w:val="clear" w:color="auto" w:fill="auto"/>
            <w:noWrap/>
            <w:hideMark/>
          </w:tcPr>
          <w:p w14:paraId="6C37B550" w14:textId="64F78872"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73 (1.2%) </w:t>
            </w:r>
          </w:p>
        </w:tc>
        <w:tc>
          <w:tcPr>
            <w:tcW w:w="1890" w:type="dxa"/>
            <w:tcBorders>
              <w:top w:val="nil"/>
              <w:left w:val="nil"/>
              <w:bottom w:val="nil"/>
              <w:right w:val="nil"/>
            </w:tcBorders>
            <w:shd w:val="clear" w:color="auto" w:fill="auto"/>
            <w:noWrap/>
          </w:tcPr>
          <w:p w14:paraId="3033A3AB" w14:textId="65C4982D"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26 (2.0%) </w:t>
            </w:r>
          </w:p>
        </w:tc>
      </w:tr>
      <w:tr w:rsidR="00F77879" w:rsidRPr="00D37B2D" w14:paraId="3528F949" w14:textId="77777777" w:rsidTr="48F4EE4A">
        <w:trPr>
          <w:trHeight w:val="20"/>
        </w:trPr>
        <w:tc>
          <w:tcPr>
            <w:tcW w:w="4230" w:type="dxa"/>
            <w:tcBorders>
              <w:top w:val="nil"/>
              <w:left w:val="nil"/>
              <w:bottom w:val="nil"/>
              <w:right w:val="nil"/>
            </w:tcBorders>
            <w:shd w:val="clear" w:color="auto" w:fill="auto"/>
            <w:noWrap/>
            <w:hideMark/>
          </w:tcPr>
          <w:p w14:paraId="230DDAF3" w14:textId="77777777" w:rsidR="00F77879" w:rsidRPr="00091B01" w:rsidRDefault="00F77879" w:rsidP="00D768D6">
            <w:pPr>
              <w:spacing w:after="0" w:line="240" w:lineRule="auto"/>
              <w:rPr>
                <w:rFonts w:ascii="Calibri" w:eastAsia="Times New Roman" w:hAnsi="Calibri" w:cs="Calibri"/>
                <w:i/>
                <w:iCs/>
                <w:color w:val="000000"/>
                <w:kern w:val="0"/>
                <w:sz w:val="18"/>
                <w:szCs w:val="18"/>
                <w14:ligatures w14:val="none"/>
              </w:rPr>
            </w:pPr>
            <w:r w:rsidRPr="00091B01">
              <w:rPr>
                <w:rFonts w:ascii="Calibri" w:eastAsia="Times New Roman" w:hAnsi="Calibri" w:cs="Calibri"/>
                <w:i/>
                <w:iCs/>
                <w:color w:val="000000"/>
                <w:kern w:val="0"/>
                <w:sz w:val="18"/>
                <w:szCs w:val="18"/>
                <w14:ligatures w14:val="none"/>
              </w:rPr>
              <w:t>Rickettsia</w:t>
            </w:r>
          </w:p>
        </w:tc>
        <w:tc>
          <w:tcPr>
            <w:tcW w:w="1890" w:type="dxa"/>
            <w:tcBorders>
              <w:top w:val="nil"/>
              <w:left w:val="nil"/>
              <w:bottom w:val="nil"/>
              <w:right w:val="nil"/>
            </w:tcBorders>
            <w:shd w:val="clear" w:color="auto" w:fill="auto"/>
            <w:noWrap/>
            <w:hideMark/>
          </w:tcPr>
          <w:p w14:paraId="65955838" w14:textId="52CA9442"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72 (1.2%) </w:t>
            </w:r>
          </w:p>
        </w:tc>
        <w:tc>
          <w:tcPr>
            <w:tcW w:w="1890" w:type="dxa"/>
            <w:tcBorders>
              <w:top w:val="nil"/>
              <w:left w:val="nil"/>
              <w:bottom w:val="nil"/>
              <w:right w:val="nil"/>
            </w:tcBorders>
            <w:shd w:val="clear" w:color="auto" w:fill="auto"/>
            <w:noWrap/>
          </w:tcPr>
          <w:p w14:paraId="2D66422C" w14:textId="4D8D0F15"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12 (0.9%) </w:t>
            </w:r>
          </w:p>
        </w:tc>
      </w:tr>
      <w:tr w:rsidR="00F77879" w:rsidRPr="00D37B2D" w14:paraId="149D9E00" w14:textId="77777777" w:rsidTr="48F4EE4A">
        <w:trPr>
          <w:trHeight w:val="20"/>
        </w:trPr>
        <w:tc>
          <w:tcPr>
            <w:tcW w:w="4230" w:type="dxa"/>
            <w:tcBorders>
              <w:top w:val="nil"/>
              <w:left w:val="nil"/>
              <w:bottom w:val="nil"/>
              <w:right w:val="nil"/>
            </w:tcBorders>
            <w:shd w:val="clear" w:color="auto" w:fill="auto"/>
            <w:noWrap/>
            <w:hideMark/>
          </w:tcPr>
          <w:p w14:paraId="7FF022F5" w14:textId="77777777" w:rsidR="00F77879" w:rsidRPr="00091B01" w:rsidRDefault="00F77879" w:rsidP="00D768D6">
            <w:pPr>
              <w:spacing w:after="0" w:line="240" w:lineRule="auto"/>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Dengue</w:t>
            </w:r>
          </w:p>
        </w:tc>
        <w:tc>
          <w:tcPr>
            <w:tcW w:w="1890" w:type="dxa"/>
            <w:tcBorders>
              <w:top w:val="nil"/>
              <w:left w:val="nil"/>
              <w:bottom w:val="nil"/>
              <w:right w:val="nil"/>
            </w:tcBorders>
            <w:shd w:val="clear" w:color="auto" w:fill="auto"/>
            <w:noWrap/>
            <w:hideMark/>
          </w:tcPr>
          <w:p w14:paraId="3A7A0F1C" w14:textId="08B8F5FA"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52 (0.9%) </w:t>
            </w:r>
          </w:p>
        </w:tc>
        <w:tc>
          <w:tcPr>
            <w:tcW w:w="1890" w:type="dxa"/>
            <w:tcBorders>
              <w:top w:val="nil"/>
              <w:left w:val="nil"/>
              <w:bottom w:val="nil"/>
              <w:right w:val="nil"/>
            </w:tcBorders>
            <w:shd w:val="clear" w:color="auto" w:fill="auto"/>
            <w:noWrap/>
          </w:tcPr>
          <w:p w14:paraId="77A2739E" w14:textId="1F2859F9"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11 (0.9%) </w:t>
            </w:r>
          </w:p>
        </w:tc>
      </w:tr>
      <w:tr w:rsidR="00F77879" w:rsidRPr="00D37B2D" w14:paraId="39BAC90B" w14:textId="77777777" w:rsidTr="48F4EE4A">
        <w:trPr>
          <w:trHeight w:val="20"/>
        </w:trPr>
        <w:tc>
          <w:tcPr>
            <w:tcW w:w="4230" w:type="dxa"/>
            <w:tcBorders>
              <w:top w:val="nil"/>
              <w:left w:val="nil"/>
              <w:bottom w:val="nil"/>
              <w:right w:val="nil"/>
            </w:tcBorders>
            <w:shd w:val="clear" w:color="auto" w:fill="auto"/>
            <w:noWrap/>
            <w:hideMark/>
          </w:tcPr>
          <w:p w14:paraId="7DC32F93" w14:textId="1B5415E3" w:rsidR="00F77879" w:rsidRPr="00091B01" w:rsidRDefault="00F77879" w:rsidP="00D768D6">
            <w:pPr>
              <w:spacing w:after="0" w:line="240" w:lineRule="auto"/>
              <w:rPr>
                <w:rFonts w:ascii="Calibri" w:eastAsia="Times New Roman" w:hAnsi="Calibri" w:cs="Calibri"/>
                <w:i/>
                <w:iCs/>
                <w:color w:val="000000"/>
                <w:kern w:val="0"/>
                <w:sz w:val="18"/>
                <w:szCs w:val="18"/>
                <w14:ligatures w14:val="none"/>
              </w:rPr>
            </w:pPr>
            <w:r w:rsidRPr="00091B01">
              <w:rPr>
                <w:rFonts w:ascii="Calibri" w:eastAsia="Times New Roman" w:hAnsi="Calibri" w:cs="Calibri"/>
                <w:i/>
                <w:iCs/>
                <w:color w:val="000000"/>
                <w:kern w:val="0"/>
                <w:sz w:val="18"/>
                <w:szCs w:val="18"/>
                <w14:ligatures w14:val="none"/>
              </w:rPr>
              <w:t>S</w:t>
            </w:r>
            <w:r w:rsidR="00E175C6" w:rsidRPr="00091B01">
              <w:rPr>
                <w:rFonts w:ascii="Calibri" w:eastAsia="Times New Roman" w:hAnsi="Calibri" w:cs="Calibri"/>
                <w:i/>
                <w:iCs/>
                <w:color w:val="000000"/>
                <w:kern w:val="0"/>
                <w:sz w:val="18"/>
                <w:szCs w:val="18"/>
                <w14:ligatures w14:val="none"/>
              </w:rPr>
              <w:t>treptococcus</w:t>
            </w:r>
            <w:r w:rsidRPr="00091B01">
              <w:rPr>
                <w:rFonts w:ascii="Calibri" w:eastAsia="Times New Roman" w:hAnsi="Calibri" w:cs="Calibri"/>
                <w:i/>
                <w:iCs/>
                <w:color w:val="000000"/>
                <w:kern w:val="0"/>
                <w:sz w:val="18"/>
                <w:szCs w:val="18"/>
                <w14:ligatures w14:val="none"/>
              </w:rPr>
              <w:t xml:space="preserve"> pneumoniae</w:t>
            </w:r>
          </w:p>
        </w:tc>
        <w:tc>
          <w:tcPr>
            <w:tcW w:w="1890" w:type="dxa"/>
            <w:tcBorders>
              <w:top w:val="nil"/>
              <w:left w:val="nil"/>
              <w:bottom w:val="nil"/>
              <w:right w:val="nil"/>
            </w:tcBorders>
            <w:shd w:val="clear" w:color="auto" w:fill="auto"/>
            <w:noWrap/>
            <w:hideMark/>
          </w:tcPr>
          <w:p w14:paraId="440528D7" w14:textId="144CAB2A"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44 (0.7%) </w:t>
            </w:r>
          </w:p>
        </w:tc>
        <w:tc>
          <w:tcPr>
            <w:tcW w:w="1890" w:type="dxa"/>
            <w:tcBorders>
              <w:top w:val="nil"/>
              <w:left w:val="nil"/>
              <w:bottom w:val="nil"/>
              <w:right w:val="nil"/>
            </w:tcBorders>
            <w:shd w:val="clear" w:color="auto" w:fill="auto"/>
            <w:noWrap/>
          </w:tcPr>
          <w:p w14:paraId="14FCA57D" w14:textId="66115A7B"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5 (0.4%) </w:t>
            </w:r>
          </w:p>
        </w:tc>
      </w:tr>
      <w:tr w:rsidR="00F77879" w:rsidRPr="00D37B2D" w14:paraId="6898827D" w14:textId="77777777" w:rsidTr="48F4EE4A">
        <w:trPr>
          <w:trHeight w:val="20"/>
        </w:trPr>
        <w:tc>
          <w:tcPr>
            <w:tcW w:w="4230" w:type="dxa"/>
            <w:tcBorders>
              <w:top w:val="nil"/>
              <w:left w:val="nil"/>
              <w:bottom w:val="nil"/>
              <w:right w:val="nil"/>
            </w:tcBorders>
            <w:shd w:val="clear" w:color="auto" w:fill="auto"/>
            <w:noWrap/>
            <w:hideMark/>
          </w:tcPr>
          <w:p w14:paraId="4DBF8C8D" w14:textId="77777777" w:rsidR="00F77879" w:rsidRPr="00091B01" w:rsidRDefault="00F77879" w:rsidP="00D768D6">
            <w:pPr>
              <w:spacing w:after="0" w:line="240" w:lineRule="auto"/>
              <w:rPr>
                <w:rFonts w:ascii="Calibri" w:eastAsia="Times New Roman" w:hAnsi="Calibri" w:cs="Calibri"/>
                <w:i/>
                <w:iCs/>
                <w:color w:val="000000"/>
                <w:kern w:val="0"/>
                <w:sz w:val="18"/>
                <w:szCs w:val="18"/>
                <w14:ligatures w14:val="none"/>
              </w:rPr>
            </w:pPr>
            <w:r w:rsidRPr="00091B01">
              <w:rPr>
                <w:rFonts w:ascii="Calibri" w:eastAsia="Times New Roman" w:hAnsi="Calibri" w:cs="Calibri"/>
                <w:i/>
                <w:iCs/>
                <w:color w:val="000000"/>
                <w:kern w:val="0"/>
                <w:sz w:val="18"/>
                <w:szCs w:val="18"/>
                <w14:ligatures w14:val="none"/>
              </w:rPr>
              <w:t>Brucella</w:t>
            </w:r>
          </w:p>
        </w:tc>
        <w:tc>
          <w:tcPr>
            <w:tcW w:w="1890" w:type="dxa"/>
            <w:tcBorders>
              <w:top w:val="nil"/>
              <w:left w:val="nil"/>
              <w:bottom w:val="nil"/>
              <w:right w:val="nil"/>
            </w:tcBorders>
            <w:shd w:val="clear" w:color="auto" w:fill="auto"/>
            <w:noWrap/>
            <w:hideMark/>
          </w:tcPr>
          <w:p w14:paraId="487FEA18" w14:textId="33737606"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42 (0.7%) </w:t>
            </w:r>
          </w:p>
        </w:tc>
        <w:tc>
          <w:tcPr>
            <w:tcW w:w="1890" w:type="dxa"/>
            <w:tcBorders>
              <w:top w:val="nil"/>
              <w:left w:val="nil"/>
              <w:bottom w:val="nil"/>
              <w:right w:val="nil"/>
            </w:tcBorders>
            <w:shd w:val="clear" w:color="auto" w:fill="auto"/>
            <w:noWrap/>
          </w:tcPr>
          <w:p w14:paraId="6E4471A2" w14:textId="27A273DE"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6 (0.5%) </w:t>
            </w:r>
          </w:p>
        </w:tc>
      </w:tr>
      <w:tr w:rsidR="00F77879" w:rsidRPr="00D37B2D" w14:paraId="0D08C90C" w14:textId="77777777" w:rsidTr="48F4EE4A">
        <w:trPr>
          <w:trHeight w:val="20"/>
        </w:trPr>
        <w:tc>
          <w:tcPr>
            <w:tcW w:w="4230" w:type="dxa"/>
            <w:tcBorders>
              <w:top w:val="nil"/>
              <w:left w:val="nil"/>
              <w:bottom w:val="nil"/>
              <w:right w:val="nil"/>
            </w:tcBorders>
            <w:shd w:val="clear" w:color="auto" w:fill="auto"/>
            <w:noWrap/>
            <w:hideMark/>
          </w:tcPr>
          <w:p w14:paraId="3DD2E25B" w14:textId="77777777" w:rsidR="00F77879" w:rsidRPr="00091B01" w:rsidRDefault="00F77879" w:rsidP="00D768D6">
            <w:pPr>
              <w:spacing w:after="0" w:line="240" w:lineRule="auto"/>
              <w:rPr>
                <w:rFonts w:ascii="Calibri" w:eastAsia="Times New Roman" w:hAnsi="Calibri" w:cs="Calibri"/>
                <w:i/>
                <w:iCs/>
                <w:color w:val="000000"/>
                <w:kern w:val="0"/>
                <w:sz w:val="18"/>
                <w:szCs w:val="18"/>
                <w14:ligatures w14:val="none"/>
              </w:rPr>
            </w:pPr>
            <w:r w:rsidRPr="00091B01">
              <w:rPr>
                <w:rFonts w:ascii="Calibri" w:eastAsia="Times New Roman" w:hAnsi="Calibri" w:cs="Calibri"/>
                <w:i/>
                <w:iCs/>
                <w:color w:val="000000"/>
                <w:kern w:val="0"/>
                <w:sz w:val="18"/>
                <w:szCs w:val="18"/>
                <w14:ligatures w14:val="none"/>
              </w:rPr>
              <w:t>Salmonella Typhi</w:t>
            </w:r>
          </w:p>
        </w:tc>
        <w:tc>
          <w:tcPr>
            <w:tcW w:w="1890" w:type="dxa"/>
            <w:tcBorders>
              <w:top w:val="nil"/>
              <w:left w:val="nil"/>
              <w:bottom w:val="nil"/>
              <w:right w:val="nil"/>
            </w:tcBorders>
            <w:shd w:val="clear" w:color="auto" w:fill="auto"/>
            <w:noWrap/>
            <w:hideMark/>
          </w:tcPr>
          <w:p w14:paraId="5E429AF1" w14:textId="2DB0BF1E"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38 (0.6%) </w:t>
            </w:r>
          </w:p>
        </w:tc>
        <w:tc>
          <w:tcPr>
            <w:tcW w:w="1890" w:type="dxa"/>
            <w:tcBorders>
              <w:top w:val="nil"/>
              <w:left w:val="nil"/>
              <w:bottom w:val="nil"/>
              <w:right w:val="nil"/>
            </w:tcBorders>
            <w:shd w:val="clear" w:color="auto" w:fill="auto"/>
            <w:noWrap/>
          </w:tcPr>
          <w:p w14:paraId="3C3F003E" w14:textId="606EDD6B"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7 (0.5%) </w:t>
            </w:r>
          </w:p>
        </w:tc>
      </w:tr>
      <w:tr w:rsidR="00F77879" w:rsidRPr="00D37B2D" w14:paraId="58CC3427" w14:textId="77777777" w:rsidTr="48F4EE4A">
        <w:trPr>
          <w:trHeight w:val="20"/>
        </w:trPr>
        <w:tc>
          <w:tcPr>
            <w:tcW w:w="4230" w:type="dxa"/>
            <w:tcBorders>
              <w:top w:val="nil"/>
              <w:left w:val="nil"/>
              <w:bottom w:val="nil"/>
              <w:right w:val="nil"/>
            </w:tcBorders>
            <w:shd w:val="clear" w:color="auto" w:fill="auto"/>
            <w:noWrap/>
            <w:hideMark/>
          </w:tcPr>
          <w:p w14:paraId="25157866" w14:textId="77777777" w:rsidR="00F77879" w:rsidRPr="00091B01" w:rsidRDefault="00F77879" w:rsidP="00D768D6">
            <w:pPr>
              <w:spacing w:after="0" w:line="240" w:lineRule="auto"/>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Leishmania</w:t>
            </w:r>
          </w:p>
        </w:tc>
        <w:tc>
          <w:tcPr>
            <w:tcW w:w="1890" w:type="dxa"/>
            <w:tcBorders>
              <w:top w:val="nil"/>
              <w:left w:val="nil"/>
              <w:bottom w:val="nil"/>
              <w:right w:val="nil"/>
            </w:tcBorders>
            <w:shd w:val="clear" w:color="auto" w:fill="auto"/>
            <w:noWrap/>
            <w:hideMark/>
          </w:tcPr>
          <w:p w14:paraId="43B8ACE2" w14:textId="33831E7A"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34 (0.6%) </w:t>
            </w:r>
          </w:p>
        </w:tc>
        <w:tc>
          <w:tcPr>
            <w:tcW w:w="1890" w:type="dxa"/>
            <w:tcBorders>
              <w:top w:val="nil"/>
              <w:left w:val="nil"/>
              <w:bottom w:val="nil"/>
              <w:right w:val="nil"/>
            </w:tcBorders>
            <w:shd w:val="clear" w:color="auto" w:fill="auto"/>
            <w:noWrap/>
          </w:tcPr>
          <w:p w14:paraId="1ECD2D0D" w14:textId="34562C47"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1 (0.1%) </w:t>
            </w:r>
          </w:p>
        </w:tc>
      </w:tr>
      <w:tr w:rsidR="00F77879" w:rsidRPr="00D37B2D" w14:paraId="4BAAC141" w14:textId="77777777" w:rsidTr="48F4EE4A">
        <w:trPr>
          <w:trHeight w:val="20"/>
        </w:trPr>
        <w:tc>
          <w:tcPr>
            <w:tcW w:w="4230" w:type="dxa"/>
            <w:tcBorders>
              <w:top w:val="nil"/>
              <w:left w:val="nil"/>
              <w:bottom w:val="nil"/>
              <w:right w:val="nil"/>
            </w:tcBorders>
            <w:shd w:val="clear" w:color="auto" w:fill="auto"/>
            <w:noWrap/>
            <w:hideMark/>
          </w:tcPr>
          <w:p w14:paraId="2CF9B4A7" w14:textId="77777777" w:rsidR="00F77879" w:rsidRPr="00091B01" w:rsidRDefault="00F77879" w:rsidP="00D768D6">
            <w:pPr>
              <w:spacing w:after="0" w:line="240" w:lineRule="auto"/>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Chikungunya</w:t>
            </w:r>
          </w:p>
        </w:tc>
        <w:tc>
          <w:tcPr>
            <w:tcW w:w="1890" w:type="dxa"/>
            <w:tcBorders>
              <w:top w:val="nil"/>
              <w:left w:val="nil"/>
              <w:bottom w:val="nil"/>
              <w:right w:val="nil"/>
            </w:tcBorders>
            <w:shd w:val="clear" w:color="auto" w:fill="auto"/>
            <w:noWrap/>
            <w:hideMark/>
          </w:tcPr>
          <w:p w14:paraId="02944782" w14:textId="75C836E8"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28 (0.5%) </w:t>
            </w:r>
          </w:p>
        </w:tc>
        <w:tc>
          <w:tcPr>
            <w:tcW w:w="1890" w:type="dxa"/>
            <w:tcBorders>
              <w:top w:val="nil"/>
              <w:left w:val="nil"/>
              <w:bottom w:val="nil"/>
              <w:right w:val="nil"/>
            </w:tcBorders>
            <w:shd w:val="clear" w:color="auto" w:fill="auto"/>
            <w:noWrap/>
          </w:tcPr>
          <w:p w14:paraId="0D87FBBB" w14:textId="22F8EAF5"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4 (0.3%) </w:t>
            </w:r>
          </w:p>
        </w:tc>
      </w:tr>
      <w:tr w:rsidR="00F77879" w:rsidRPr="00D37B2D" w14:paraId="45B61843" w14:textId="77777777" w:rsidTr="48F4EE4A">
        <w:trPr>
          <w:trHeight w:val="20"/>
        </w:trPr>
        <w:tc>
          <w:tcPr>
            <w:tcW w:w="4230" w:type="dxa"/>
            <w:tcBorders>
              <w:top w:val="nil"/>
              <w:left w:val="nil"/>
              <w:bottom w:val="nil"/>
              <w:right w:val="nil"/>
            </w:tcBorders>
            <w:shd w:val="clear" w:color="auto" w:fill="auto"/>
            <w:noWrap/>
            <w:hideMark/>
          </w:tcPr>
          <w:p w14:paraId="70C4A9E2" w14:textId="77777777" w:rsidR="00F77879" w:rsidRPr="00091B01" w:rsidRDefault="00F77879" w:rsidP="00D768D6">
            <w:pPr>
              <w:spacing w:after="0" w:line="240" w:lineRule="auto"/>
              <w:rPr>
                <w:rFonts w:ascii="Calibri" w:eastAsia="Times New Roman" w:hAnsi="Calibri" w:cs="Calibri"/>
                <w:i/>
                <w:iCs/>
                <w:color w:val="000000"/>
                <w:kern w:val="0"/>
                <w:sz w:val="18"/>
                <w:szCs w:val="18"/>
                <w14:ligatures w14:val="none"/>
              </w:rPr>
            </w:pPr>
            <w:r w:rsidRPr="00091B01">
              <w:rPr>
                <w:rFonts w:ascii="Calibri" w:eastAsia="Times New Roman" w:hAnsi="Calibri" w:cs="Calibri"/>
                <w:i/>
                <w:iCs/>
                <w:color w:val="000000"/>
                <w:kern w:val="0"/>
                <w:sz w:val="18"/>
                <w:szCs w:val="18"/>
                <w14:ligatures w14:val="none"/>
              </w:rPr>
              <w:t>Bartonella</w:t>
            </w:r>
          </w:p>
        </w:tc>
        <w:tc>
          <w:tcPr>
            <w:tcW w:w="1890" w:type="dxa"/>
            <w:tcBorders>
              <w:top w:val="nil"/>
              <w:left w:val="nil"/>
              <w:bottom w:val="nil"/>
              <w:right w:val="nil"/>
            </w:tcBorders>
            <w:shd w:val="clear" w:color="auto" w:fill="auto"/>
            <w:noWrap/>
            <w:hideMark/>
          </w:tcPr>
          <w:p w14:paraId="43B64A0C" w14:textId="23174FD0"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22 (0.4%) </w:t>
            </w:r>
          </w:p>
        </w:tc>
        <w:tc>
          <w:tcPr>
            <w:tcW w:w="1890" w:type="dxa"/>
            <w:tcBorders>
              <w:top w:val="nil"/>
              <w:left w:val="nil"/>
              <w:bottom w:val="nil"/>
              <w:right w:val="nil"/>
            </w:tcBorders>
            <w:shd w:val="clear" w:color="auto" w:fill="auto"/>
            <w:noWrap/>
          </w:tcPr>
          <w:p w14:paraId="43438D72" w14:textId="33FCD5AC"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1 (0.1%) </w:t>
            </w:r>
          </w:p>
        </w:tc>
      </w:tr>
      <w:tr w:rsidR="00F77879" w:rsidRPr="00D37B2D" w14:paraId="6E94A8F7" w14:textId="77777777" w:rsidTr="48F4EE4A">
        <w:trPr>
          <w:trHeight w:val="20"/>
        </w:trPr>
        <w:tc>
          <w:tcPr>
            <w:tcW w:w="4230" w:type="dxa"/>
            <w:tcBorders>
              <w:top w:val="nil"/>
              <w:left w:val="nil"/>
              <w:bottom w:val="nil"/>
              <w:right w:val="nil"/>
            </w:tcBorders>
            <w:shd w:val="clear" w:color="auto" w:fill="auto"/>
            <w:noWrap/>
            <w:hideMark/>
          </w:tcPr>
          <w:p w14:paraId="75CDAAC9" w14:textId="77777777" w:rsidR="00F77879" w:rsidRPr="00091B01" w:rsidRDefault="00F77879" w:rsidP="00D768D6">
            <w:pPr>
              <w:spacing w:after="0" w:line="240" w:lineRule="auto"/>
              <w:rPr>
                <w:rFonts w:ascii="Calibri" w:eastAsia="Times New Roman" w:hAnsi="Calibri" w:cs="Calibri"/>
                <w:i/>
                <w:iCs/>
                <w:color w:val="000000"/>
                <w:kern w:val="0"/>
                <w:sz w:val="18"/>
                <w:szCs w:val="18"/>
                <w14:ligatures w14:val="none"/>
              </w:rPr>
            </w:pPr>
            <w:r w:rsidRPr="00091B01">
              <w:rPr>
                <w:rFonts w:ascii="Calibri" w:eastAsia="Times New Roman" w:hAnsi="Calibri" w:cs="Calibri"/>
                <w:i/>
                <w:iCs/>
                <w:color w:val="000000"/>
                <w:kern w:val="0"/>
                <w:sz w:val="18"/>
                <w:szCs w:val="18"/>
                <w14:ligatures w14:val="none"/>
              </w:rPr>
              <w:t>Leptospira</w:t>
            </w:r>
          </w:p>
        </w:tc>
        <w:tc>
          <w:tcPr>
            <w:tcW w:w="1890" w:type="dxa"/>
            <w:tcBorders>
              <w:top w:val="nil"/>
              <w:left w:val="nil"/>
              <w:bottom w:val="nil"/>
              <w:right w:val="nil"/>
            </w:tcBorders>
            <w:shd w:val="clear" w:color="auto" w:fill="auto"/>
            <w:noWrap/>
            <w:hideMark/>
          </w:tcPr>
          <w:p w14:paraId="6E1DE929" w14:textId="181610CE"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14 (0.2%) </w:t>
            </w:r>
          </w:p>
        </w:tc>
        <w:tc>
          <w:tcPr>
            <w:tcW w:w="1890" w:type="dxa"/>
            <w:tcBorders>
              <w:top w:val="nil"/>
              <w:left w:val="nil"/>
              <w:bottom w:val="nil"/>
              <w:right w:val="nil"/>
            </w:tcBorders>
            <w:shd w:val="clear" w:color="auto" w:fill="auto"/>
            <w:noWrap/>
          </w:tcPr>
          <w:p w14:paraId="0C86CBC0" w14:textId="14458E0A"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2 (0.2%) </w:t>
            </w:r>
          </w:p>
        </w:tc>
      </w:tr>
      <w:tr w:rsidR="00F77879" w:rsidRPr="00D37B2D" w14:paraId="7896651E" w14:textId="77777777" w:rsidTr="48F4EE4A">
        <w:trPr>
          <w:trHeight w:val="20"/>
        </w:trPr>
        <w:tc>
          <w:tcPr>
            <w:tcW w:w="4230" w:type="dxa"/>
            <w:tcBorders>
              <w:top w:val="nil"/>
              <w:left w:val="nil"/>
              <w:bottom w:val="nil"/>
              <w:right w:val="nil"/>
            </w:tcBorders>
            <w:shd w:val="clear" w:color="auto" w:fill="auto"/>
            <w:noWrap/>
            <w:hideMark/>
          </w:tcPr>
          <w:p w14:paraId="58230470" w14:textId="4AEAFAF9" w:rsidR="00F77879" w:rsidRPr="00091B01" w:rsidRDefault="00F77879" w:rsidP="00D768D6">
            <w:pPr>
              <w:spacing w:after="0" w:line="240" w:lineRule="auto"/>
              <w:rPr>
                <w:rFonts w:ascii="Calibri" w:eastAsia="Times New Roman" w:hAnsi="Calibri" w:cs="Calibri"/>
                <w:i/>
                <w:iCs/>
                <w:color w:val="000000"/>
                <w:kern w:val="0"/>
                <w:sz w:val="18"/>
                <w:szCs w:val="18"/>
                <w14:ligatures w14:val="none"/>
              </w:rPr>
            </w:pPr>
            <w:r w:rsidRPr="00091B01">
              <w:rPr>
                <w:rFonts w:ascii="Calibri" w:eastAsia="Times New Roman" w:hAnsi="Calibri" w:cs="Calibri"/>
                <w:i/>
                <w:iCs/>
                <w:color w:val="000000" w:themeColor="text1"/>
                <w:sz w:val="18"/>
                <w:szCs w:val="18"/>
              </w:rPr>
              <w:t>C</w:t>
            </w:r>
            <w:r w:rsidR="00E175C6" w:rsidRPr="00091B01">
              <w:rPr>
                <w:rFonts w:ascii="Calibri" w:eastAsia="Times New Roman" w:hAnsi="Calibri" w:cs="Calibri"/>
                <w:i/>
                <w:iCs/>
                <w:color w:val="000000" w:themeColor="text1"/>
                <w:sz w:val="18"/>
                <w:szCs w:val="18"/>
              </w:rPr>
              <w:t>oxiella</w:t>
            </w:r>
            <w:r w:rsidRPr="00091B01">
              <w:rPr>
                <w:rFonts w:ascii="Calibri" w:eastAsia="Times New Roman" w:hAnsi="Calibri" w:cs="Calibri"/>
                <w:i/>
                <w:iCs/>
                <w:color w:val="000000" w:themeColor="text1"/>
                <w:sz w:val="18"/>
                <w:szCs w:val="18"/>
              </w:rPr>
              <w:t xml:space="preserve"> </w:t>
            </w:r>
            <w:r w:rsidRPr="00091B01">
              <w:rPr>
                <w:rFonts w:ascii="Calibri" w:eastAsia="Times New Roman" w:hAnsi="Calibri" w:cs="Calibri"/>
                <w:i/>
                <w:iCs/>
                <w:color w:val="000000"/>
                <w:kern w:val="0"/>
                <w:sz w:val="18"/>
                <w:szCs w:val="18"/>
                <w14:ligatures w14:val="none"/>
              </w:rPr>
              <w:t>burnetii</w:t>
            </w:r>
          </w:p>
        </w:tc>
        <w:tc>
          <w:tcPr>
            <w:tcW w:w="1890" w:type="dxa"/>
            <w:tcBorders>
              <w:top w:val="nil"/>
              <w:left w:val="nil"/>
              <w:bottom w:val="nil"/>
              <w:right w:val="nil"/>
            </w:tcBorders>
            <w:shd w:val="clear" w:color="auto" w:fill="auto"/>
            <w:noWrap/>
            <w:hideMark/>
          </w:tcPr>
          <w:p w14:paraId="526E2E81" w14:textId="437FCED9"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10 (0.2%) </w:t>
            </w:r>
          </w:p>
        </w:tc>
        <w:tc>
          <w:tcPr>
            <w:tcW w:w="1890" w:type="dxa"/>
            <w:tcBorders>
              <w:top w:val="nil"/>
              <w:left w:val="nil"/>
              <w:bottom w:val="nil"/>
              <w:right w:val="nil"/>
            </w:tcBorders>
            <w:shd w:val="clear" w:color="auto" w:fill="auto"/>
            <w:noWrap/>
          </w:tcPr>
          <w:p w14:paraId="67FAE154" w14:textId="454C01E7"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4 (0.3%) </w:t>
            </w:r>
          </w:p>
        </w:tc>
      </w:tr>
      <w:tr w:rsidR="00F77879" w:rsidRPr="00D37B2D" w14:paraId="4DA366D6" w14:textId="77777777" w:rsidTr="48F4EE4A">
        <w:trPr>
          <w:trHeight w:val="20"/>
        </w:trPr>
        <w:tc>
          <w:tcPr>
            <w:tcW w:w="4230" w:type="dxa"/>
            <w:tcBorders>
              <w:top w:val="nil"/>
              <w:left w:val="nil"/>
              <w:bottom w:val="nil"/>
              <w:right w:val="nil"/>
            </w:tcBorders>
            <w:shd w:val="clear" w:color="auto" w:fill="auto"/>
            <w:noWrap/>
            <w:hideMark/>
          </w:tcPr>
          <w:p w14:paraId="3CB239FE" w14:textId="05DB6ED0" w:rsidR="00F77879" w:rsidRPr="00091B01" w:rsidRDefault="00F77879" w:rsidP="00D768D6">
            <w:pPr>
              <w:spacing w:after="0" w:line="240" w:lineRule="auto"/>
              <w:rPr>
                <w:rFonts w:ascii="Calibri" w:eastAsia="Times New Roman" w:hAnsi="Calibri" w:cs="Calibri"/>
                <w:i/>
                <w:iCs/>
                <w:color w:val="000000"/>
                <w:kern w:val="0"/>
                <w:sz w:val="18"/>
                <w:szCs w:val="18"/>
                <w14:ligatures w14:val="none"/>
              </w:rPr>
            </w:pPr>
            <w:r w:rsidRPr="00091B01">
              <w:rPr>
                <w:rFonts w:ascii="Calibri" w:eastAsia="Times New Roman" w:hAnsi="Calibri" w:cs="Calibri"/>
                <w:i/>
                <w:iCs/>
                <w:color w:val="000000"/>
                <w:kern w:val="0"/>
                <w:sz w:val="18"/>
                <w:szCs w:val="18"/>
                <w14:ligatures w14:val="none"/>
              </w:rPr>
              <w:t>P</w:t>
            </w:r>
            <w:r w:rsidR="00E175C6" w:rsidRPr="00091B01">
              <w:rPr>
                <w:rFonts w:ascii="Calibri" w:eastAsia="Times New Roman" w:hAnsi="Calibri" w:cs="Calibri"/>
                <w:i/>
                <w:iCs/>
                <w:color w:val="000000"/>
                <w:kern w:val="0"/>
                <w:sz w:val="18"/>
                <w:szCs w:val="18"/>
                <w14:ligatures w14:val="none"/>
              </w:rPr>
              <w:t>lasmodium</w:t>
            </w:r>
            <w:r w:rsidRPr="00091B01">
              <w:rPr>
                <w:rFonts w:ascii="Calibri" w:eastAsia="Times New Roman" w:hAnsi="Calibri" w:cs="Calibri"/>
                <w:i/>
                <w:iCs/>
                <w:color w:val="000000"/>
                <w:kern w:val="0"/>
                <w:sz w:val="18"/>
                <w:szCs w:val="18"/>
                <w14:ligatures w14:val="none"/>
              </w:rPr>
              <w:t xml:space="preserve"> vivax</w:t>
            </w:r>
          </w:p>
        </w:tc>
        <w:tc>
          <w:tcPr>
            <w:tcW w:w="1890" w:type="dxa"/>
            <w:tcBorders>
              <w:top w:val="nil"/>
              <w:left w:val="nil"/>
              <w:bottom w:val="nil"/>
              <w:right w:val="nil"/>
            </w:tcBorders>
            <w:shd w:val="clear" w:color="auto" w:fill="auto"/>
            <w:noWrap/>
            <w:hideMark/>
          </w:tcPr>
          <w:p w14:paraId="1C679620" w14:textId="4C873C1F"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5 (0.1%) </w:t>
            </w:r>
          </w:p>
        </w:tc>
        <w:tc>
          <w:tcPr>
            <w:tcW w:w="1890" w:type="dxa"/>
            <w:tcBorders>
              <w:top w:val="nil"/>
              <w:left w:val="nil"/>
              <w:bottom w:val="nil"/>
              <w:right w:val="nil"/>
            </w:tcBorders>
            <w:shd w:val="clear" w:color="auto" w:fill="auto"/>
            <w:noWrap/>
          </w:tcPr>
          <w:p w14:paraId="4CF6FCBA" w14:textId="3ABD163F"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0 (0.0%) </w:t>
            </w:r>
          </w:p>
        </w:tc>
      </w:tr>
      <w:tr w:rsidR="00F77879" w:rsidRPr="00D37B2D" w14:paraId="21FF95ED" w14:textId="77777777" w:rsidTr="48F4EE4A">
        <w:trPr>
          <w:trHeight w:val="20"/>
        </w:trPr>
        <w:tc>
          <w:tcPr>
            <w:tcW w:w="4230" w:type="dxa"/>
            <w:tcBorders>
              <w:top w:val="nil"/>
              <w:left w:val="nil"/>
              <w:bottom w:val="nil"/>
              <w:right w:val="nil"/>
            </w:tcBorders>
            <w:shd w:val="clear" w:color="auto" w:fill="auto"/>
            <w:noWrap/>
            <w:hideMark/>
          </w:tcPr>
          <w:p w14:paraId="10ACEC19" w14:textId="4FD2F66E" w:rsidR="00F77879" w:rsidRPr="00091B01" w:rsidRDefault="00F77879" w:rsidP="00D768D6">
            <w:pPr>
              <w:spacing w:after="0" w:line="240" w:lineRule="auto"/>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Rift Valley Fever</w:t>
            </w:r>
            <w:r w:rsidR="00E175C6" w:rsidRPr="00091B01">
              <w:rPr>
                <w:rFonts w:ascii="Calibri" w:eastAsia="Times New Roman" w:hAnsi="Calibri" w:cs="Calibri"/>
                <w:color w:val="000000"/>
                <w:kern w:val="0"/>
                <w:sz w:val="18"/>
                <w:szCs w:val="18"/>
                <w14:ligatures w14:val="none"/>
              </w:rPr>
              <w:t xml:space="preserve"> virus</w:t>
            </w:r>
          </w:p>
        </w:tc>
        <w:tc>
          <w:tcPr>
            <w:tcW w:w="1890" w:type="dxa"/>
            <w:tcBorders>
              <w:top w:val="nil"/>
              <w:left w:val="nil"/>
              <w:bottom w:val="nil"/>
              <w:right w:val="nil"/>
            </w:tcBorders>
            <w:shd w:val="clear" w:color="auto" w:fill="auto"/>
            <w:noWrap/>
            <w:hideMark/>
          </w:tcPr>
          <w:p w14:paraId="54EA3214" w14:textId="638192C6"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3 (0.0%) </w:t>
            </w:r>
          </w:p>
        </w:tc>
        <w:tc>
          <w:tcPr>
            <w:tcW w:w="1890" w:type="dxa"/>
            <w:tcBorders>
              <w:top w:val="nil"/>
              <w:left w:val="nil"/>
              <w:bottom w:val="nil"/>
              <w:right w:val="nil"/>
            </w:tcBorders>
            <w:shd w:val="clear" w:color="auto" w:fill="auto"/>
            <w:noWrap/>
          </w:tcPr>
          <w:p w14:paraId="37900F8B" w14:textId="046CB861"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1 (0.1%) </w:t>
            </w:r>
          </w:p>
        </w:tc>
      </w:tr>
      <w:tr w:rsidR="00F77879" w:rsidRPr="00D37B2D" w14:paraId="665FE4EE" w14:textId="77777777" w:rsidTr="48F4EE4A">
        <w:trPr>
          <w:trHeight w:val="20"/>
        </w:trPr>
        <w:tc>
          <w:tcPr>
            <w:tcW w:w="4230" w:type="dxa"/>
            <w:tcBorders>
              <w:top w:val="nil"/>
              <w:left w:val="nil"/>
              <w:bottom w:val="nil"/>
              <w:right w:val="nil"/>
            </w:tcBorders>
            <w:shd w:val="clear" w:color="auto" w:fill="auto"/>
            <w:noWrap/>
            <w:hideMark/>
          </w:tcPr>
          <w:p w14:paraId="652764C9" w14:textId="34C6FD00" w:rsidR="00F77879" w:rsidRPr="00091B01" w:rsidRDefault="00F77879" w:rsidP="00D768D6">
            <w:pPr>
              <w:spacing w:after="0" w:line="240" w:lineRule="auto"/>
              <w:rPr>
                <w:rFonts w:ascii="Calibri" w:eastAsia="Times New Roman" w:hAnsi="Calibri" w:cs="Calibri"/>
                <w:i/>
                <w:iCs/>
                <w:color w:val="000000"/>
                <w:kern w:val="0"/>
                <w:sz w:val="18"/>
                <w:szCs w:val="18"/>
                <w14:ligatures w14:val="none"/>
              </w:rPr>
            </w:pPr>
            <w:r w:rsidRPr="00091B01">
              <w:rPr>
                <w:rFonts w:ascii="Calibri" w:eastAsia="Times New Roman" w:hAnsi="Calibri" w:cs="Calibri"/>
                <w:i/>
                <w:iCs/>
                <w:color w:val="000000"/>
                <w:kern w:val="0"/>
                <w:sz w:val="18"/>
                <w:szCs w:val="18"/>
                <w14:ligatures w14:val="none"/>
              </w:rPr>
              <w:t>B</w:t>
            </w:r>
            <w:r w:rsidR="00E175C6" w:rsidRPr="00091B01">
              <w:rPr>
                <w:rFonts w:ascii="Calibri" w:eastAsia="Times New Roman" w:hAnsi="Calibri" w:cs="Calibri"/>
                <w:i/>
                <w:iCs/>
                <w:color w:val="000000"/>
                <w:kern w:val="0"/>
                <w:sz w:val="18"/>
                <w:szCs w:val="18"/>
                <w14:ligatures w14:val="none"/>
              </w:rPr>
              <w:t>urkholderia</w:t>
            </w:r>
            <w:r w:rsidRPr="00091B01">
              <w:rPr>
                <w:rFonts w:ascii="Calibri" w:eastAsia="Times New Roman" w:hAnsi="Calibri" w:cs="Calibri"/>
                <w:i/>
                <w:iCs/>
                <w:color w:val="000000"/>
                <w:kern w:val="0"/>
                <w:sz w:val="18"/>
                <w:szCs w:val="18"/>
                <w14:ligatures w14:val="none"/>
              </w:rPr>
              <w:t xml:space="preserve"> pseudomallei</w:t>
            </w:r>
          </w:p>
        </w:tc>
        <w:tc>
          <w:tcPr>
            <w:tcW w:w="1890" w:type="dxa"/>
            <w:tcBorders>
              <w:top w:val="nil"/>
              <w:left w:val="nil"/>
              <w:bottom w:val="nil"/>
              <w:right w:val="nil"/>
            </w:tcBorders>
            <w:shd w:val="clear" w:color="auto" w:fill="auto"/>
            <w:noWrap/>
            <w:hideMark/>
          </w:tcPr>
          <w:p w14:paraId="33525BFF" w14:textId="030FCED5"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2 (0.0%) </w:t>
            </w:r>
          </w:p>
        </w:tc>
        <w:tc>
          <w:tcPr>
            <w:tcW w:w="1890" w:type="dxa"/>
            <w:tcBorders>
              <w:top w:val="nil"/>
              <w:left w:val="nil"/>
              <w:bottom w:val="nil"/>
              <w:right w:val="nil"/>
            </w:tcBorders>
            <w:shd w:val="clear" w:color="auto" w:fill="auto"/>
            <w:noWrap/>
            <w:hideMark/>
          </w:tcPr>
          <w:p w14:paraId="79A00B77" w14:textId="5B8CE74E" w:rsidR="00F77879" w:rsidRPr="00091B01" w:rsidRDefault="00F77879" w:rsidP="00D768D6">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 xml:space="preserve"> 0 (0.0%) </w:t>
            </w:r>
          </w:p>
        </w:tc>
      </w:tr>
      <w:tr w:rsidR="00FE18ED" w:rsidRPr="00D37B2D" w14:paraId="6D77C4B0" w14:textId="77777777" w:rsidTr="48F4EE4A">
        <w:trPr>
          <w:trHeight w:val="20"/>
        </w:trPr>
        <w:tc>
          <w:tcPr>
            <w:tcW w:w="4230" w:type="dxa"/>
            <w:tcBorders>
              <w:left w:val="nil"/>
              <w:bottom w:val="single" w:sz="4" w:space="0" w:color="auto"/>
              <w:right w:val="nil"/>
            </w:tcBorders>
            <w:shd w:val="clear" w:color="auto" w:fill="auto"/>
            <w:noWrap/>
          </w:tcPr>
          <w:p w14:paraId="46D80D32" w14:textId="7ED6A079" w:rsidR="00FE18ED" w:rsidRPr="00091B01" w:rsidRDefault="00FE18ED" w:rsidP="00D768D6">
            <w:pPr>
              <w:spacing w:after="0" w:line="240" w:lineRule="auto"/>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Negative TAC</w:t>
            </w:r>
          </w:p>
        </w:tc>
        <w:tc>
          <w:tcPr>
            <w:tcW w:w="1890" w:type="dxa"/>
            <w:tcBorders>
              <w:left w:val="nil"/>
              <w:bottom w:val="single" w:sz="4" w:space="0" w:color="auto"/>
              <w:right w:val="nil"/>
            </w:tcBorders>
            <w:shd w:val="clear" w:color="auto" w:fill="auto"/>
            <w:noWrap/>
            <w:vAlign w:val="bottom"/>
          </w:tcPr>
          <w:p w14:paraId="697F0F21" w14:textId="48557B2F" w:rsidR="00FE18ED" w:rsidRPr="00091B01" w:rsidRDefault="00FE18ED" w:rsidP="00D768D6">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 xml:space="preserve"> 3630 (59.8%) </w:t>
            </w:r>
          </w:p>
        </w:tc>
        <w:tc>
          <w:tcPr>
            <w:tcW w:w="1890" w:type="dxa"/>
            <w:tcBorders>
              <w:left w:val="nil"/>
              <w:bottom w:val="single" w:sz="4" w:space="0" w:color="auto"/>
              <w:right w:val="nil"/>
            </w:tcBorders>
            <w:shd w:val="clear" w:color="auto" w:fill="auto"/>
            <w:noWrap/>
            <w:vAlign w:val="bottom"/>
          </w:tcPr>
          <w:p w14:paraId="4A745F45" w14:textId="61026A02" w:rsidR="00FE18ED" w:rsidRPr="00091B01" w:rsidRDefault="00FE18ED" w:rsidP="00D768D6">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 xml:space="preserve"> </w:t>
            </w:r>
            <w:r w:rsidR="00753531" w:rsidRPr="00091B01">
              <w:rPr>
                <w:rFonts w:ascii="Calibri" w:eastAsia="Times New Roman" w:hAnsi="Calibri" w:cs="Calibri"/>
                <w:color w:val="000000"/>
                <w:kern w:val="0"/>
                <w:sz w:val="18"/>
                <w:szCs w:val="18"/>
                <w14:ligatures w14:val="none"/>
              </w:rPr>
              <w:t>66</w:t>
            </w:r>
            <w:r w:rsidRPr="00091B01">
              <w:rPr>
                <w:rFonts w:ascii="Calibri" w:eastAsia="Times New Roman" w:hAnsi="Calibri" w:cs="Calibri"/>
                <w:color w:val="000000"/>
                <w:kern w:val="0"/>
                <w:sz w:val="18"/>
                <w:szCs w:val="18"/>
                <w14:ligatures w14:val="none"/>
              </w:rPr>
              <w:t xml:space="preserve"> (5.</w:t>
            </w:r>
            <w:r w:rsidR="00753531" w:rsidRPr="00091B01">
              <w:rPr>
                <w:rFonts w:ascii="Calibri" w:eastAsia="Times New Roman" w:hAnsi="Calibri" w:cs="Calibri"/>
                <w:color w:val="000000"/>
                <w:kern w:val="0"/>
                <w:sz w:val="18"/>
                <w:szCs w:val="18"/>
                <w14:ligatures w14:val="none"/>
              </w:rPr>
              <w:t>1</w:t>
            </w:r>
            <w:r w:rsidRPr="00091B01">
              <w:rPr>
                <w:rFonts w:ascii="Calibri" w:eastAsia="Times New Roman" w:hAnsi="Calibri" w:cs="Calibri"/>
                <w:color w:val="000000"/>
                <w:kern w:val="0"/>
                <w:sz w:val="18"/>
                <w:szCs w:val="18"/>
                <w14:ligatures w14:val="none"/>
              </w:rPr>
              <w:t xml:space="preserve">%) </w:t>
            </w:r>
          </w:p>
        </w:tc>
      </w:tr>
      <w:tr w:rsidR="00FE18ED" w:rsidRPr="00D37B2D" w14:paraId="76728ABF" w14:textId="77777777" w:rsidTr="48F4EE4A">
        <w:trPr>
          <w:trHeight w:val="20"/>
        </w:trPr>
        <w:tc>
          <w:tcPr>
            <w:tcW w:w="8010" w:type="dxa"/>
            <w:gridSpan w:val="3"/>
            <w:tcBorders>
              <w:top w:val="single" w:sz="4" w:space="0" w:color="auto"/>
              <w:left w:val="nil"/>
              <w:bottom w:val="single" w:sz="4" w:space="0" w:color="auto"/>
              <w:right w:val="nil"/>
            </w:tcBorders>
            <w:shd w:val="clear" w:color="auto" w:fill="auto"/>
            <w:hideMark/>
          </w:tcPr>
          <w:p w14:paraId="3599F660" w14:textId="5D4BC500" w:rsidR="00FE18ED" w:rsidRPr="00091B01" w:rsidRDefault="46D9CE34" w:rsidP="00D768D6">
            <w:pPr>
              <w:spacing w:after="0" w:line="240" w:lineRule="auto"/>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 xml:space="preserve">* </w:t>
            </w:r>
            <w:r w:rsidR="6B5CD662" w:rsidRPr="00091B01">
              <w:rPr>
                <w:rFonts w:ascii="Calibri" w:eastAsia="Times New Roman" w:hAnsi="Calibri" w:cs="Calibri"/>
                <w:color w:val="000000"/>
                <w:kern w:val="0"/>
                <w:sz w:val="18"/>
                <w:szCs w:val="18"/>
                <w14:ligatures w14:val="none"/>
              </w:rPr>
              <w:t>Results for t</w:t>
            </w:r>
            <w:r w:rsidRPr="00091B01">
              <w:rPr>
                <w:rFonts w:ascii="Calibri" w:eastAsia="Times New Roman" w:hAnsi="Calibri" w:cs="Calibri"/>
                <w:color w:val="000000"/>
                <w:kern w:val="0"/>
                <w:sz w:val="18"/>
                <w:szCs w:val="18"/>
                <w14:ligatures w14:val="none"/>
              </w:rPr>
              <w:t>arget</w:t>
            </w:r>
            <w:r w:rsidR="2CFD6C36" w:rsidRPr="00091B01">
              <w:rPr>
                <w:rFonts w:ascii="Calibri" w:eastAsia="Times New Roman" w:hAnsi="Calibri" w:cs="Calibri"/>
                <w:color w:val="000000"/>
                <w:kern w:val="0"/>
                <w:sz w:val="18"/>
                <w:szCs w:val="18"/>
                <w14:ligatures w14:val="none"/>
              </w:rPr>
              <w:t>s</w:t>
            </w:r>
            <w:r w:rsidRPr="00091B01">
              <w:rPr>
                <w:rFonts w:ascii="Calibri" w:eastAsia="Times New Roman" w:hAnsi="Calibri" w:cs="Calibri"/>
                <w:color w:val="000000"/>
                <w:kern w:val="0"/>
                <w:sz w:val="18"/>
                <w:szCs w:val="18"/>
                <w14:ligatures w14:val="none"/>
              </w:rPr>
              <w:t xml:space="preserve"> for </w:t>
            </w:r>
            <w:r w:rsidRPr="00091B01">
              <w:rPr>
                <w:rFonts w:ascii="Calibri" w:eastAsia="Times New Roman" w:hAnsi="Calibri" w:cs="Calibri"/>
                <w:i/>
                <w:iCs/>
                <w:color w:val="000000"/>
                <w:kern w:val="0"/>
                <w:sz w:val="18"/>
                <w:szCs w:val="18"/>
                <w14:ligatures w14:val="none"/>
              </w:rPr>
              <w:t xml:space="preserve">Plasmodium falciparum </w:t>
            </w:r>
            <w:r w:rsidR="2B38208E" w:rsidRPr="00091B01">
              <w:rPr>
                <w:rFonts w:ascii="Calibri" w:eastAsia="Times New Roman" w:hAnsi="Calibri" w:cs="Calibri"/>
                <w:color w:val="000000"/>
                <w:kern w:val="0"/>
                <w:sz w:val="18"/>
                <w:szCs w:val="18"/>
                <w14:ligatures w14:val="none"/>
              </w:rPr>
              <w:t xml:space="preserve">and </w:t>
            </w:r>
            <w:r w:rsidR="2B38208E" w:rsidRPr="00091B01">
              <w:rPr>
                <w:rFonts w:ascii="Calibri" w:eastAsia="Times New Roman" w:hAnsi="Calibri" w:cs="Calibri"/>
                <w:i/>
                <w:iCs/>
                <w:color w:val="000000"/>
                <w:kern w:val="0"/>
                <w:sz w:val="18"/>
                <w:szCs w:val="18"/>
                <w14:ligatures w14:val="none"/>
              </w:rPr>
              <w:t xml:space="preserve">Plasmodium vivax </w:t>
            </w:r>
            <w:r w:rsidR="7216041D" w:rsidRPr="00091B01">
              <w:rPr>
                <w:rFonts w:ascii="Calibri" w:eastAsia="Times New Roman" w:hAnsi="Calibri" w:cs="Calibri"/>
                <w:color w:val="000000"/>
                <w:kern w:val="0"/>
                <w:sz w:val="18"/>
                <w:szCs w:val="18"/>
                <w14:ligatures w14:val="none"/>
              </w:rPr>
              <w:t xml:space="preserve">were </w:t>
            </w:r>
            <w:r w:rsidRPr="00091B01">
              <w:rPr>
                <w:rFonts w:ascii="Calibri" w:eastAsia="Times New Roman" w:hAnsi="Calibri" w:cs="Calibri"/>
                <w:color w:val="000000"/>
                <w:kern w:val="0"/>
                <w:sz w:val="18"/>
                <w:szCs w:val="18"/>
                <w14:ligatures w14:val="none"/>
              </w:rPr>
              <w:t>not shown to avoid double-counting and because the</w:t>
            </w:r>
            <w:r w:rsidR="6B47CA7E" w:rsidRPr="00091B01">
              <w:rPr>
                <w:rFonts w:ascii="Calibri" w:eastAsia="Times New Roman" w:hAnsi="Calibri" w:cs="Calibri"/>
                <w:color w:val="000000"/>
                <w:kern w:val="0"/>
                <w:sz w:val="18"/>
                <w:szCs w:val="18"/>
                <w14:ligatures w14:val="none"/>
              </w:rPr>
              <w:t>se</w:t>
            </w:r>
            <w:r w:rsidRPr="00091B01">
              <w:rPr>
                <w:rFonts w:ascii="Calibri" w:eastAsia="Times New Roman" w:hAnsi="Calibri" w:cs="Calibri"/>
                <w:color w:val="000000"/>
                <w:kern w:val="0"/>
                <w:sz w:val="18"/>
                <w:szCs w:val="18"/>
                <w14:ligatures w14:val="none"/>
              </w:rPr>
              <w:t xml:space="preserve"> target</w:t>
            </w:r>
            <w:r w:rsidR="7E42215A" w:rsidRPr="00091B01">
              <w:rPr>
                <w:rFonts w:ascii="Calibri" w:eastAsia="Times New Roman" w:hAnsi="Calibri" w:cs="Calibri"/>
                <w:color w:val="000000"/>
                <w:kern w:val="0"/>
                <w:sz w:val="18"/>
                <w:szCs w:val="18"/>
                <w14:ligatures w14:val="none"/>
              </w:rPr>
              <w:t>s</w:t>
            </w:r>
            <w:r w:rsidRPr="00091B01">
              <w:rPr>
                <w:rFonts w:ascii="Calibri" w:eastAsia="Times New Roman" w:hAnsi="Calibri" w:cs="Calibri"/>
                <w:color w:val="000000"/>
                <w:kern w:val="0"/>
                <w:sz w:val="18"/>
                <w:szCs w:val="18"/>
                <w14:ligatures w14:val="none"/>
              </w:rPr>
              <w:t xml:space="preserve"> w</w:t>
            </w:r>
            <w:r w:rsidR="7E42215A" w:rsidRPr="00091B01">
              <w:rPr>
                <w:rFonts w:ascii="Calibri" w:eastAsia="Times New Roman" w:hAnsi="Calibri" w:cs="Calibri"/>
                <w:color w:val="000000"/>
                <w:kern w:val="0"/>
                <w:sz w:val="18"/>
                <w:szCs w:val="18"/>
                <w14:ligatures w14:val="none"/>
              </w:rPr>
              <w:t>ere</w:t>
            </w:r>
            <w:r w:rsidRPr="00091B01">
              <w:rPr>
                <w:rFonts w:ascii="Calibri" w:eastAsia="Times New Roman" w:hAnsi="Calibri" w:cs="Calibri"/>
                <w:color w:val="000000"/>
                <w:kern w:val="0"/>
                <w:sz w:val="18"/>
                <w:szCs w:val="18"/>
                <w14:ligatures w14:val="none"/>
              </w:rPr>
              <w:t xml:space="preserve"> not added until November 2020. All </w:t>
            </w:r>
            <w:r w:rsidRPr="00091B01">
              <w:rPr>
                <w:rFonts w:ascii="Calibri" w:eastAsia="Times New Roman" w:hAnsi="Calibri" w:cs="Calibri"/>
                <w:i/>
                <w:iCs/>
                <w:color w:val="000000"/>
                <w:kern w:val="0"/>
                <w:sz w:val="18"/>
                <w:szCs w:val="18"/>
                <w14:ligatures w14:val="none"/>
              </w:rPr>
              <w:t xml:space="preserve">P. falciparum </w:t>
            </w:r>
            <w:r w:rsidR="2FCF20CA" w:rsidRPr="00091B01">
              <w:rPr>
                <w:rFonts w:ascii="Calibri" w:eastAsia="Times New Roman" w:hAnsi="Calibri" w:cs="Calibri"/>
                <w:color w:val="000000"/>
                <w:kern w:val="0"/>
                <w:sz w:val="18"/>
                <w:szCs w:val="18"/>
                <w14:ligatures w14:val="none"/>
              </w:rPr>
              <w:t xml:space="preserve">and </w:t>
            </w:r>
            <w:r w:rsidR="2FCF20CA" w:rsidRPr="00091B01">
              <w:rPr>
                <w:rFonts w:ascii="Calibri" w:eastAsia="Times New Roman" w:hAnsi="Calibri" w:cs="Calibri"/>
                <w:i/>
                <w:iCs/>
                <w:color w:val="000000"/>
                <w:kern w:val="0"/>
                <w:sz w:val="18"/>
                <w:szCs w:val="18"/>
                <w14:ligatures w14:val="none"/>
              </w:rPr>
              <w:t xml:space="preserve">P. vivax </w:t>
            </w:r>
            <w:r w:rsidRPr="00091B01">
              <w:rPr>
                <w:rFonts w:ascii="Calibri" w:eastAsia="Times New Roman" w:hAnsi="Calibri" w:cs="Calibri"/>
                <w:color w:val="000000"/>
                <w:kern w:val="0"/>
                <w:sz w:val="18"/>
                <w:szCs w:val="18"/>
                <w14:ligatures w14:val="none"/>
              </w:rPr>
              <w:t xml:space="preserve">detections were positive for the </w:t>
            </w:r>
            <w:r w:rsidRPr="00091B01">
              <w:rPr>
                <w:rFonts w:ascii="Calibri" w:eastAsia="Times New Roman" w:hAnsi="Calibri" w:cs="Calibri"/>
                <w:i/>
                <w:iCs/>
                <w:color w:val="000000"/>
                <w:kern w:val="0"/>
                <w:sz w:val="18"/>
                <w:szCs w:val="18"/>
                <w14:ligatures w14:val="none"/>
              </w:rPr>
              <w:t xml:space="preserve">Plasmodium </w:t>
            </w:r>
            <w:r w:rsidR="740B4DDF" w:rsidRPr="00091B01">
              <w:rPr>
                <w:rFonts w:ascii="Calibri" w:eastAsia="Times New Roman" w:hAnsi="Calibri" w:cs="Calibri"/>
                <w:i/>
                <w:iCs/>
                <w:color w:val="000000"/>
                <w:kern w:val="0"/>
                <w:sz w:val="18"/>
                <w:szCs w:val="18"/>
                <w14:ligatures w14:val="none"/>
              </w:rPr>
              <w:t>spp</w:t>
            </w:r>
            <w:r w:rsidR="740B4DDF" w:rsidRPr="00091B01">
              <w:rPr>
                <w:rFonts w:ascii="Calibri" w:eastAsia="Times New Roman" w:hAnsi="Calibri" w:cs="Calibri"/>
                <w:color w:val="000000"/>
                <w:kern w:val="0"/>
                <w:sz w:val="18"/>
                <w:szCs w:val="18"/>
                <w14:ligatures w14:val="none"/>
              </w:rPr>
              <w:t xml:space="preserve">. </w:t>
            </w:r>
            <w:r w:rsidRPr="00091B01">
              <w:rPr>
                <w:rFonts w:ascii="Calibri" w:eastAsia="Times New Roman" w:hAnsi="Calibri" w:cs="Calibri"/>
                <w:color w:val="000000"/>
                <w:kern w:val="0"/>
                <w:sz w:val="18"/>
                <w:szCs w:val="18"/>
                <w14:ligatures w14:val="none"/>
              </w:rPr>
              <w:t xml:space="preserve">target but not </w:t>
            </w:r>
            <w:r w:rsidR="29079DCB" w:rsidRPr="00091B01">
              <w:rPr>
                <w:rFonts w:ascii="Calibri" w:eastAsia="Times New Roman" w:hAnsi="Calibri" w:cs="Calibri"/>
                <w:color w:val="000000"/>
                <w:kern w:val="0"/>
                <w:sz w:val="18"/>
                <w:szCs w:val="18"/>
                <w14:ligatures w14:val="none"/>
              </w:rPr>
              <w:t>vice</w:t>
            </w:r>
            <w:r w:rsidRPr="00091B01">
              <w:rPr>
                <w:rFonts w:ascii="Calibri" w:eastAsia="Times New Roman" w:hAnsi="Calibri" w:cs="Calibri"/>
                <w:color w:val="000000"/>
                <w:kern w:val="0"/>
                <w:sz w:val="18"/>
                <w:szCs w:val="18"/>
                <w14:ligatures w14:val="none"/>
              </w:rPr>
              <w:t xml:space="preserve"> versa. </w:t>
            </w:r>
            <w:r w:rsidR="00FE18ED" w:rsidRPr="00091B01">
              <w:rPr>
                <w:sz w:val="18"/>
                <w:szCs w:val="18"/>
              </w:rPr>
              <w:br/>
            </w:r>
            <w:r w:rsidR="6166A3C4" w:rsidRPr="00091B01">
              <w:rPr>
                <w:rFonts w:ascii="Calibri" w:eastAsia="Times New Roman" w:hAnsi="Calibri" w:cs="Calibri"/>
                <w:color w:val="000000" w:themeColor="text1"/>
                <w:sz w:val="18"/>
                <w:szCs w:val="18"/>
                <w:vertAlign w:val="superscript"/>
              </w:rPr>
              <w:t>†</w:t>
            </w:r>
            <w:r w:rsidRPr="00091B01">
              <w:rPr>
                <w:rFonts w:ascii="Calibri" w:eastAsia="Times New Roman" w:hAnsi="Calibri" w:cs="Calibri"/>
                <w:color w:val="000000" w:themeColor="text1"/>
                <w:sz w:val="18"/>
                <w:szCs w:val="18"/>
              </w:rPr>
              <w:t xml:space="preserve"> </w:t>
            </w:r>
            <w:bookmarkStart w:id="0" w:name="_Hlk192069315"/>
            <w:r w:rsidRPr="00091B01">
              <w:rPr>
                <w:rFonts w:ascii="Calibri" w:eastAsia="Times New Roman" w:hAnsi="Calibri" w:cs="Calibri"/>
                <w:color w:val="000000" w:themeColor="text1"/>
                <w:sz w:val="18"/>
                <w:szCs w:val="18"/>
              </w:rPr>
              <w:t>TAC assay was updated in November 2020 to add the following targets: Burkholderia pseudomallei, Lassa virus, Orientia tsutsugamushi, Oropouche virus,</w:t>
            </w:r>
            <w:r w:rsidRPr="00091B01">
              <w:rPr>
                <w:rFonts w:ascii="Calibri" w:hAnsi="Calibri"/>
                <w:i/>
                <w:color w:val="000000" w:themeColor="text1"/>
                <w:sz w:val="18"/>
                <w:szCs w:val="18"/>
              </w:rPr>
              <w:t xml:space="preserve"> Plasmodium falciparum</w:t>
            </w:r>
            <w:r w:rsidRPr="00091B01">
              <w:rPr>
                <w:rFonts w:ascii="Calibri" w:eastAsia="Times New Roman" w:hAnsi="Calibri" w:cs="Calibri"/>
                <w:color w:val="000000" w:themeColor="text1"/>
                <w:sz w:val="18"/>
                <w:szCs w:val="18"/>
              </w:rPr>
              <w:t>,</w:t>
            </w:r>
            <w:r w:rsidRPr="00091B01">
              <w:rPr>
                <w:rFonts w:ascii="Calibri" w:hAnsi="Calibri"/>
                <w:i/>
                <w:color w:val="000000" w:themeColor="text1"/>
                <w:sz w:val="18"/>
                <w:szCs w:val="18"/>
              </w:rPr>
              <w:t xml:space="preserve"> Plasmodium vivax</w:t>
            </w:r>
            <w:r w:rsidRPr="00091B01">
              <w:rPr>
                <w:rFonts w:ascii="Calibri" w:eastAsia="Times New Roman" w:hAnsi="Calibri" w:cs="Calibri"/>
                <w:color w:val="000000" w:themeColor="text1"/>
                <w:sz w:val="18"/>
                <w:szCs w:val="18"/>
              </w:rPr>
              <w:t>,</w:t>
            </w:r>
            <w:r w:rsidRPr="00091B01">
              <w:rPr>
                <w:rFonts w:ascii="Calibri" w:hAnsi="Calibri"/>
                <w:i/>
                <w:color w:val="000000" w:themeColor="text1"/>
                <w:sz w:val="18"/>
                <w:szCs w:val="18"/>
              </w:rPr>
              <w:t xml:space="preserve"> Streptococcus pneumoniae</w:t>
            </w:r>
            <w:r w:rsidRPr="00091B01">
              <w:rPr>
                <w:rFonts w:ascii="Calibri" w:eastAsia="Times New Roman" w:hAnsi="Calibri" w:cs="Calibri"/>
                <w:color w:val="000000" w:themeColor="text1"/>
                <w:sz w:val="18"/>
                <w:szCs w:val="18"/>
              </w:rPr>
              <w:t>, Salmonella paratyphi</w:t>
            </w:r>
            <w:r w:rsidRPr="00091B01">
              <w:rPr>
                <w:rFonts w:ascii="Calibri" w:eastAsia="Times New Roman" w:hAnsi="Calibri" w:cs="Calibri"/>
                <w:color w:val="000000"/>
                <w:kern w:val="0"/>
                <w:sz w:val="18"/>
                <w:szCs w:val="18"/>
                <w14:ligatures w14:val="none"/>
              </w:rPr>
              <w:t xml:space="preserve"> A, and Zika virus.</w:t>
            </w:r>
            <w:bookmarkEnd w:id="0"/>
          </w:p>
          <w:p w14:paraId="25E51CCF" w14:textId="346EC59B" w:rsidR="00564EB3" w:rsidRPr="00091B01" w:rsidRDefault="00564EB3" w:rsidP="00D768D6">
            <w:pPr>
              <w:spacing w:after="0" w:line="240" w:lineRule="auto"/>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vertAlign w:val="superscript"/>
                <w14:ligatures w14:val="none"/>
              </w:rPr>
              <w:t xml:space="preserve">‡ </w:t>
            </w:r>
            <w:r w:rsidR="001633D6" w:rsidRPr="00091B01">
              <w:rPr>
                <w:rFonts w:ascii="Calibri" w:eastAsia="Times New Roman" w:hAnsi="Calibri" w:cs="Calibri"/>
                <w:color w:val="000000"/>
                <w:kern w:val="0"/>
                <w:sz w:val="18"/>
                <w:szCs w:val="18"/>
                <w14:ligatures w14:val="none"/>
              </w:rPr>
              <w:t>Includes all patients (inpatient and outpatient) who received a TAC test as part of AFI surveillance</w:t>
            </w:r>
            <w:r w:rsidR="75B4939C" w:rsidRPr="00091B01">
              <w:rPr>
                <w:rFonts w:ascii="Calibri" w:eastAsia="Times New Roman" w:hAnsi="Calibri" w:cs="Calibri"/>
                <w:color w:val="000000"/>
                <w:kern w:val="0"/>
                <w:sz w:val="18"/>
                <w:szCs w:val="18"/>
                <w14:ligatures w14:val="none"/>
              </w:rPr>
              <w:t xml:space="preserve"> in Kenya</w:t>
            </w:r>
          </w:p>
          <w:p w14:paraId="6A89CD1B" w14:textId="32E3CAFB" w:rsidR="001633D6" w:rsidRPr="00091B01" w:rsidRDefault="001633D6" w:rsidP="00D768D6">
            <w:pPr>
              <w:spacing w:after="0" w:line="240" w:lineRule="auto"/>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 xml:space="preserve">AFI: acute febrile illness; </w:t>
            </w:r>
            <w:r w:rsidR="000E0825" w:rsidRPr="00091B01">
              <w:rPr>
                <w:rFonts w:ascii="Calibri" w:eastAsia="Times New Roman" w:hAnsi="Calibri" w:cs="Calibri"/>
                <w:color w:val="000000"/>
                <w:kern w:val="0"/>
                <w:sz w:val="18"/>
                <w:szCs w:val="18"/>
                <w14:ligatures w14:val="none"/>
              </w:rPr>
              <w:t>m</w:t>
            </w:r>
            <w:r w:rsidR="00E175C6" w:rsidRPr="00091B01">
              <w:rPr>
                <w:rFonts w:ascii="Calibri" w:eastAsia="Times New Roman" w:hAnsi="Calibri" w:cs="Calibri"/>
                <w:color w:val="000000"/>
                <w:kern w:val="0"/>
                <w:sz w:val="18"/>
                <w:szCs w:val="18"/>
                <w14:ligatures w14:val="none"/>
              </w:rPr>
              <w:t xml:space="preserve">RDT: rapid diagnostic test; </w:t>
            </w:r>
            <w:r w:rsidRPr="00091B01">
              <w:rPr>
                <w:rFonts w:ascii="Calibri" w:eastAsia="Times New Roman" w:hAnsi="Calibri" w:cs="Calibri"/>
                <w:color w:val="000000"/>
                <w:kern w:val="0"/>
                <w:sz w:val="18"/>
                <w:szCs w:val="18"/>
                <w14:ligatures w14:val="none"/>
              </w:rPr>
              <w:t>TAC: TaqMan Array Card</w:t>
            </w:r>
          </w:p>
          <w:p w14:paraId="7C5C27DF" w14:textId="74BAF6A6" w:rsidR="006005DF" w:rsidRPr="00091B01" w:rsidRDefault="006005DF" w:rsidP="00D768D6">
            <w:pPr>
              <w:spacing w:after="0" w:line="240" w:lineRule="auto"/>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 xml:space="preserve">Of note, the following </w:t>
            </w:r>
            <w:r w:rsidR="006028C6" w:rsidRPr="00091B01">
              <w:rPr>
                <w:rFonts w:ascii="Calibri" w:eastAsia="Times New Roman" w:hAnsi="Calibri" w:cs="Calibri"/>
                <w:color w:val="000000"/>
                <w:kern w:val="0"/>
                <w:sz w:val="18"/>
                <w:szCs w:val="18"/>
                <w14:ligatures w14:val="none"/>
              </w:rPr>
              <w:t xml:space="preserve">pathogens have </w:t>
            </w:r>
            <w:r w:rsidR="005C3733" w:rsidRPr="00091B01">
              <w:rPr>
                <w:rFonts w:ascii="Calibri" w:eastAsia="Times New Roman" w:hAnsi="Calibri" w:cs="Calibri"/>
                <w:b/>
                <w:bCs/>
                <w:color w:val="000000"/>
                <w:kern w:val="0"/>
                <w:sz w:val="18"/>
                <w:szCs w:val="18"/>
                <w14:ligatures w14:val="none"/>
              </w:rPr>
              <w:t>not</w:t>
            </w:r>
            <w:r w:rsidR="006028C6" w:rsidRPr="00091B01">
              <w:rPr>
                <w:rFonts w:ascii="Calibri" w:eastAsia="Times New Roman" w:hAnsi="Calibri" w:cs="Calibri"/>
                <w:color w:val="000000"/>
                <w:kern w:val="0"/>
                <w:sz w:val="18"/>
                <w:szCs w:val="18"/>
                <w14:ligatures w14:val="none"/>
              </w:rPr>
              <w:t xml:space="preserve"> been detected on this platform in Kenya:  Crimean-Congo hemorrhagic fever virus, </w:t>
            </w:r>
            <w:r w:rsidR="006028C6" w:rsidRPr="00091B01">
              <w:rPr>
                <w:rFonts w:ascii="Calibri" w:eastAsia="Times New Roman" w:hAnsi="Calibri" w:cs="Calibri"/>
                <w:color w:val="000000" w:themeColor="text1"/>
                <w:sz w:val="18"/>
                <w:szCs w:val="18"/>
              </w:rPr>
              <w:t>Ebola virus (Zaire, Budibugyo</w:t>
            </w:r>
            <w:r w:rsidR="006028C6" w:rsidRPr="00091B01">
              <w:rPr>
                <w:rFonts w:ascii="Calibri" w:eastAsia="Times New Roman" w:hAnsi="Calibri" w:cs="Calibri"/>
                <w:color w:val="000000"/>
                <w:kern w:val="0"/>
                <w:sz w:val="18"/>
                <w:szCs w:val="18"/>
                <w14:ligatures w14:val="none"/>
              </w:rPr>
              <w:t xml:space="preserve">, Sudan), Hepatitis E virus, Lassa virus, Marburg virus, Nipah virus, </w:t>
            </w:r>
            <w:r w:rsidR="006028C6" w:rsidRPr="00091B01">
              <w:rPr>
                <w:rFonts w:ascii="Calibri" w:eastAsia="Times New Roman" w:hAnsi="Calibri" w:cs="Calibri"/>
                <w:color w:val="000000" w:themeColor="text1"/>
                <w:sz w:val="18"/>
                <w:szCs w:val="18"/>
              </w:rPr>
              <w:t>O'nyong-nyong</w:t>
            </w:r>
            <w:r w:rsidR="006028C6" w:rsidRPr="00091B01">
              <w:rPr>
                <w:rFonts w:ascii="Calibri" w:eastAsia="Times New Roman" w:hAnsi="Calibri" w:cs="Calibri"/>
                <w:color w:val="000000"/>
                <w:kern w:val="0"/>
                <w:sz w:val="18"/>
                <w:szCs w:val="18"/>
                <w14:ligatures w14:val="none"/>
              </w:rPr>
              <w:t xml:space="preserve"> virus</w:t>
            </w:r>
            <w:r w:rsidR="005C3733" w:rsidRPr="00091B01">
              <w:rPr>
                <w:rFonts w:ascii="Calibri" w:eastAsia="Times New Roman" w:hAnsi="Calibri" w:cs="Calibri"/>
                <w:color w:val="000000"/>
                <w:kern w:val="0"/>
                <w:sz w:val="18"/>
                <w:szCs w:val="18"/>
                <w14:ligatures w14:val="none"/>
              </w:rPr>
              <w:t xml:space="preserve">, </w:t>
            </w:r>
            <w:r w:rsidR="005C3733" w:rsidRPr="00091B01">
              <w:rPr>
                <w:rFonts w:ascii="Calibri" w:eastAsia="Times New Roman" w:hAnsi="Calibri" w:cs="Calibri"/>
                <w:i/>
                <w:iCs/>
                <w:color w:val="000000" w:themeColor="text1"/>
                <w:sz w:val="18"/>
                <w:szCs w:val="18"/>
              </w:rPr>
              <w:t>Orientia</w:t>
            </w:r>
            <w:r w:rsidR="005C3733" w:rsidRPr="00091B01">
              <w:rPr>
                <w:rFonts w:ascii="Calibri" w:eastAsia="Times New Roman" w:hAnsi="Calibri" w:cs="Calibri"/>
                <w:i/>
                <w:iCs/>
                <w:color w:val="000000"/>
                <w:kern w:val="0"/>
                <w:sz w:val="18"/>
                <w:szCs w:val="18"/>
                <w14:ligatures w14:val="none"/>
              </w:rPr>
              <w:t xml:space="preserve"> tsutsugamushi, </w:t>
            </w:r>
            <w:r w:rsidR="005C3733" w:rsidRPr="00091B01">
              <w:rPr>
                <w:rFonts w:ascii="Calibri" w:eastAsia="Times New Roman" w:hAnsi="Calibri" w:cs="Calibri"/>
                <w:color w:val="000000" w:themeColor="text1"/>
                <w:sz w:val="18"/>
                <w:szCs w:val="18"/>
              </w:rPr>
              <w:t>Oropouche</w:t>
            </w:r>
            <w:r w:rsidR="005C3733" w:rsidRPr="00091B01">
              <w:rPr>
                <w:rFonts w:ascii="Calibri" w:eastAsia="Times New Roman" w:hAnsi="Calibri" w:cs="Calibri"/>
                <w:color w:val="000000"/>
                <w:kern w:val="0"/>
                <w:sz w:val="18"/>
                <w:szCs w:val="18"/>
                <w14:ligatures w14:val="none"/>
              </w:rPr>
              <w:t xml:space="preserve"> virus, </w:t>
            </w:r>
            <w:r w:rsidR="005C3733" w:rsidRPr="00091B01">
              <w:rPr>
                <w:rFonts w:ascii="Calibri" w:eastAsia="Times New Roman" w:hAnsi="Calibri" w:cs="Calibri"/>
                <w:i/>
                <w:iCs/>
                <w:color w:val="000000" w:themeColor="text1"/>
                <w:sz w:val="18"/>
                <w:szCs w:val="18"/>
              </w:rPr>
              <w:t>Salmonella paratyphi</w:t>
            </w:r>
            <w:r w:rsidR="005C3733" w:rsidRPr="00091B01">
              <w:rPr>
                <w:rFonts w:ascii="Calibri" w:eastAsia="Times New Roman" w:hAnsi="Calibri" w:cs="Calibri"/>
                <w:i/>
                <w:iCs/>
                <w:color w:val="000000"/>
                <w:kern w:val="0"/>
                <w:sz w:val="18"/>
                <w:szCs w:val="18"/>
                <w14:ligatures w14:val="none"/>
              </w:rPr>
              <w:t xml:space="preserve"> A, Trypanosomiasis brucei, </w:t>
            </w:r>
            <w:r w:rsidR="005C3733" w:rsidRPr="00091B01">
              <w:rPr>
                <w:rFonts w:ascii="Calibri" w:eastAsia="Times New Roman" w:hAnsi="Calibri" w:cs="Calibri"/>
                <w:color w:val="000000"/>
                <w:kern w:val="0"/>
                <w:sz w:val="18"/>
                <w:szCs w:val="18"/>
                <w14:ligatures w14:val="none"/>
              </w:rPr>
              <w:t xml:space="preserve">West Nile virus, Yellow Fever virus, </w:t>
            </w:r>
            <w:r w:rsidR="005C3733" w:rsidRPr="00091B01">
              <w:rPr>
                <w:rFonts w:ascii="Calibri" w:eastAsia="Times New Roman" w:hAnsi="Calibri" w:cs="Calibri"/>
                <w:i/>
                <w:iCs/>
                <w:color w:val="000000"/>
                <w:kern w:val="0"/>
                <w:sz w:val="18"/>
                <w:szCs w:val="18"/>
                <w14:ligatures w14:val="none"/>
              </w:rPr>
              <w:t xml:space="preserve">Yersinia pestis, </w:t>
            </w:r>
            <w:r w:rsidR="005C3733" w:rsidRPr="00091B01">
              <w:rPr>
                <w:rFonts w:ascii="Calibri" w:eastAsia="Times New Roman" w:hAnsi="Calibri" w:cs="Calibri"/>
                <w:color w:val="000000"/>
                <w:kern w:val="0"/>
                <w:sz w:val="18"/>
                <w:szCs w:val="18"/>
                <w14:ligatures w14:val="none"/>
              </w:rPr>
              <w:t>Zika virus</w:t>
            </w:r>
          </w:p>
        </w:tc>
      </w:tr>
    </w:tbl>
    <w:p w14:paraId="007251A2" w14:textId="77777777" w:rsidR="00FE18ED" w:rsidRDefault="00FE18ED" w:rsidP="001407CA">
      <w:pPr>
        <w:spacing w:line="480" w:lineRule="auto"/>
      </w:pPr>
    </w:p>
    <w:p w14:paraId="5B2C44C7" w14:textId="6EF76A8B" w:rsidR="001A6921" w:rsidRPr="001A6921" w:rsidRDefault="1B185C6B" w:rsidP="00D768D6">
      <w:pPr>
        <w:pStyle w:val="Heading1"/>
        <w:spacing w:line="240" w:lineRule="auto"/>
        <w:rPr>
          <w:b/>
          <w:bCs/>
          <w:sz w:val="22"/>
          <w:szCs w:val="22"/>
        </w:rPr>
      </w:pPr>
      <w:r w:rsidRPr="48F4EE4A">
        <w:rPr>
          <w:b/>
          <w:bCs/>
          <w:sz w:val="22"/>
          <w:szCs w:val="22"/>
        </w:rPr>
        <w:t>Table 3:  Risk of severe disease and mortality based on TAC results</w:t>
      </w:r>
      <w:r w:rsidR="680049EA" w:rsidRPr="48F4EE4A">
        <w:rPr>
          <w:b/>
          <w:bCs/>
          <w:sz w:val="22"/>
          <w:szCs w:val="22"/>
        </w:rPr>
        <w:t xml:space="preserve"> (N = 6069)*</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10"/>
        <w:gridCol w:w="955"/>
        <w:gridCol w:w="955"/>
        <w:gridCol w:w="955"/>
        <w:gridCol w:w="955"/>
        <w:gridCol w:w="1040"/>
        <w:gridCol w:w="870"/>
        <w:gridCol w:w="955"/>
        <w:gridCol w:w="955"/>
      </w:tblGrid>
      <w:tr w:rsidR="00D04C03" w:rsidRPr="00D37B2D" w14:paraId="299FEFDA" w14:textId="77777777" w:rsidTr="00A07E69">
        <w:tc>
          <w:tcPr>
            <w:tcW w:w="1710" w:type="dxa"/>
            <w:vMerge w:val="restart"/>
            <w:tcBorders>
              <w:top w:val="single" w:sz="4" w:space="0" w:color="auto"/>
            </w:tcBorders>
            <w:vAlign w:val="center"/>
          </w:tcPr>
          <w:p w14:paraId="1B04AC1F" w14:textId="5C92634F" w:rsidR="00D04C03" w:rsidRPr="00091B01" w:rsidRDefault="00D04C03" w:rsidP="00D768D6">
            <w:pPr>
              <w:jc w:val="center"/>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Category</w:t>
            </w:r>
          </w:p>
        </w:tc>
        <w:tc>
          <w:tcPr>
            <w:tcW w:w="3820" w:type="dxa"/>
            <w:gridSpan w:val="4"/>
            <w:tcBorders>
              <w:top w:val="single" w:sz="4" w:space="0" w:color="auto"/>
              <w:left w:val="nil"/>
            </w:tcBorders>
            <w:vAlign w:val="center"/>
          </w:tcPr>
          <w:p w14:paraId="2C727346" w14:textId="77777777" w:rsidR="00D04C03" w:rsidRPr="00091B01" w:rsidRDefault="00D04C03" w:rsidP="00D768D6">
            <w:pPr>
              <w:jc w:val="center"/>
              <w:rPr>
                <w:rFonts w:ascii="Calibri" w:eastAsia="Times New Roman" w:hAnsi="Calibri" w:cs="Calibri"/>
                <w:b/>
                <w:bCs/>
                <w:color w:val="000000"/>
                <w:kern w:val="0"/>
                <w:sz w:val="18"/>
                <w:szCs w:val="18"/>
                <w14:ligatures w14:val="none"/>
              </w:rPr>
            </w:pPr>
            <w:r w:rsidRPr="00091B01">
              <w:rPr>
                <w:rFonts w:ascii="Calibri" w:eastAsia="Times New Roman" w:hAnsi="Calibri" w:cs="Calibri"/>
                <w:b/>
                <w:bCs/>
                <w:color w:val="000000"/>
                <w:kern w:val="0"/>
                <w:sz w:val="18"/>
                <w:szCs w:val="18"/>
                <w14:ligatures w14:val="none"/>
              </w:rPr>
              <w:t>Severe illness presentation</w:t>
            </w:r>
          </w:p>
        </w:tc>
        <w:tc>
          <w:tcPr>
            <w:tcW w:w="3820" w:type="dxa"/>
            <w:gridSpan w:val="4"/>
            <w:tcBorders>
              <w:top w:val="single" w:sz="4" w:space="0" w:color="auto"/>
              <w:left w:val="single" w:sz="4" w:space="0" w:color="auto"/>
            </w:tcBorders>
            <w:vAlign w:val="center"/>
          </w:tcPr>
          <w:p w14:paraId="7F4F8B4C" w14:textId="5965AB88" w:rsidR="00D04C03" w:rsidRPr="00091B01" w:rsidRDefault="00D04C03" w:rsidP="00D768D6">
            <w:pPr>
              <w:jc w:val="center"/>
              <w:rPr>
                <w:rFonts w:ascii="Calibri" w:eastAsia="Times New Roman" w:hAnsi="Calibri" w:cs="Calibri"/>
                <w:b/>
                <w:bCs/>
                <w:color w:val="000000"/>
                <w:kern w:val="0"/>
                <w:sz w:val="18"/>
                <w:szCs w:val="18"/>
                <w14:ligatures w14:val="none"/>
              </w:rPr>
            </w:pPr>
            <w:r w:rsidRPr="00091B01">
              <w:rPr>
                <w:rFonts w:ascii="Calibri" w:eastAsia="Times New Roman" w:hAnsi="Calibri" w:cs="Calibri"/>
                <w:b/>
                <w:bCs/>
                <w:color w:val="000000"/>
                <w:kern w:val="0"/>
                <w:sz w:val="18"/>
                <w:szCs w:val="18"/>
                <w14:ligatures w14:val="none"/>
              </w:rPr>
              <w:t>Mortality</w:t>
            </w:r>
          </w:p>
        </w:tc>
      </w:tr>
      <w:tr w:rsidR="009F7BAC" w:rsidRPr="00D37B2D" w14:paraId="49A0325C" w14:textId="77777777" w:rsidTr="00A07E69">
        <w:tc>
          <w:tcPr>
            <w:tcW w:w="1710" w:type="dxa"/>
            <w:vMerge/>
            <w:vAlign w:val="center"/>
          </w:tcPr>
          <w:p w14:paraId="3C43D156" w14:textId="77777777" w:rsidR="009F7BAC" w:rsidRPr="00091B01" w:rsidRDefault="009F7BAC" w:rsidP="00D768D6">
            <w:pPr>
              <w:jc w:val="center"/>
              <w:rPr>
                <w:rFonts w:ascii="Calibri" w:eastAsia="Times New Roman" w:hAnsi="Calibri" w:cs="Calibri"/>
                <w:color w:val="000000"/>
                <w:kern w:val="0"/>
                <w:sz w:val="18"/>
                <w:szCs w:val="18"/>
                <w14:ligatures w14:val="none"/>
              </w:rPr>
            </w:pPr>
          </w:p>
        </w:tc>
        <w:tc>
          <w:tcPr>
            <w:tcW w:w="955" w:type="dxa"/>
            <w:tcBorders>
              <w:left w:val="nil"/>
              <w:bottom w:val="single" w:sz="4" w:space="0" w:color="auto"/>
            </w:tcBorders>
            <w:vAlign w:val="center"/>
          </w:tcPr>
          <w:p w14:paraId="10C29E9F" w14:textId="214026F3" w:rsidR="009F7BAC" w:rsidRPr="00091B01" w:rsidRDefault="009F7BAC" w:rsidP="00D768D6">
            <w:pPr>
              <w:jc w:val="center"/>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Not severe</w:t>
            </w:r>
          </w:p>
        </w:tc>
        <w:tc>
          <w:tcPr>
            <w:tcW w:w="955" w:type="dxa"/>
            <w:tcBorders>
              <w:bottom w:val="single" w:sz="4" w:space="0" w:color="auto"/>
            </w:tcBorders>
            <w:vAlign w:val="center"/>
          </w:tcPr>
          <w:p w14:paraId="154BED17" w14:textId="7AE9D401" w:rsidR="009F7BAC" w:rsidRPr="00091B01" w:rsidRDefault="009F7BAC" w:rsidP="00D768D6">
            <w:pPr>
              <w:jc w:val="center"/>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Severe</w:t>
            </w:r>
          </w:p>
        </w:tc>
        <w:tc>
          <w:tcPr>
            <w:tcW w:w="955" w:type="dxa"/>
            <w:tcBorders>
              <w:bottom w:val="single" w:sz="4" w:space="0" w:color="auto"/>
            </w:tcBorders>
            <w:vAlign w:val="center"/>
          </w:tcPr>
          <w:p w14:paraId="1CD34F18" w14:textId="641337F5" w:rsidR="009F7BAC" w:rsidRPr="00091B01" w:rsidRDefault="009F7BAC" w:rsidP="00D768D6">
            <w:pPr>
              <w:jc w:val="center"/>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OR</w:t>
            </w:r>
          </w:p>
        </w:tc>
        <w:tc>
          <w:tcPr>
            <w:tcW w:w="955" w:type="dxa"/>
            <w:tcBorders>
              <w:bottom w:val="single" w:sz="4" w:space="0" w:color="auto"/>
              <w:right w:val="single" w:sz="4" w:space="0" w:color="auto"/>
            </w:tcBorders>
            <w:vAlign w:val="center"/>
          </w:tcPr>
          <w:p w14:paraId="718E06FC" w14:textId="623ACD3F" w:rsidR="009F7BAC" w:rsidRPr="00091B01" w:rsidRDefault="009F7BAC" w:rsidP="00D768D6">
            <w:pPr>
              <w:jc w:val="center"/>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95% CI</w:t>
            </w:r>
          </w:p>
        </w:tc>
        <w:tc>
          <w:tcPr>
            <w:tcW w:w="1040" w:type="dxa"/>
            <w:tcBorders>
              <w:left w:val="single" w:sz="4" w:space="0" w:color="auto"/>
              <w:bottom w:val="single" w:sz="4" w:space="0" w:color="auto"/>
            </w:tcBorders>
            <w:vAlign w:val="center"/>
          </w:tcPr>
          <w:p w14:paraId="70AEE562" w14:textId="2AD9C96F" w:rsidR="009F7BAC" w:rsidRPr="00091B01" w:rsidRDefault="009F7BAC" w:rsidP="00D768D6">
            <w:pPr>
              <w:jc w:val="center"/>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Discharged</w:t>
            </w:r>
          </w:p>
        </w:tc>
        <w:tc>
          <w:tcPr>
            <w:tcW w:w="870" w:type="dxa"/>
            <w:tcBorders>
              <w:bottom w:val="single" w:sz="4" w:space="0" w:color="auto"/>
            </w:tcBorders>
            <w:vAlign w:val="center"/>
          </w:tcPr>
          <w:p w14:paraId="00A2D9EA" w14:textId="3B4D5EA0" w:rsidR="009F7BAC" w:rsidRPr="00091B01" w:rsidRDefault="009F7BAC" w:rsidP="00D768D6">
            <w:pPr>
              <w:jc w:val="center"/>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Died</w:t>
            </w:r>
          </w:p>
        </w:tc>
        <w:tc>
          <w:tcPr>
            <w:tcW w:w="955" w:type="dxa"/>
            <w:tcBorders>
              <w:bottom w:val="single" w:sz="4" w:space="0" w:color="auto"/>
            </w:tcBorders>
            <w:vAlign w:val="center"/>
          </w:tcPr>
          <w:p w14:paraId="028E9C7C" w14:textId="12572D6C" w:rsidR="009F7BAC" w:rsidRPr="00091B01" w:rsidRDefault="009F7BAC" w:rsidP="00D768D6">
            <w:pPr>
              <w:jc w:val="center"/>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OR</w:t>
            </w:r>
          </w:p>
        </w:tc>
        <w:tc>
          <w:tcPr>
            <w:tcW w:w="955" w:type="dxa"/>
            <w:tcBorders>
              <w:bottom w:val="single" w:sz="4" w:space="0" w:color="auto"/>
            </w:tcBorders>
            <w:vAlign w:val="center"/>
          </w:tcPr>
          <w:p w14:paraId="3415F68C" w14:textId="35763199" w:rsidR="009F7BAC" w:rsidRPr="00091B01" w:rsidRDefault="009F7BAC" w:rsidP="00D768D6">
            <w:pPr>
              <w:jc w:val="center"/>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95% CI</w:t>
            </w:r>
          </w:p>
        </w:tc>
      </w:tr>
      <w:tr w:rsidR="00D240D4" w:rsidRPr="00D37B2D" w14:paraId="4BB23832" w14:textId="77777777" w:rsidTr="00A07E69">
        <w:tc>
          <w:tcPr>
            <w:tcW w:w="1710" w:type="dxa"/>
            <w:tcBorders>
              <w:top w:val="single" w:sz="4" w:space="0" w:color="auto"/>
            </w:tcBorders>
            <w:vAlign w:val="center"/>
          </w:tcPr>
          <w:p w14:paraId="1C7F4D4F" w14:textId="0C3837A9" w:rsidR="00D240D4" w:rsidRPr="00091B01" w:rsidRDefault="00D240D4"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Malaria only</w:t>
            </w:r>
          </w:p>
        </w:tc>
        <w:tc>
          <w:tcPr>
            <w:tcW w:w="955" w:type="dxa"/>
            <w:tcBorders>
              <w:top w:val="single" w:sz="4" w:space="0" w:color="auto"/>
              <w:left w:val="nil"/>
            </w:tcBorders>
            <w:vAlign w:val="center"/>
          </w:tcPr>
          <w:p w14:paraId="5AC59B3A" w14:textId="4D299BC5" w:rsidR="00D240D4" w:rsidRPr="00091B01" w:rsidRDefault="00D240D4"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1346</w:t>
            </w:r>
            <w:r w:rsidR="30D5108E" w:rsidRPr="00091B01">
              <w:rPr>
                <w:rFonts w:ascii="Calibri" w:eastAsia="Times New Roman" w:hAnsi="Calibri" w:cs="Calibri"/>
                <w:color w:val="000000"/>
                <w:kern w:val="0"/>
                <w:sz w:val="18"/>
                <w:szCs w:val="18"/>
                <w14:ligatures w14:val="none"/>
              </w:rPr>
              <w:t xml:space="preserve"> (32%)</w:t>
            </w:r>
          </w:p>
        </w:tc>
        <w:tc>
          <w:tcPr>
            <w:tcW w:w="955" w:type="dxa"/>
            <w:tcBorders>
              <w:top w:val="single" w:sz="4" w:space="0" w:color="auto"/>
            </w:tcBorders>
            <w:vAlign w:val="center"/>
          </w:tcPr>
          <w:p w14:paraId="69E0DD81" w14:textId="221F4337" w:rsidR="00D240D4" w:rsidRPr="00091B01" w:rsidRDefault="00D240D4"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572</w:t>
            </w:r>
            <w:r w:rsidR="6FD4D361" w:rsidRPr="00091B01">
              <w:rPr>
                <w:rFonts w:ascii="Calibri" w:eastAsia="Times New Roman" w:hAnsi="Calibri" w:cs="Calibri"/>
                <w:color w:val="000000"/>
                <w:kern w:val="0"/>
                <w:sz w:val="18"/>
                <w:szCs w:val="18"/>
                <w14:ligatures w14:val="none"/>
              </w:rPr>
              <w:t xml:space="preserve"> (30%)</w:t>
            </w:r>
          </w:p>
        </w:tc>
        <w:tc>
          <w:tcPr>
            <w:tcW w:w="955" w:type="dxa"/>
            <w:tcBorders>
              <w:top w:val="single" w:sz="4" w:space="0" w:color="auto"/>
            </w:tcBorders>
            <w:vAlign w:val="center"/>
          </w:tcPr>
          <w:p w14:paraId="729E8B1B" w14:textId="5CE2EF05" w:rsidR="00D240D4" w:rsidRPr="00091B01" w:rsidRDefault="00D240D4"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Ref</w:t>
            </w:r>
          </w:p>
        </w:tc>
        <w:tc>
          <w:tcPr>
            <w:tcW w:w="955" w:type="dxa"/>
            <w:tcBorders>
              <w:top w:val="single" w:sz="4" w:space="0" w:color="auto"/>
              <w:right w:val="single" w:sz="4" w:space="0" w:color="auto"/>
            </w:tcBorders>
            <w:vAlign w:val="center"/>
          </w:tcPr>
          <w:p w14:paraId="474B8491" w14:textId="77777777" w:rsidR="00D240D4" w:rsidRPr="00091B01" w:rsidRDefault="00D240D4" w:rsidP="00D768D6">
            <w:pPr>
              <w:jc w:val="right"/>
              <w:rPr>
                <w:rFonts w:ascii="Calibri" w:eastAsia="Times New Roman" w:hAnsi="Calibri" w:cs="Calibri"/>
                <w:color w:val="000000"/>
                <w:kern w:val="0"/>
                <w:sz w:val="18"/>
                <w:szCs w:val="18"/>
                <w14:ligatures w14:val="none"/>
              </w:rPr>
            </w:pPr>
          </w:p>
        </w:tc>
        <w:tc>
          <w:tcPr>
            <w:tcW w:w="1040" w:type="dxa"/>
            <w:tcBorders>
              <w:top w:val="single" w:sz="4" w:space="0" w:color="auto"/>
              <w:left w:val="single" w:sz="4" w:space="0" w:color="auto"/>
            </w:tcBorders>
            <w:vAlign w:val="bottom"/>
          </w:tcPr>
          <w:p w14:paraId="37298EF6" w14:textId="644F6C09" w:rsidR="00D240D4" w:rsidRPr="00091B01" w:rsidRDefault="00D240D4"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1733 (35%)</w:t>
            </w:r>
          </w:p>
        </w:tc>
        <w:tc>
          <w:tcPr>
            <w:tcW w:w="870" w:type="dxa"/>
            <w:tcBorders>
              <w:top w:val="single" w:sz="4" w:space="0" w:color="auto"/>
            </w:tcBorders>
            <w:vAlign w:val="bottom"/>
          </w:tcPr>
          <w:p w14:paraId="505E3681" w14:textId="07D77900" w:rsidR="00D240D4" w:rsidRPr="00091B01" w:rsidRDefault="26E151A5"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23 (23%)</w:t>
            </w:r>
          </w:p>
        </w:tc>
        <w:tc>
          <w:tcPr>
            <w:tcW w:w="955" w:type="dxa"/>
            <w:tcBorders>
              <w:top w:val="single" w:sz="4" w:space="0" w:color="auto"/>
            </w:tcBorders>
            <w:vAlign w:val="bottom"/>
          </w:tcPr>
          <w:p w14:paraId="495DC31C" w14:textId="7049B270" w:rsidR="00D240D4" w:rsidRPr="00091B01" w:rsidRDefault="00D240D4"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Ref</w:t>
            </w:r>
          </w:p>
        </w:tc>
        <w:tc>
          <w:tcPr>
            <w:tcW w:w="955" w:type="dxa"/>
            <w:tcBorders>
              <w:top w:val="single" w:sz="4" w:space="0" w:color="auto"/>
            </w:tcBorders>
            <w:vAlign w:val="bottom"/>
          </w:tcPr>
          <w:p w14:paraId="2D12F79E" w14:textId="77777777" w:rsidR="00D240D4" w:rsidRPr="00091B01" w:rsidRDefault="00D240D4" w:rsidP="00D768D6">
            <w:pPr>
              <w:jc w:val="right"/>
              <w:rPr>
                <w:rFonts w:ascii="Calibri" w:eastAsia="Times New Roman" w:hAnsi="Calibri" w:cs="Calibri"/>
                <w:color w:val="000000"/>
                <w:kern w:val="0"/>
                <w:sz w:val="18"/>
                <w:szCs w:val="18"/>
                <w14:ligatures w14:val="none"/>
              </w:rPr>
            </w:pPr>
          </w:p>
        </w:tc>
      </w:tr>
      <w:tr w:rsidR="00D240D4" w:rsidRPr="00D37B2D" w14:paraId="633BA11E" w14:textId="77777777" w:rsidTr="00A07E69">
        <w:tc>
          <w:tcPr>
            <w:tcW w:w="1710" w:type="dxa"/>
            <w:vAlign w:val="bottom"/>
          </w:tcPr>
          <w:p w14:paraId="3E5297E8" w14:textId="1EABD637" w:rsidR="00D240D4" w:rsidRPr="00091B01" w:rsidRDefault="00D240D4"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Malaria coinf</w:t>
            </w:r>
            <w:r w:rsidR="00C70A88" w:rsidRPr="00091B01">
              <w:rPr>
                <w:rFonts w:ascii="Calibri" w:eastAsia="Times New Roman" w:hAnsi="Calibri" w:cs="Calibri"/>
                <w:color w:val="000000"/>
                <w:kern w:val="0"/>
                <w:sz w:val="18"/>
                <w:szCs w:val="18"/>
                <w14:ligatures w14:val="none"/>
              </w:rPr>
              <w:t>ection</w:t>
            </w:r>
          </w:p>
        </w:tc>
        <w:tc>
          <w:tcPr>
            <w:tcW w:w="955" w:type="dxa"/>
            <w:tcBorders>
              <w:left w:val="nil"/>
            </w:tcBorders>
            <w:vAlign w:val="bottom"/>
          </w:tcPr>
          <w:p w14:paraId="019A7215" w14:textId="73B799AA" w:rsidR="00D240D4" w:rsidRPr="00091B01" w:rsidRDefault="00D240D4"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130 (3%)</w:t>
            </w:r>
          </w:p>
        </w:tc>
        <w:tc>
          <w:tcPr>
            <w:tcW w:w="955" w:type="dxa"/>
            <w:vAlign w:val="bottom"/>
          </w:tcPr>
          <w:p w14:paraId="1D173818" w14:textId="658EF75B" w:rsidR="00D240D4" w:rsidRPr="00091B01" w:rsidRDefault="00D240D4"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45 (2%)</w:t>
            </w:r>
          </w:p>
        </w:tc>
        <w:tc>
          <w:tcPr>
            <w:tcW w:w="955" w:type="dxa"/>
            <w:vAlign w:val="bottom"/>
          </w:tcPr>
          <w:p w14:paraId="1ECFA77F" w14:textId="38B44DC7" w:rsidR="00D240D4" w:rsidRPr="00091B01" w:rsidRDefault="00D240D4"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0.81</w:t>
            </w:r>
          </w:p>
        </w:tc>
        <w:tc>
          <w:tcPr>
            <w:tcW w:w="955" w:type="dxa"/>
            <w:tcBorders>
              <w:right w:val="single" w:sz="4" w:space="0" w:color="auto"/>
            </w:tcBorders>
            <w:vAlign w:val="bottom"/>
          </w:tcPr>
          <w:p w14:paraId="1F5969A6" w14:textId="78189E76" w:rsidR="00D240D4" w:rsidRPr="00091B01" w:rsidRDefault="00D240D4"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0.57, 1.15</w:t>
            </w:r>
          </w:p>
        </w:tc>
        <w:tc>
          <w:tcPr>
            <w:tcW w:w="1040" w:type="dxa"/>
            <w:tcBorders>
              <w:left w:val="single" w:sz="4" w:space="0" w:color="auto"/>
            </w:tcBorders>
            <w:vAlign w:val="bottom"/>
          </w:tcPr>
          <w:p w14:paraId="4436D178" w14:textId="40A6EA32" w:rsidR="00D240D4" w:rsidRPr="00091B01" w:rsidRDefault="00D240D4"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150 (3%)</w:t>
            </w:r>
          </w:p>
        </w:tc>
        <w:tc>
          <w:tcPr>
            <w:tcW w:w="870" w:type="dxa"/>
            <w:vAlign w:val="bottom"/>
          </w:tcPr>
          <w:p w14:paraId="060EC7B8" w14:textId="0B563E45" w:rsidR="00D240D4" w:rsidRPr="00091B01" w:rsidRDefault="00D240D4"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4 (4%)</w:t>
            </w:r>
          </w:p>
        </w:tc>
        <w:tc>
          <w:tcPr>
            <w:tcW w:w="955" w:type="dxa"/>
            <w:vAlign w:val="bottom"/>
          </w:tcPr>
          <w:p w14:paraId="001094D8" w14:textId="33B24813" w:rsidR="00D240D4" w:rsidRPr="00091B01" w:rsidRDefault="00D240D4"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2.01</w:t>
            </w:r>
          </w:p>
        </w:tc>
        <w:tc>
          <w:tcPr>
            <w:tcW w:w="955" w:type="dxa"/>
            <w:vAlign w:val="bottom"/>
          </w:tcPr>
          <w:p w14:paraId="172AE263" w14:textId="2E46CC6B" w:rsidR="00D240D4" w:rsidRPr="00091B01" w:rsidRDefault="00D240D4"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0.58, 5.31</w:t>
            </w:r>
          </w:p>
        </w:tc>
      </w:tr>
      <w:tr w:rsidR="00D240D4" w:rsidRPr="00D37B2D" w14:paraId="291FBFD4" w14:textId="77777777" w:rsidTr="00A07E69">
        <w:tc>
          <w:tcPr>
            <w:tcW w:w="1710" w:type="dxa"/>
            <w:vAlign w:val="bottom"/>
          </w:tcPr>
          <w:p w14:paraId="20638CCE" w14:textId="6C79019F" w:rsidR="00D240D4" w:rsidRPr="00091B01" w:rsidRDefault="00D240D4"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Other pathogen(s)</w:t>
            </w:r>
          </w:p>
        </w:tc>
        <w:tc>
          <w:tcPr>
            <w:tcW w:w="955" w:type="dxa"/>
            <w:tcBorders>
              <w:left w:val="nil"/>
            </w:tcBorders>
            <w:vAlign w:val="bottom"/>
          </w:tcPr>
          <w:p w14:paraId="261D755B" w14:textId="0DCCF1E9" w:rsidR="00D240D4" w:rsidRPr="00091B01" w:rsidRDefault="00D240D4"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237 (6%)</w:t>
            </w:r>
          </w:p>
        </w:tc>
        <w:tc>
          <w:tcPr>
            <w:tcW w:w="955" w:type="dxa"/>
            <w:vAlign w:val="bottom"/>
          </w:tcPr>
          <w:p w14:paraId="532BF894" w14:textId="0A693637" w:rsidR="00D240D4" w:rsidRPr="00091B01" w:rsidRDefault="00D240D4"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109 (6%)</w:t>
            </w:r>
          </w:p>
        </w:tc>
        <w:tc>
          <w:tcPr>
            <w:tcW w:w="955" w:type="dxa"/>
            <w:vAlign w:val="bottom"/>
          </w:tcPr>
          <w:p w14:paraId="58EC1B68" w14:textId="015182CC" w:rsidR="00D240D4" w:rsidRPr="00091B01" w:rsidRDefault="00D240D4"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1.08</w:t>
            </w:r>
          </w:p>
        </w:tc>
        <w:tc>
          <w:tcPr>
            <w:tcW w:w="955" w:type="dxa"/>
            <w:tcBorders>
              <w:right w:val="single" w:sz="4" w:space="0" w:color="auto"/>
            </w:tcBorders>
            <w:vAlign w:val="bottom"/>
          </w:tcPr>
          <w:p w14:paraId="74E45638" w14:textId="2F138308" w:rsidR="00D240D4" w:rsidRPr="00091B01" w:rsidRDefault="00D240D4"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0.84, 1.38</w:t>
            </w:r>
          </w:p>
        </w:tc>
        <w:tc>
          <w:tcPr>
            <w:tcW w:w="1040" w:type="dxa"/>
            <w:tcBorders>
              <w:left w:val="single" w:sz="4" w:space="0" w:color="auto"/>
            </w:tcBorders>
            <w:vAlign w:val="bottom"/>
          </w:tcPr>
          <w:p w14:paraId="76CCA2B1" w14:textId="6D1CF065" w:rsidR="00D240D4" w:rsidRPr="00091B01" w:rsidRDefault="00D240D4" w:rsidP="00D768D6">
            <w:pPr>
              <w:jc w:val="right"/>
              <w:rPr>
                <w:rFonts w:ascii="Calibri" w:eastAsia="Times New Roman" w:hAnsi="Calibri" w:cs="Calibri"/>
                <w:b/>
                <w:bCs/>
                <w:color w:val="000000"/>
                <w:kern w:val="0"/>
                <w:sz w:val="18"/>
                <w:szCs w:val="18"/>
                <w14:ligatures w14:val="none"/>
              </w:rPr>
            </w:pPr>
            <w:r w:rsidRPr="00091B01">
              <w:rPr>
                <w:rFonts w:ascii="Calibri" w:eastAsia="Times New Roman" w:hAnsi="Calibri" w:cs="Calibri"/>
                <w:b/>
                <w:bCs/>
                <w:color w:val="000000"/>
                <w:kern w:val="0"/>
                <w:sz w:val="18"/>
                <w:szCs w:val="18"/>
                <w14:ligatures w14:val="none"/>
              </w:rPr>
              <w:t>263 (5%)</w:t>
            </w:r>
          </w:p>
        </w:tc>
        <w:tc>
          <w:tcPr>
            <w:tcW w:w="870" w:type="dxa"/>
            <w:vAlign w:val="bottom"/>
          </w:tcPr>
          <w:p w14:paraId="238A6659" w14:textId="3AE5E6BB" w:rsidR="00D240D4" w:rsidRPr="00091B01" w:rsidRDefault="00D240D4" w:rsidP="00D768D6">
            <w:pPr>
              <w:jc w:val="right"/>
              <w:rPr>
                <w:rFonts w:ascii="Calibri" w:eastAsia="Times New Roman" w:hAnsi="Calibri" w:cs="Calibri"/>
                <w:b/>
                <w:bCs/>
                <w:color w:val="000000"/>
                <w:kern w:val="0"/>
                <w:sz w:val="18"/>
                <w:szCs w:val="18"/>
                <w14:ligatures w14:val="none"/>
              </w:rPr>
            </w:pPr>
            <w:r w:rsidRPr="00091B01">
              <w:rPr>
                <w:rFonts w:ascii="Calibri" w:eastAsia="Times New Roman" w:hAnsi="Calibri" w:cs="Calibri"/>
                <w:b/>
                <w:bCs/>
                <w:color w:val="000000"/>
                <w:kern w:val="0"/>
                <w:sz w:val="18"/>
                <w:szCs w:val="18"/>
                <w14:ligatures w14:val="none"/>
              </w:rPr>
              <w:t>15 (15%)</w:t>
            </w:r>
          </w:p>
        </w:tc>
        <w:tc>
          <w:tcPr>
            <w:tcW w:w="955" w:type="dxa"/>
            <w:vAlign w:val="bottom"/>
          </w:tcPr>
          <w:p w14:paraId="0F853C87" w14:textId="4FFDC824" w:rsidR="00D240D4" w:rsidRPr="00091B01" w:rsidRDefault="00D240D4" w:rsidP="00D768D6">
            <w:pPr>
              <w:jc w:val="right"/>
              <w:rPr>
                <w:rFonts w:ascii="Calibri" w:eastAsia="Times New Roman" w:hAnsi="Calibri" w:cs="Calibri"/>
                <w:b/>
                <w:bCs/>
                <w:color w:val="000000"/>
                <w:kern w:val="0"/>
                <w:sz w:val="18"/>
                <w:szCs w:val="18"/>
                <w14:ligatures w14:val="none"/>
              </w:rPr>
            </w:pPr>
            <w:r w:rsidRPr="00091B01">
              <w:rPr>
                <w:rFonts w:ascii="Calibri" w:eastAsia="Times New Roman" w:hAnsi="Calibri" w:cs="Calibri"/>
                <w:b/>
                <w:bCs/>
                <w:color w:val="000000"/>
                <w:kern w:val="0"/>
                <w:sz w:val="18"/>
                <w:szCs w:val="18"/>
                <w14:ligatures w14:val="none"/>
              </w:rPr>
              <w:t>4.</w:t>
            </w:r>
            <w:r w:rsidR="4E67240F" w:rsidRPr="00091B01">
              <w:rPr>
                <w:rFonts w:ascii="Calibri" w:eastAsia="Times New Roman" w:hAnsi="Calibri" w:cs="Calibri"/>
                <w:b/>
                <w:bCs/>
                <w:color w:val="000000"/>
                <w:kern w:val="0"/>
                <w:sz w:val="18"/>
                <w:szCs w:val="18"/>
                <w14:ligatures w14:val="none"/>
              </w:rPr>
              <w:t>3</w:t>
            </w:r>
            <w:r w:rsidR="60EBEF86" w:rsidRPr="00091B01">
              <w:rPr>
                <w:rFonts w:ascii="Calibri" w:eastAsia="Times New Roman" w:hAnsi="Calibri" w:cs="Calibri"/>
                <w:b/>
                <w:bCs/>
                <w:color w:val="000000"/>
                <w:kern w:val="0"/>
                <w:sz w:val="18"/>
                <w:szCs w:val="18"/>
                <w14:ligatures w14:val="none"/>
              </w:rPr>
              <w:t>0</w:t>
            </w:r>
          </w:p>
        </w:tc>
        <w:tc>
          <w:tcPr>
            <w:tcW w:w="955" w:type="dxa"/>
            <w:vAlign w:val="bottom"/>
          </w:tcPr>
          <w:p w14:paraId="056FB281" w14:textId="714F41E2" w:rsidR="00D240D4" w:rsidRPr="00091B01" w:rsidRDefault="00D240D4" w:rsidP="00D768D6">
            <w:pPr>
              <w:jc w:val="right"/>
              <w:rPr>
                <w:rFonts w:ascii="Calibri" w:eastAsia="Times New Roman" w:hAnsi="Calibri" w:cs="Calibri"/>
                <w:b/>
                <w:bCs/>
                <w:color w:val="000000"/>
                <w:kern w:val="0"/>
                <w:sz w:val="18"/>
                <w:szCs w:val="18"/>
                <w14:ligatures w14:val="none"/>
              </w:rPr>
            </w:pPr>
            <w:r w:rsidRPr="00091B01">
              <w:rPr>
                <w:rFonts w:ascii="Calibri" w:eastAsia="Times New Roman" w:hAnsi="Calibri" w:cs="Calibri"/>
                <w:b/>
                <w:bCs/>
                <w:color w:val="000000"/>
                <w:kern w:val="0"/>
                <w:sz w:val="18"/>
                <w:szCs w:val="18"/>
                <w14:ligatures w14:val="none"/>
              </w:rPr>
              <w:t>2.17, 8.27</w:t>
            </w:r>
          </w:p>
        </w:tc>
      </w:tr>
      <w:tr w:rsidR="00D240D4" w:rsidRPr="00D37B2D" w14:paraId="04F94FA6" w14:textId="77777777" w:rsidTr="00A07E69">
        <w:tc>
          <w:tcPr>
            <w:tcW w:w="1710" w:type="dxa"/>
            <w:tcBorders>
              <w:bottom w:val="single" w:sz="4" w:space="0" w:color="auto"/>
            </w:tcBorders>
            <w:vAlign w:val="bottom"/>
          </w:tcPr>
          <w:p w14:paraId="1C735350" w14:textId="728FC0CD" w:rsidR="00D240D4" w:rsidRPr="00091B01" w:rsidRDefault="00D240D4"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Negative</w:t>
            </w:r>
          </w:p>
        </w:tc>
        <w:tc>
          <w:tcPr>
            <w:tcW w:w="955" w:type="dxa"/>
            <w:tcBorders>
              <w:left w:val="nil"/>
              <w:bottom w:val="single" w:sz="4" w:space="0" w:color="auto"/>
            </w:tcBorders>
            <w:vAlign w:val="bottom"/>
          </w:tcPr>
          <w:p w14:paraId="0F4FDB70" w14:textId="524DCCBE" w:rsidR="00D240D4" w:rsidRPr="00091B01" w:rsidRDefault="00D240D4"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2458 (59%)</w:t>
            </w:r>
          </w:p>
        </w:tc>
        <w:tc>
          <w:tcPr>
            <w:tcW w:w="955" w:type="dxa"/>
            <w:tcBorders>
              <w:bottom w:val="single" w:sz="4" w:space="0" w:color="auto"/>
            </w:tcBorders>
            <w:vAlign w:val="bottom"/>
          </w:tcPr>
          <w:p w14:paraId="05A21415" w14:textId="047F7814" w:rsidR="00D240D4" w:rsidRPr="00091B01" w:rsidRDefault="00D240D4"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1,172 (62%)</w:t>
            </w:r>
          </w:p>
        </w:tc>
        <w:tc>
          <w:tcPr>
            <w:tcW w:w="955" w:type="dxa"/>
            <w:tcBorders>
              <w:bottom w:val="single" w:sz="4" w:space="0" w:color="auto"/>
            </w:tcBorders>
            <w:vAlign w:val="bottom"/>
          </w:tcPr>
          <w:p w14:paraId="35E92C8A" w14:textId="292E5442" w:rsidR="00D240D4" w:rsidRPr="00091B01" w:rsidRDefault="00D240D4"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1.12</w:t>
            </w:r>
          </w:p>
        </w:tc>
        <w:tc>
          <w:tcPr>
            <w:tcW w:w="955" w:type="dxa"/>
            <w:tcBorders>
              <w:bottom w:val="single" w:sz="4" w:space="0" w:color="auto"/>
              <w:right w:val="single" w:sz="4" w:space="0" w:color="auto"/>
            </w:tcBorders>
            <w:vAlign w:val="bottom"/>
          </w:tcPr>
          <w:p w14:paraId="4D5E8BD7" w14:textId="71633C45" w:rsidR="00D240D4" w:rsidRPr="00091B01" w:rsidRDefault="00D240D4" w:rsidP="00D768D6">
            <w:pPr>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1.00, 1.27</w:t>
            </w:r>
          </w:p>
        </w:tc>
        <w:tc>
          <w:tcPr>
            <w:tcW w:w="1040" w:type="dxa"/>
            <w:tcBorders>
              <w:left w:val="single" w:sz="4" w:space="0" w:color="auto"/>
              <w:bottom w:val="single" w:sz="4" w:space="0" w:color="auto"/>
            </w:tcBorders>
            <w:vAlign w:val="bottom"/>
          </w:tcPr>
          <w:p w14:paraId="3F278B8D" w14:textId="0DB47C5A" w:rsidR="00D240D4" w:rsidRPr="00091B01" w:rsidRDefault="00D240D4" w:rsidP="00D768D6">
            <w:pPr>
              <w:jc w:val="right"/>
              <w:rPr>
                <w:rFonts w:ascii="Calibri" w:eastAsia="Times New Roman" w:hAnsi="Calibri" w:cs="Calibri"/>
                <w:b/>
                <w:bCs/>
                <w:color w:val="000000"/>
                <w:kern w:val="0"/>
                <w:sz w:val="18"/>
                <w:szCs w:val="18"/>
                <w14:ligatures w14:val="none"/>
              </w:rPr>
            </w:pPr>
            <w:r w:rsidRPr="00091B01">
              <w:rPr>
                <w:rFonts w:ascii="Calibri" w:eastAsia="Times New Roman" w:hAnsi="Calibri" w:cs="Calibri"/>
                <w:b/>
                <w:bCs/>
                <w:color w:val="000000"/>
                <w:kern w:val="0"/>
                <w:sz w:val="18"/>
                <w:szCs w:val="18"/>
                <w14:ligatures w14:val="none"/>
              </w:rPr>
              <w:t>2831 (57%)</w:t>
            </w:r>
          </w:p>
        </w:tc>
        <w:tc>
          <w:tcPr>
            <w:tcW w:w="870" w:type="dxa"/>
            <w:tcBorders>
              <w:bottom w:val="single" w:sz="4" w:space="0" w:color="auto"/>
            </w:tcBorders>
            <w:vAlign w:val="bottom"/>
          </w:tcPr>
          <w:p w14:paraId="6B216EE5" w14:textId="38A18DBF" w:rsidR="00D240D4" w:rsidRPr="00091B01" w:rsidRDefault="00D240D4" w:rsidP="00D768D6">
            <w:pPr>
              <w:jc w:val="right"/>
              <w:rPr>
                <w:rFonts w:ascii="Calibri" w:eastAsia="Times New Roman" w:hAnsi="Calibri" w:cs="Calibri"/>
                <w:b/>
                <w:bCs/>
                <w:color w:val="000000"/>
                <w:kern w:val="0"/>
                <w:sz w:val="18"/>
                <w:szCs w:val="18"/>
                <w14:ligatures w14:val="none"/>
              </w:rPr>
            </w:pPr>
            <w:r w:rsidRPr="00091B01">
              <w:rPr>
                <w:rFonts w:ascii="Calibri" w:eastAsia="Times New Roman" w:hAnsi="Calibri" w:cs="Calibri"/>
                <w:b/>
                <w:bCs/>
                <w:color w:val="000000"/>
                <w:kern w:val="0"/>
                <w:sz w:val="18"/>
                <w:szCs w:val="18"/>
                <w14:ligatures w14:val="none"/>
              </w:rPr>
              <w:t>59 (58%)</w:t>
            </w:r>
          </w:p>
        </w:tc>
        <w:tc>
          <w:tcPr>
            <w:tcW w:w="955" w:type="dxa"/>
            <w:tcBorders>
              <w:bottom w:val="single" w:sz="4" w:space="0" w:color="auto"/>
            </w:tcBorders>
            <w:vAlign w:val="bottom"/>
          </w:tcPr>
          <w:p w14:paraId="7CA83CC0" w14:textId="10A865C3" w:rsidR="00D240D4" w:rsidRPr="00091B01" w:rsidRDefault="00D240D4" w:rsidP="00D768D6">
            <w:pPr>
              <w:jc w:val="right"/>
              <w:rPr>
                <w:rFonts w:ascii="Calibri" w:eastAsia="Times New Roman" w:hAnsi="Calibri" w:cs="Calibri"/>
                <w:b/>
                <w:bCs/>
                <w:color w:val="000000"/>
                <w:kern w:val="0"/>
                <w:sz w:val="18"/>
                <w:szCs w:val="18"/>
                <w14:ligatures w14:val="none"/>
              </w:rPr>
            </w:pPr>
            <w:r w:rsidRPr="00091B01">
              <w:rPr>
                <w:rFonts w:ascii="Calibri" w:eastAsia="Times New Roman" w:hAnsi="Calibri" w:cs="Calibri"/>
                <w:b/>
                <w:bCs/>
                <w:color w:val="000000"/>
                <w:kern w:val="0"/>
                <w:sz w:val="18"/>
                <w:szCs w:val="18"/>
                <w14:ligatures w14:val="none"/>
              </w:rPr>
              <w:t>1.57</w:t>
            </w:r>
          </w:p>
        </w:tc>
        <w:tc>
          <w:tcPr>
            <w:tcW w:w="955" w:type="dxa"/>
            <w:tcBorders>
              <w:bottom w:val="single" w:sz="4" w:space="0" w:color="auto"/>
            </w:tcBorders>
            <w:vAlign w:val="bottom"/>
          </w:tcPr>
          <w:p w14:paraId="5D2F91CD" w14:textId="7537F1AE" w:rsidR="00D240D4" w:rsidRPr="00091B01" w:rsidRDefault="00D240D4" w:rsidP="00D768D6">
            <w:pPr>
              <w:jc w:val="right"/>
              <w:rPr>
                <w:rFonts w:ascii="Calibri" w:eastAsia="Times New Roman" w:hAnsi="Calibri" w:cs="Calibri"/>
                <w:b/>
                <w:bCs/>
                <w:color w:val="000000"/>
                <w:kern w:val="0"/>
                <w:sz w:val="18"/>
                <w:szCs w:val="18"/>
                <w14:ligatures w14:val="none"/>
              </w:rPr>
            </w:pPr>
            <w:r w:rsidRPr="00091B01">
              <w:rPr>
                <w:rFonts w:ascii="Calibri" w:eastAsia="Times New Roman" w:hAnsi="Calibri" w:cs="Calibri"/>
                <w:b/>
                <w:bCs/>
                <w:color w:val="000000"/>
                <w:kern w:val="0"/>
                <w:sz w:val="18"/>
                <w:szCs w:val="18"/>
                <w14:ligatures w14:val="none"/>
              </w:rPr>
              <w:t>0.98, 2.60</w:t>
            </w:r>
          </w:p>
        </w:tc>
      </w:tr>
      <w:tr w:rsidR="48F4EE4A" w:rsidRPr="00D37B2D" w14:paraId="3B3186A2" w14:textId="77777777" w:rsidTr="48F4EE4A">
        <w:trPr>
          <w:trHeight w:val="300"/>
        </w:trPr>
        <w:tc>
          <w:tcPr>
            <w:tcW w:w="9350" w:type="dxa"/>
            <w:gridSpan w:val="9"/>
            <w:tcBorders>
              <w:bottom w:val="single" w:sz="4" w:space="0" w:color="auto"/>
            </w:tcBorders>
            <w:vAlign w:val="bottom"/>
          </w:tcPr>
          <w:p w14:paraId="702C1BAB" w14:textId="71CF029E" w:rsidR="6BF76246" w:rsidRPr="00091B01" w:rsidRDefault="6BF76246" w:rsidP="00D768D6">
            <w:pPr>
              <w:rPr>
                <w:rFonts w:ascii="Calibri" w:eastAsia="Times New Roman" w:hAnsi="Calibri" w:cs="Calibri"/>
                <w:color w:val="000000" w:themeColor="text1"/>
                <w:sz w:val="18"/>
                <w:szCs w:val="18"/>
              </w:rPr>
            </w:pPr>
            <w:r w:rsidRPr="00091B01">
              <w:rPr>
                <w:rFonts w:ascii="Calibri" w:eastAsia="Times New Roman" w:hAnsi="Calibri" w:cs="Calibri"/>
                <w:color w:val="000000" w:themeColor="text1"/>
                <w:sz w:val="18"/>
                <w:szCs w:val="18"/>
              </w:rPr>
              <w:t>*This analysis is among all persons with a TAC result</w:t>
            </w:r>
            <w:r w:rsidR="7ADE1B2F" w:rsidRPr="00091B01">
              <w:rPr>
                <w:rFonts w:ascii="Calibri" w:eastAsia="Times New Roman" w:hAnsi="Calibri" w:cs="Calibri"/>
                <w:color w:val="000000" w:themeColor="text1"/>
                <w:sz w:val="18"/>
                <w:szCs w:val="18"/>
              </w:rPr>
              <w:t xml:space="preserve"> regardless of malaria rapid diagnostic test or microscopy result. The malaria result reflects the TAC target result.</w:t>
            </w:r>
          </w:p>
          <w:p w14:paraId="3C22062A" w14:textId="63ABBF63" w:rsidR="7ADE1B2F" w:rsidRPr="00091B01" w:rsidRDefault="7ADE1B2F" w:rsidP="00D768D6">
            <w:pPr>
              <w:rPr>
                <w:rFonts w:ascii="Calibri" w:eastAsia="Times New Roman" w:hAnsi="Calibri" w:cs="Calibri"/>
                <w:color w:val="000000" w:themeColor="text1"/>
                <w:sz w:val="18"/>
                <w:szCs w:val="18"/>
              </w:rPr>
            </w:pPr>
            <w:r w:rsidRPr="00091B01">
              <w:rPr>
                <w:rFonts w:ascii="Calibri" w:eastAsia="Times New Roman" w:hAnsi="Calibri" w:cs="Calibri"/>
                <w:color w:val="000000" w:themeColor="text1"/>
                <w:sz w:val="18"/>
                <w:szCs w:val="18"/>
              </w:rPr>
              <w:lastRenderedPageBreak/>
              <w:t>CI: confidence interval; OR: odds ratio; TAC: TaqMan Array Card</w:t>
            </w:r>
          </w:p>
        </w:tc>
      </w:tr>
    </w:tbl>
    <w:p w14:paraId="3AFEE1DD" w14:textId="0230B1D8" w:rsidR="00006232" w:rsidRDefault="00006232" w:rsidP="001407CA">
      <w:pPr>
        <w:spacing w:line="480" w:lineRule="auto"/>
      </w:pPr>
    </w:p>
    <w:p w14:paraId="0255B104" w14:textId="742C3286" w:rsidR="001D7C0E" w:rsidRDefault="7390023A" w:rsidP="001407CA">
      <w:pPr>
        <w:pStyle w:val="Heading2"/>
        <w:spacing w:line="480" w:lineRule="auto"/>
      </w:pPr>
      <w:r>
        <w:t xml:space="preserve">PCR positivity </w:t>
      </w:r>
      <w:r w:rsidR="589C2D7F">
        <w:t xml:space="preserve">of </w:t>
      </w:r>
      <w:r w:rsidR="404DB78E">
        <w:t xml:space="preserve">positive </w:t>
      </w:r>
      <w:r w:rsidR="589C2D7F">
        <w:t xml:space="preserve">clinical </w:t>
      </w:r>
      <w:r w:rsidR="7CE2F662">
        <w:t xml:space="preserve">and </w:t>
      </w:r>
      <w:r w:rsidR="2E6E8CBE">
        <w:t xml:space="preserve">surveillance </w:t>
      </w:r>
      <w:r w:rsidR="380797CB">
        <w:t xml:space="preserve">malaria </w:t>
      </w:r>
      <w:r w:rsidR="2E6E8CBE">
        <w:t>test results</w:t>
      </w:r>
    </w:p>
    <w:p w14:paraId="713A15CE" w14:textId="77777777" w:rsidR="003C3576" w:rsidRDefault="00D56314" w:rsidP="001407CA">
      <w:pPr>
        <w:spacing w:line="480" w:lineRule="auto"/>
      </w:pPr>
      <w:r>
        <w:tab/>
      </w:r>
      <w:r w:rsidR="009D7C9E" w:rsidRPr="009D7C9E">
        <w:t>Of the inpatients assessed for AFI, 4,916 (57.9%) had documentation of malaria testing as part of their clinical care—3,097 by microscopy (smear) and 1,819 by mRDT.</w:t>
      </w:r>
      <w:r w:rsidR="009D7C9E">
        <w:t xml:space="preserve"> </w:t>
      </w:r>
      <w:r w:rsidR="00BF3652" w:rsidRPr="00BF3652">
        <w:t xml:space="preserve">Among the </w:t>
      </w:r>
      <w:r w:rsidR="00BF3652" w:rsidRPr="00B363F8">
        <w:t>5,303</w:t>
      </w:r>
      <w:r w:rsidR="00BF3652" w:rsidRPr="00BF3652">
        <w:t xml:space="preserve"> inpatients who had a TAC PCR test</w:t>
      </w:r>
      <w:r w:rsidR="0016421F">
        <w:t xml:space="preserve">, positive test result concordance </w:t>
      </w:r>
      <w:r w:rsidR="005174E8">
        <w:t>between</w:t>
      </w:r>
      <w:r w:rsidR="00CC42DF">
        <w:t xml:space="preserve"> PCR and</w:t>
      </w:r>
      <w:r w:rsidR="005174E8">
        <w:t xml:space="preserve"> smear as well as mRDTs, </w:t>
      </w:r>
      <w:r w:rsidR="000B3388">
        <w:t xml:space="preserve">was higher </w:t>
      </w:r>
      <w:r w:rsidR="00BF3652" w:rsidRPr="00BF3652">
        <w:t xml:space="preserve">for </w:t>
      </w:r>
      <w:r w:rsidR="00DE013B">
        <w:t xml:space="preserve">the </w:t>
      </w:r>
      <w:r w:rsidR="00BF3652" w:rsidRPr="00BF3652">
        <w:t xml:space="preserve">surveillance </w:t>
      </w:r>
      <w:r w:rsidR="006078BE">
        <w:t>test compared to clinical test result</w:t>
      </w:r>
      <w:r w:rsidR="00E128FA">
        <w:t>s</w:t>
      </w:r>
      <w:r w:rsidR="00BF3652" w:rsidRPr="00BF3652">
        <w:t xml:space="preserve"> (smear: 94.4% vs. 78.6%; mRDT: 95.4% vs. 88.9%) (Table 4). PCR positivity of </w:t>
      </w:r>
      <w:r w:rsidR="00E128FA">
        <w:t xml:space="preserve">positive </w:t>
      </w:r>
      <w:r w:rsidR="00BF3652" w:rsidRPr="00BF3652">
        <w:t>clinical smears varied by epidemic zone, ranging from 69.6% in highland epidemic-prone areas to 87.9% in low-risk areas.</w:t>
      </w:r>
    </w:p>
    <w:p w14:paraId="54859356" w14:textId="2F582244" w:rsidR="001D05BD" w:rsidRPr="00091B01" w:rsidRDefault="001D05BD" w:rsidP="00D768D6">
      <w:pPr>
        <w:pStyle w:val="Heading2"/>
        <w:spacing w:line="240" w:lineRule="auto"/>
        <w:rPr>
          <w:b/>
          <w:bCs/>
        </w:rPr>
      </w:pPr>
      <w:r w:rsidRPr="00091B01">
        <w:rPr>
          <w:b/>
          <w:bCs/>
          <w:sz w:val="22"/>
          <w:szCs w:val="22"/>
        </w:rPr>
        <w:t xml:space="preserve">Table </w:t>
      </w:r>
      <w:r w:rsidR="006C7673" w:rsidRPr="00091B01">
        <w:rPr>
          <w:b/>
          <w:bCs/>
          <w:sz w:val="22"/>
          <w:szCs w:val="22"/>
        </w:rPr>
        <w:t>4</w:t>
      </w:r>
      <w:r w:rsidRPr="00091B01">
        <w:rPr>
          <w:b/>
          <w:bCs/>
          <w:sz w:val="22"/>
          <w:szCs w:val="22"/>
        </w:rPr>
        <w:t xml:space="preserve">: </w:t>
      </w:r>
      <w:r w:rsidR="009A6191" w:rsidRPr="00091B01">
        <w:rPr>
          <w:b/>
          <w:bCs/>
          <w:sz w:val="22"/>
          <w:szCs w:val="22"/>
        </w:rPr>
        <w:t>Malaria PCR positivity</w:t>
      </w:r>
      <w:r w:rsidR="008B66AE" w:rsidRPr="00091B01">
        <w:rPr>
          <w:b/>
          <w:bCs/>
          <w:sz w:val="22"/>
          <w:szCs w:val="22"/>
        </w:rPr>
        <w:t xml:space="preserve"> of</w:t>
      </w:r>
      <w:r w:rsidRPr="00091B01">
        <w:rPr>
          <w:b/>
          <w:bCs/>
          <w:sz w:val="22"/>
          <w:szCs w:val="22"/>
        </w:rPr>
        <w:t xml:space="preserve"> </w:t>
      </w:r>
      <w:r w:rsidR="008721DD" w:rsidRPr="00091B01">
        <w:rPr>
          <w:b/>
          <w:bCs/>
          <w:sz w:val="22"/>
          <w:szCs w:val="22"/>
        </w:rPr>
        <w:t xml:space="preserve">positive </w:t>
      </w:r>
      <w:r w:rsidR="25846824" w:rsidRPr="00091B01">
        <w:rPr>
          <w:b/>
          <w:bCs/>
          <w:sz w:val="22"/>
          <w:szCs w:val="22"/>
        </w:rPr>
        <w:t>microscopy</w:t>
      </w:r>
      <w:r w:rsidRPr="00091B01">
        <w:rPr>
          <w:b/>
          <w:bCs/>
          <w:sz w:val="22"/>
          <w:szCs w:val="22"/>
        </w:rPr>
        <w:t xml:space="preserve"> and </w:t>
      </w:r>
      <w:r w:rsidR="14CC6A90" w:rsidRPr="00091B01">
        <w:rPr>
          <w:b/>
          <w:bCs/>
          <w:sz w:val="22"/>
          <w:szCs w:val="22"/>
        </w:rPr>
        <w:t>m</w:t>
      </w:r>
      <w:r w:rsidRPr="00091B01">
        <w:rPr>
          <w:b/>
          <w:bCs/>
          <w:sz w:val="22"/>
          <w:szCs w:val="22"/>
        </w:rPr>
        <w:t xml:space="preserve">RDTs </w:t>
      </w:r>
      <w:r w:rsidR="00EC1794" w:rsidRPr="00091B01">
        <w:rPr>
          <w:b/>
          <w:bCs/>
          <w:sz w:val="22"/>
          <w:szCs w:val="22"/>
        </w:rPr>
        <w:t>among in</w:t>
      </w:r>
      <w:r w:rsidR="43C75F42" w:rsidRPr="00091B01">
        <w:rPr>
          <w:b/>
          <w:bCs/>
          <w:sz w:val="22"/>
          <w:szCs w:val="22"/>
        </w:rPr>
        <w:t>patient</w:t>
      </w:r>
      <w:r w:rsidR="00EC1794" w:rsidRPr="00091B01">
        <w:rPr>
          <w:b/>
          <w:bCs/>
          <w:sz w:val="22"/>
          <w:szCs w:val="22"/>
        </w:rPr>
        <w:t>s</w:t>
      </w:r>
      <w:r w:rsidR="43C75F42" w:rsidRPr="00091B01">
        <w:rPr>
          <w:b/>
          <w:bCs/>
          <w:sz w:val="22"/>
          <w:szCs w:val="22"/>
        </w:rPr>
        <w:t xml:space="preserve"> </w:t>
      </w:r>
      <w:r w:rsidRPr="00091B01">
        <w:rPr>
          <w:b/>
          <w:bCs/>
          <w:sz w:val="22"/>
          <w:szCs w:val="22"/>
        </w:rPr>
        <w:t xml:space="preserve">by </w:t>
      </w:r>
      <w:r w:rsidR="332C4D72" w:rsidRPr="00091B01">
        <w:rPr>
          <w:b/>
          <w:bCs/>
          <w:sz w:val="22"/>
          <w:szCs w:val="22"/>
        </w:rPr>
        <w:t xml:space="preserve">malaria </w:t>
      </w:r>
      <w:r w:rsidRPr="00091B01">
        <w:rPr>
          <w:b/>
          <w:bCs/>
          <w:sz w:val="22"/>
          <w:szCs w:val="22"/>
        </w:rPr>
        <w:t>epi</w:t>
      </w:r>
      <w:r w:rsidR="709AC5EC" w:rsidRPr="00091B01">
        <w:rPr>
          <w:b/>
          <w:bCs/>
          <w:sz w:val="22"/>
          <w:szCs w:val="22"/>
        </w:rPr>
        <w:t>demic</w:t>
      </w:r>
      <w:r w:rsidRPr="00091B01">
        <w:rPr>
          <w:b/>
          <w:bCs/>
          <w:sz w:val="22"/>
          <w:szCs w:val="22"/>
        </w:rPr>
        <w:t xml:space="preserve"> zone</w:t>
      </w:r>
    </w:p>
    <w:tbl>
      <w:tblPr>
        <w:tblW w:w="9329" w:type="dxa"/>
        <w:tblLayout w:type="fixed"/>
        <w:tblLook w:val="04A0" w:firstRow="1" w:lastRow="0" w:firstColumn="1" w:lastColumn="0" w:noHBand="0" w:noVBand="1"/>
      </w:tblPr>
      <w:tblGrid>
        <w:gridCol w:w="2356"/>
        <w:gridCol w:w="1076"/>
        <w:gridCol w:w="1463"/>
        <w:gridCol w:w="1464"/>
        <w:gridCol w:w="1485"/>
        <w:gridCol w:w="1485"/>
      </w:tblGrid>
      <w:tr w:rsidR="006A16EE" w:rsidRPr="00D37B2D" w14:paraId="5FB7761C" w14:textId="77777777" w:rsidTr="005C0414">
        <w:trPr>
          <w:trHeight w:val="20"/>
        </w:trPr>
        <w:tc>
          <w:tcPr>
            <w:tcW w:w="2356" w:type="dxa"/>
            <w:vMerge w:val="restart"/>
            <w:tcBorders>
              <w:top w:val="single" w:sz="4" w:space="0" w:color="auto"/>
              <w:left w:val="nil"/>
              <w:bottom w:val="single" w:sz="4" w:space="0" w:color="000000"/>
              <w:right w:val="nil"/>
            </w:tcBorders>
            <w:shd w:val="clear" w:color="auto" w:fill="auto"/>
            <w:noWrap/>
            <w:vAlign w:val="center"/>
            <w:hideMark/>
          </w:tcPr>
          <w:p w14:paraId="65063572" w14:textId="76513311" w:rsidR="006A16EE" w:rsidRPr="00091B01" w:rsidRDefault="00217CA8" w:rsidP="00D768D6">
            <w:pPr>
              <w:spacing w:after="0" w:line="240" w:lineRule="auto"/>
              <w:jc w:val="center"/>
              <w:rPr>
                <w:rFonts w:ascii="Calibri" w:hAnsi="Calibri"/>
                <w:color w:val="000000"/>
                <w:kern w:val="0"/>
                <w:sz w:val="18"/>
                <w:szCs w:val="18"/>
                <w14:ligatures w14:val="none"/>
              </w:rPr>
            </w:pPr>
            <w:r w:rsidRPr="00091B01">
              <w:rPr>
                <w:rFonts w:ascii="Calibri" w:eastAsia="Times New Roman" w:hAnsi="Calibri" w:cs="Calibri"/>
                <w:color w:val="000000"/>
                <w:kern w:val="0"/>
                <w:sz w:val="18"/>
                <w:szCs w:val="18"/>
                <w14:ligatures w14:val="none"/>
              </w:rPr>
              <w:t>Epidemic zone</w:t>
            </w:r>
            <w:r w:rsidR="00BD0446" w:rsidRPr="00091B01">
              <w:rPr>
                <w:rFonts w:ascii="Calibri" w:eastAsia="Calibri" w:hAnsi="Calibri" w:cs="Calibri"/>
                <w:color w:val="000000" w:themeColor="text1"/>
                <w:sz w:val="18"/>
                <w:szCs w:val="18"/>
              </w:rPr>
              <w:t>†</w:t>
            </w:r>
          </w:p>
        </w:tc>
        <w:tc>
          <w:tcPr>
            <w:tcW w:w="1076" w:type="dxa"/>
            <w:vMerge w:val="restart"/>
            <w:tcBorders>
              <w:top w:val="single" w:sz="4" w:space="0" w:color="auto"/>
              <w:left w:val="nil"/>
              <w:bottom w:val="single" w:sz="4" w:space="0" w:color="000000"/>
              <w:right w:val="nil"/>
            </w:tcBorders>
            <w:shd w:val="clear" w:color="auto" w:fill="auto"/>
            <w:noWrap/>
            <w:vAlign w:val="center"/>
            <w:hideMark/>
          </w:tcPr>
          <w:p w14:paraId="3A3D5053" w14:textId="77777777" w:rsidR="006A16EE" w:rsidRPr="00091B01" w:rsidRDefault="006A16EE" w:rsidP="00D768D6">
            <w:pPr>
              <w:spacing w:after="0" w:line="240" w:lineRule="auto"/>
              <w:jc w:val="center"/>
              <w:rPr>
                <w:rFonts w:ascii="Calibri" w:hAnsi="Calibri"/>
                <w:color w:val="000000"/>
                <w:kern w:val="0"/>
                <w:sz w:val="18"/>
                <w:szCs w:val="18"/>
                <w14:ligatures w14:val="none"/>
              </w:rPr>
            </w:pPr>
            <w:r w:rsidRPr="00091B01">
              <w:rPr>
                <w:rFonts w:ascii="Calibri" w:hAnsi="Calibri"/>
                <w:color w:val="000000"/>
                <w:kern w:val="0"/>
                <w:sz w:val="18"/>
                <w:szCs w:val="18"/>
                <w14:ligatures w14:val="none"/>
              </w:rPr>
              <w:t>Total*</w:t>
            </w:r>
          </w:p>
        </w:tc>
        <w:tc>
          <w:tcPr>
            <w:tcW w:w="5897" w:type="dxa"/>
            <w:gridSpan w:val="4"/>
            <w:tcBorders>
              <w:top w:val="single" w:sz="4" w:space="0" w:color="auto"/>
              <w:left w:val="nil"/>
              <w:bottom w:val="nil"/>
              <w:right w:val="nil"/>
            </w:tcBorders>
            <w:shd w:val="clear" w:color="auto" w:fill="auto"/>
            <w:noWrap/>
            <w:vAlign w:val="center"/>
            <w:hideMark/>
          </w:tcPr>
          <w:p w14:paraId="5D3F47EF" w14:textId="77777777" w:rsidR="006A16EE" w:rsidRPr="00091B01" w:rsidRDefault="006A16EE" w:rsidP="00D768D6">
            <w:pPr>
              <w:spacing w:after="0" w:line="240" w:lineRule="auto"/>
              <w:jc w:val="center"/>
              <w:rPr>
                <w:rFonts w:ascii="Calibri" w:hAnsi="Calibri"/>
                <w:color w:val="000000"/>
                <w:kern w:val="0"/>
                <w:sz w:val="18"/>
                <w:szCs w:val="18"/>
                <w14:ligatures w14:val="none"/>
              </w:rPr>
            </w:pPr>
            <w:r w:rsidRPr="00091B01">
              <w:rPr>
                <w:rFonts w:ascii="Calibri" w:hAnsi="Calibri"/>
                <w:color w:val="000000"/>
                <w:kern w:val="0"/>
                <w:sz w:val="18"/>
                <w:szCs w:val="18"/>
                <w14:ligatures w14:val="none"/>
              </w:rPr>
              <w:t>PCR percent positivity</w:t>
            </w:r>
          </w:p>
        </w:tc>
      </w:tr>
      <w:tr w:rsidR="006A16EE" w:rsidRPr="00D37B2D" w14:paraId="0A8E4CD4" w14:textId="77777777" w:rsidTr="005C0414">
        <w:trPr>
          <w:trHeight w:val="20"/>
        </w:trPr>
        <w:tc>
          <w:tcPr>
            <w:tcW w:w="2356" w:type="dxa"/>
            <w:vMerge/>
            <w:tcBorders>
              <w:top w:val="single" w:sz="4" w:space="0" w:color="auto"/>
              <w:left w:val="nil"/>
              <w:bottom w:val="single" w:sz="4" w:space="0" w:color="000000"/>
              <w:right w:val="nil"/>
            </w:tcBorders>
            <w:vAlign w:val="center"/>
            <w:hideMark/>
          </w:tcPr>
          <w:p w14:paraId="1C3B0BA8" w14:textId="77777777" w:rsidR="006A16EE" w:rsidRPr="00091B01" w:rsidRDefault="006A16EE" w:rsidP="00D768D6">
            <w:pPr>
              <w:spacing w:after="0" w:line="240" w:lineRule="auto"/>
              <w:rPr>
                <w:rFonts w:ascii="Calibri" w:hAnsi="Calibri"/>
                <w:color w:val="000000"/>
                <w:kern w:val="0"/>
                <w:sz w:val="18"/>
                <w:szCs w:val="18"/>
                <w14:ligatures w14:val="none"/>
              </w:rPr>
            </w:pPr>
          </w:p>
        </w:tc>
        <w:tc>
          <w:tcPr>
            <w:tcW w:w="1076" w:type="dxa"/>
            <w:vMerge/>
            <w:tcBorders>
              <w:top w:val="single" w:sz="4" w:space="0" w:color="auto"/>
              <w:left w:val="nil"/>
              <w:bottom w:val="single" w:sz="4" w:space="0" w:color="000000"/>
              <w:right w:val="nil"/>
            </w:tcBorders>
            <w:vAlign w:val="center"/>
            <w:hideMark/>
          </w:tcPr>
          <w:p w14:paraId="203AECB2" w14:textId="77777777" w:rsidR="006A16EE" w:rsidRPr="00091B01" w:rsidRDefault="006A16EE" w:rsidP="00D768D6">
            <w:pPr>
              <w:spacing w:after="0" w:line="240" w:lineRule="auto"/>
              <w:rPr>
                <w:rFonts w:ascii="Calibri" w:hAnsi="Calibri"/>
                <w:color w:val="000000"/>
                <w:kern w:val="0"/>
                <w:sz w:val="18"/>
                <w:szCs w:val="18"/>
                <w14:ligatures w14:val="none"/>
              </w:rPr>
            </w:pPr>
          </w:p>
        </w:tc>
        <w:tc>
          <w:tcPr>
            <w:tcW w:w="2927" w:type="dxa"/>
            <w:gridSpan w:val="2"/>
            <w:tcBorders>
              <w:top w:val="nil"/>
              <w:left w:val="nil"/>
              <w:bottom w:val="nil"/>
              <w:right w:val="nil"/>
            </w:tcBorders>
            <w:shd w:val="clear" w:color="auto" w:fill="auto"/>
            <w:noWrap/>
            <w:vAlign w:val="center"/>
            <w:hideMark/>
          </w:tcPr>
          <w:p w14:paraId="0F973924" w14:textId="7E3F4994" w:rsidR="006A16EE" w:rsidRPr="00091B01" w:rsidRDefault="005C0414" w:rsidP="00D768D6">
            <w:pPr>
              <w:spacing w:after="0" w:line="240" w:lineRule="auto"/>
              <w:jc w:val="center"/>
              <w:rPr>
                <w:rFonts w:ascii="Calibri" w:hAnsi="Calibri"/>
                <w:color w:val="000000"/>
                <w:kern w:val="0"/>
                <w:sz w:val="18"/>
                <w:szCs w:val="18"/>
                <w14:ligatures w14:val="none"/>
              </w:rPr>
            </w:pPr>
            <w:r w:rsidRPr="00091B01">
              <w:rPr>
                <w:rFonts w:ascii="Calibri" w:hAnsi="Calibri"/>
                <w:color w:val="000000"/>
                <w:kern w:val="0"/>
                <w:sz w:val="18"/>
                <w:szCs w:val="18"/>
                <w14:ligatures w14:val="none"/>
              </w:rPr>
              <w:t xml:space="preserve">Positive </w:t>
            </w:r>
            <w:r w:rsidR="006A16EE" w:rsidRPr="00091B01">
              <w:rPr>
                <w:rFonts w:ascii="Calibri" w:hAnsi="Calibri"/>
                <w:color w:val="000000"/>
                <w:kern w:val="0"/>
                <w:sz w:val="18"/>
                <w:szCs w:val="18"/>
                <w14:ligatures w14:val="none"/>
              </w:rPr>
              <w:t>Smear</w:t>
            </w:r>
          </w:p>
        </w:tc>
        <w:tc>
          <w:tcPr>
            <w:tcW w:w="2970" w:type="dxa"/>
            <w:gridSpan w:val="2"/>
            <w:tcBorders>
              <w:top w:val="nil"/>
              <w:left w:val="nil"/>
              <w:bottom w:val="nil"/>
              <w:right w:val="nil"/>
            </w:tcBorders>
            <w:shd w:val="clear" w:color="auto" w:fill="auto"/>
            <w:noWrap/>
            <w:vAlign w:val="center"/>
            <w:hideMark/>
          </w:tcPr>
          <w:p w14:paraId="3777D0B4" w14:textId="1D7931D2" w:rsidR="006A16EE" w:rsidRPr="00091B01" w:rsidRDefault="005C0414" w:rsidP="00D768D6">
            <w:pPr>
              <w:spacing w:after="0" w:line="240" w:lineRule="auto"/>
              <w:jc w:val="center"/>
              <w:rPr>
                <w:rFonts w:ascii="Calibri" w:hAnsi="Calibri"/>
                <w:color w:val="000000"/>
                <w:kern w:val="0"/>
                <w:sz w:val="18"/>
                <w:szCs w:val="18"/>
                <w14:ligatures w14:val="none"/>
              </w:rPr>
            </w:pPr>
            <w:r w:rsidRPr="00091B01">
              <w:rPr>
                <w:rFonts w:ascii="Calibri" w:hAnsi="Calibri"/>
                <w:color w:val="000000"/>
                <w:kern w:val="0"/>
                <w:sz w:val="18"/>
                <w:szCs w:val="18"/>
                <w14:ligatures w14:val="none"/>
              </w:rPr>
              <w:t>Positive m</w:t>
            </w:r>
            <w:r w:rsidR="006A16EE" w:rsidRPr="00091B01">
              <w:rPr>
                <w:rFonts w:ascii="Calibri" w:hAnsi="Calibri"/>
                <w:color w:val="000000"/>
                <w:kern w:val="0"/>
                <w:sz w:val="18"/>
                <w:szCs w:val="18"/>
                <w14:ligatures w14:val="none"/>
              </w:rPr>
              <w:t>RDT</w:t>
            </w:r>
          </w:p>
        </w:tc>
      </w:tr>
      <w:tr w:rsidR="006A16EE" w:rsidRPr="00D37B2D" w14:paraId="0D6E8E3E" w14:textId="77777777" w:rsidTr="005C0414">
        <w:trPr>
          <w:trHeight w:val="20"/>
        </w:trPr>
        <w:tc>
          <w:tcPr>
            <w:tcW w:w="2356" w:type="dxa"/>
            <w:vMerge/>
            <w:tcBorders>
              <w:top w:val="single" w:sz="4" w:space="0" w:color="auto"/>
              <w:left w:val="nil"/>
              <w:bottom w:val="single" w:sz="4" w:space="0" w:color="000000"/>
              <w:right w:val="nil"/>
            </w:tcBorders>
            <w:vAlign w:val="center"/>
            <w:hideMark/>
          </w:tcPr>
          <w:p w14:paraId="102626C7" w14:textId="77777777" w:rsidR="006A16EE" w:rsidRPr="00091B01" w:rsidRDefault="006A16EE" w:rsidP="00D768D6">
            <w:pPr>
              <w:spacing w:after="0" w:line="240" w:lineRule="auto"/>
              <w:rPr>
                <w:rFonts w:ascii="Calibri" w:hAnsi="Calibri"/>
                <w:color w:val="000000"/>
                <w:kern w:val="0"/>
                <w:sz w:val="18"/>
                <w:szCs w:val="18"/>
                <w14:ligatures w14:val="none"/>
              </w:rPr>
            </w:pPr>
          </w:p>
        </w:tc>
        <w:tc>
          <w:tcPr>
            <w:tcW w:w="1076" w:type="dxa"/>
            <w:vMerge/>
            <w:tcBorders>
              <w:top w:val="single" w:sz="4" w:space="0" w:color="auto"/>
              <w:left w:val="nil"/>
              <w:bottom w:val="single" w:sz="4" w:space="0" w:color="000000"/>
              <w:right w:val="nil"/>
            </w:tcBorders>
            <w:vAlign w:val="center"/>
            <w:hideMark/>
          </w:tcPr>
          <w:p w14:paraId="22AA57E4" w14:textId="77777777" w:rsidR="006A16EE" w:rsidRPr="00091B01" w:rsidRDefault="006A16EE" w:rsidP="00D768D6">
            <w:pPr>
              <w:spacing w:after="0" w:line="240" w:lineRule="auto"/>
              <w:rPr>
                <w:rFonts w:ascii="Calibri" w:hAnsi="Calibri"/>
                <w:color w:val="000000"/>
                <w:kern w:val="0"/>
                <w:sz w:val="18"/>
                <w:szCs w:val="18"/>
                <w14:ligatures w14:val="none"/>
              </w:rPr>
            </w:pPr>
          </w:p>
        </w:tc>
        <w:tc>
          <w:tcPr>
            <w:tcW w:w="1463" w:type="dxa"/>
            <w:tcBorders>
              <w:top w:val="nil"/>
              <w:left w:val="nil"/>
              <w:bottom w:val="single" w:sz="4" w:space="0" w:color="auto"/>
              <w:right w:val="nil"/>
            </w:tcBorders>
            <w:shd w:val="clear" w:color="auto" w:fill="auto"/>
            <w:noWrap/>
            <w:vAlign w:val="center"/>
            <w:hideMark/>
          </w:tcPr>
          <w:p w14:paraId="7BFA971F"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Surveillance</w:t>
            </w:r>
          </w:p>
        </w:tc>
        <w:tc>
          <w:tcPr>
            <w:tcW w:w="1464" w:type="dxa"/>
            <w:tcBorders>
              <w:top w:val="nil"/>
              <w:left w:val="nil"/>
              <w:bottom w:val="single" w:sz="4" w:space="0" w:color="auto"/>
              <w:right w:val="nil"/>
            </w:tcBorders>
            <w:shd w:val="clear" w:color="auto" w:fill="auto"/>
            <w:noWrap/>
            <w:vAlign w:val="center"/>
            <w:hideMark/>
          </w:tcPr>
          <w:p w14:paraId="57848389"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Clinical</w:t>
            </w:r>
          </w:p>
        </w:tc>
        <w:tc>
          <w:tcPr>
            <w:tcW w:w="1485" w:type="dxa"/>
            <w:tcBorders>
              <w:top w:val="nil"/>
              <w:left w:val="nil"/>
              <w:bottom w:val="single" w:sz="4" w:space="0" w:color="auto"/>
              <w:right w:val="nil"/>
            </w:tcBorders>
            <w:shd w:val="clear" w:color="auto" w:fill="auto"/>
            <w:noWrap/>
            <w:vAlign w:val="center"/>
            <w:hideMark/>
          </w:tcPr>
          <w:p w14:paraId="11B7019A"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Surveillance</w:t>
            </w:r>
          </w:p>
        </w:tc>
        <w:tc>
          <w:tcPr>
            <w:tcW w:w="1485" w:type="dxa"/>
            <w:tcBorders>
              <w:top w:val="nil"/>
              <w:left w:val="nil"/>
              <w:bottom w:val="single" w:sz="4" w:space="0" w:color="auto"/>
              <w:right w:val="nil"/>
            </w:tcBorders>
            <w:shd w:val="clear" w:color="auto" w:fill="auto"/>
            <w:noWrap/>
            <w:vAlign w:val="center"/>
            <w:hideMark/>
          </w:tcPr>
          <w:p w14:paraId="34C53AD3"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Clinical</w:t>
            </w:r>
          </w:p>
        </w:tc>
      </w:tr>
      <w:tr w:rsidR="006A16EE" w:rsidRPr="00D37B2D" w14:paraId="26CE31E6" w14:textId="77777777" w:rsidTr="005C0414">
        <w:trPr>
          <w:trHeight w:val="20"/>
        </w:trPr>
        <w:tc>
          <w:tcPr>
            <w:tcW w:w="2356" w:type="dxa"/>
            <w:tcBorders>
              <w:top w:val="nil"/>
              <w:left w:val="nil"/>
              <w:bottom w:val="nil"/>
              <w:right w:val="nil"/>
            </w:tcBorders>
            <w:shd w:val="clear" w:color="auto" w:fill="auto"/>
            <w:noWrap/>
            <w:vAlign w:val="bottom"/>
            <w:hideMark/>
          </w:tcPr>
          <w:p w14:paraId="65538EFA" w14:textId="02D435C0" w:rsidR="006A16EE" w:rsidRPr="00091B01" w:rsidRDefault="00BD0446" w:rsidP="00D768D6">
            <w:pPr>
              <w:spacing w:after="0" w:line="240" w:lineRule="auto"/>
              <w:rPr>
                <w:rFonts w:ascii="Calibri" w:hAnsi="Calibri"/>
                <w:color w:val="000000"/>
                <w:kern w:val="0"/>
                <w:sz w:val="18"/>
                <w:szCs w:val="18"/>
                <w14:ligatures w14:val="none"/>
              </w:rPr>
            </w:pPr>
            <w:r w:rsidRPr="00091B01">
              <w:rPr>
                <w:rFonts w:ascii="Calibri" w:eastAsia="Times New Roman" w:hAnsi="Calibri" w:cs="Calibri"/>
                <w:color w:val="000000"/>
                <w:kern w:val="0"/>
                <w:sz w:val="18"/>
                <w:szCs w:val="18"/>
                <w14:ligatures w14:val="none"/>
              </w:rPr>
              <w:t>Overall</w:t>
            </w:r>
          </w:p>
        </w:tc>
        <w:tc>
          <w:tcPr>
            <w:tcW w:w="1076" w:type="dxa"/>
            <w:tcBorders>
              <w:top w:val="nil"/>
              <w:left w:val="nil"/>
              <w:bottom w:val="nil"/>
              <w:right w:val="nil"/>
            </w:tcBorders>
            <w:shd w:val="clear" w:color="auto" w:fill="auto"/>
            <w:noWrap/>
            <w:hideMark/>
          </w:tcPr>
          <w:p w14:paraId="51A0FE56" w14:textId="677E1A77" w:rsidR="006A16EE" w:rsidRPr="00091B01" w:rsidRDefault="006A16EE" w:rsidP="00D768D6">
            <w:pPr>
              <w:spacing w:after="0" w:line="240" w:lineRule="auto"/>
              <w:jc w:val="center"/>
              <w:rPr>
                <w:rFonts w:ascii="Calibri" w:hAnsi="Calibri"/>
                <w:color w:val="000000"/>
                <w:kern w:val="0"/>
                <w:sz w:val="18"/>
                <w:szCs w:val="18"/>
                <w14:ligatures w14:val="none"/>
              </w:rPr>
            </w:pPr>
            <w:r w:rsidRPr="00091B01">
              <w:rPr>
                <w:rFonts w:ascii="Calibri" w:hAnsi="Calibri"/>
                <w:color w:val="000000"/>
                <w:kern w:val="0"/>
                <w:sz w:val="18"/>
                <w:szCs w:val="18"/>
                <w14:ligatures w14:val="none"/>
              </w:rPr>
              <w:t>5303</w:t>
            </w:r>
          </w:p>
        </w:tc>
        <w:tc>
          <w:tcPr>
            <w:tcW w:w="1463" w:type="dxa"/>
            <w:tcBorders>
              <w:top w:val="nil"/>
              <w:left w:val="nil"/>
              <w:bottom w:val="nil"/>
              <w:right w:val="nil"/>
            </w:tcBorders>
            <w:shd w:val="clear" w:color="auto" w:fill="auto"/>
            <w:noWrap/>
            <w:hideMark/>
          </w:tcPr>
          <w:p w14:paraId="284A0A33"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94.4%</w:t>
            </w:r>
          </w:p>
        </w:tc>
        <w:tc>
          <w:tcPr>
            <w:tcW w:w="1464" w:type="dxa"/>
            <w:tcBorders>
              <w:top w:val="nil"/>
              <w:left w:val="nil"/>
              <w:bottom w:val="nil"/>
              <w:right w:val="nil"/>
            </w:tcBorders>
            <w:shd w:val="clear" w:color="auto" w:fill="auto"/>
            <w:noWrap/>
            <w:hideMark/>
          </w:tcPr>
          <w:p w14:paraId="3B762204"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78.6%</w:t>
            </w:r>
          </w:p>
        </w:tc>
        <w:tc>
          <w:tcPr>
            <w:tcW w:w="1485" w:type="dxa"/>
            <w:tcBorders>
              <w:top w:val="nil"/>
              <w:left w:val="nil"/>
              <w:bottom w:val="nil"/>
              <w:right w:val="nil"/>
            </w:tcBorders>
            <w:shd w:val="clear" w:color="auto" w:fill="auto"/>
            <w:noWrap/>
            <w:hideMark/>
          </w:tcPr>
          <w:p w14:paraId="3E03C4FA"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95.4%</w:t>
            </w:r>
          </w:p>
        </w:tc>
        <w:tc>
          <w:tcPr>
            <w:tcW w:w="1485" w:type="dxa"/>
            <w:tcBorders>
              <w:top w:val="nil"/>
              <w:left w:val="nil"/>
              <w:bottom w:val="nil"/>
              <w:right w:val="nil"/>
            </w:tcBorders>
            <w:shd w:val="clear" w:color="auto" w:fill="auto"/>
            <w:noWrap/>
            <w:hideMark/>
          </w:tcPr>
          <w:p w14:paraId="31A87646"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88.9%</w:t>
            </w:r>
          </w:p>
        </w:tc>
      </w:tr>
      <w:tr w:rsidR="006A16EE" w:rsidRPr="00D37B2D" w14:paraId="7A4D22C5" w14:textId="77777777" w:rsidTr="005C0414">
        <w:trPr>
          <w:trHeight w:val="20"/>
        </w:trPr>
        <w:tc>
          <w:tcPr>
            <w:tcW w:w="2356" w:type="dxa"/>
            <w:tcBorders>
              <w:top w:val="nil"/>
              <w:left w:val="nil"/>
              <w:bottom w:val="nil"/>
              <w:right w:val="nil"/>
            </w:tcBorders>
            <w:shd w:val="clear" w:color="auto" w:fill="auto"/>
            <w:noWrap/>
            <w:hideMark/>
          </w:tcPr>
          <w:p w14:paraId="6A5517EA" w14:textId="77777777" w:rsidR="006A16EE" w:rsidRPr="00091B01" w:rsidRDefault="006A16EE" w:rsidP="00D768D6">
            <w:pPr>
              <w:spacing w:after="0" w:line="240" w:lineRule="auto"/>
              <w:rPr>
                <w:rFonts w:ascii="Calibri" w:hAnsi="Calibri"/>
                <w:color w:val="000000"/>
                <w:kern w:val="0"/>
                <w:sz w:val="18"/>
                <w:szCs w:val="18"/>
                <w14:ligatures w14:val="none"/>
              </w:rPr>
            </w:pPr>
            <w:r w:rsidRPr="00091B01">
              <w:rPr>
                <w:rFonts w:ascii="Calibri" w:hAnsi="Calibri"/>
                <w:color w:val="000000"/>
                <w:kern w:val="0"/>
                <w:sz w:val="18"/>
                <w:szCs w:val="18"/>
                <w14:ligatures w14:val="none"/>
              </w:rPr>
              <w:t xml:space="preserve">  Lake endemic</w:t>
            </w:r>
          </w:p>
        </w:tc>
        <w:tc>
          <w:tcPr>
            <w:tcW w:w="1076" w:type="dxa"/>
            <w:tcBorders>
              <w:top w:val="nil"/>
              <w:left w:val="nil"/>
              <w:bottom w:val="nil"/>
              <w:right w:val="nil"/>
            </w:tcBorders>
            <w:shd w:val="clear" w:color="auto" w:fill="auto"/>
            <w:noWrap/>
            <w:hideMark/>
          </w:tcPr>
          <w:p w14:paraId="5D835DF9" w14:textId="6BCA3766" w:rsidR="006A16EE" w:rsidRPr="00091B01" w:rsidRDefault="006A16EE" w:rsidP="00D768D6">
            <w:pPr>
              <w:spacing w:after="0" w:line="240" w:lineRule="auto"/>
              <w:jc w:val="center"/>
              <w:rPr>
                <w:rFonts w:ascii="Calibri" w:hAnsi="Calibri"/>
                <w:color w:val="000000"/>
                <w:kern w:val="0"/>
                <w:sz w:val="18"/>
                <w:szCs w:val="18"/>
                <w14:ligatures w14:val="none"/>
              </w:rPr>
            </w:pPr>
            <w:r w:rsidRPr="00091B01">
              <w:rPr>
                <w:rFonts w:ascii="Calibri" w:hAnsi="Calibri"/>
                <w:color w:val="000000"/>
                <w:kern w:val="0"/>
                <w:sz w:val="18"/>
                <w:szCs w:val="18"/>
                <w14:ligatures w14:val="none"/>
              </w:rPr>
              <w:t>1068</w:t>
            </w:r>
          </w:p>
        </w:tc>
        <w:tc>
          <w:tcPr>
            <w:tcW w:w="1463" w:type="dxa"/>
            <w:tcBorders>
              <w:top w:val="nil"/>
              <w:left w:val="nil"/>
              <w:bottom w:val="nil"/>
              <w:right w:val="nil"/>
            </w:tcBorders>
            <w:shd w:val="clear" w:color="auto" w:fill="auto"/>
            <w:noWrap/>
            <w:hideMark/>
          </w:tcPr>
          <w:p w14:paraId="13B8FDDD"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92.7%</w:t>
            </w:r>
          </w:p>
        </w:tc>
        <w:tc>
          <w:tcPr>
            <w:tcW w:w="1464" w:type="dxa"/>
            <w:tcBorders>
              <w:top w:val="nil"/>
              <w:left w:val="nil"/>
              <w:bottom w:val="nil"/>
              <w:right w:val="nil"/>
            </w:tcBorders>
            <w:shd w:val="clear" w:color="auto" w:fill="auto"/>
            <w:noWrap/>
            <w:hideMark/>
          </w:tcPr>
          <w:p w14:paraId="3AEFCA0C"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79.1%</w:t>
            </w:r>
          </w:p>
        </w:tc>
        <w:tc>
          <w:tcPr>
            <w:tcW w:w="1485" w:type="dxa"/>
            <w:tcBorders>
              <w:top w:val="nil"/>
              <w:left w:val="nil"/>
              <w:bottom w:val="nil"/>
              <w:right w:val="nil"/>
            </w:tcBorders>
            <w:shd w:val="clear" w:color="auto" w:fill="auto"/>
            <w:noWrap/>
            <w:hideMark/>
          </w:tcPr>
          <w:p w14:paraId="1C270222"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96.6%</w:t>
            </w:r>
          </w:p>
        </w:tc>
        <w:tc>
          <w:tcPr>
            <w:tcW w:w="1485" w:type="dxa"/>
            <w:tcBorders>
              <w:top w:val="nil"/>
              <w:left w:val="nil"/>
              <w:bottom w:val="nil"/>
              <w:right w:val="nil"/>
            </w:tcBorders>
            <w:shd w:val="clear" w:color="auto" w:fill="auto"/>
            <w:noWrap/>
            <w:hideMark/>
          </w:tcPr>
          <w:p w14:paraId="1F8988AD"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83.8%</w:t>
            </w:r>
          </w:p>
        </w:tc>
      </w:tr>
      <w:tr w:rsidR="006A16EE" w:rsidRPr="00D37B2D" w14:paraId="6BF80558" w14:textId="77777777" w:rsidTr="005C0414">
        <w:trPr>
          <w:trHeight w:val="20"/>
        </w:trPr>
        <w:tc>
          <w:tcPr>
            <w:tcW w:w="2356" w:type="dxa"/>
            <w:tcBorders>
              <w:top w:val="nil"/>
              <w:left w:val="nil"/>
              <w:bottom w:val="nil"/>
              <w:right w:val="nil"/>
            </w:tcBorders>
            <w:shd w:val="clear" w:color="auto" w:fill="auto"/>
            <w:noWrap/>
            <w:hideMark/>
          </w:tcPr>
          <w:p w14:paraId="7C3BDC2B" w14:textId="77777777" w:rsidR="006A16EE" w:rsidRPr="00091B01" w:rsidRDefault="006A16EE" w:rsidP="00D768D6">
            <w:pPr>
              <w:spacing w:after="0" w:line="240" w:lineRule="auto"/>
              <w:rPr>
                <w:rFonts w:ascii="Calibri" w:hAnsi="Calibri"/>
                <w:color w:val="000000"/>
                <w:kern w:val="0"/>
                <w:sz w:val="18"/>
                <w:szCs w:val="18"/>
                <w14:ligatures w14:val="none"/>
              </w:rPr>
            </w:pPr>
            <w:r w:rsidRPr="00091B01">
              <w:rPr>
                <w:rFonts w:ascii="Calibri" w:hAnsi="Calibri"/>
                <w:color w:val="000000"/>
                <w:kern w:val="0"/>
                <w:sz w:val="18"/>
                <w:szCs w:val="18"/>
                <w14:ligatures w14:val="none"/>
              </w:rPr>
              <w:t xml:space="preserve">  Coast endemic</w:t>
            </w:r>
          </w:p>
        </w:tc>
        <w:tc>
          <w:tcPr>
            <w:tcW w:w="1076" w:type="dxa"/>
            <w:tcBorders>
              <w:top w:val="nil"/>
              <w:left w:val="nil"/>
              <w:bottom w:val="nil"/>
              <w:right w:val="nil"/>
            </w:tcBorders>
            <w:shd w:val="clear" w:color="auto" w:fill="auto"/>
            <w:noWrap/>
            <w:hideMark/>
          </w:tcPr>
          <w:p w14:paraId="1F7A6086" w14:textId="51469DD1" w:rsidR="006A16EE" w:rsidRPr="00091B01" w:rsidRDefault="006A16EE" w:rsidP="00D768D6">
            <w:pPr>
              <w:spacing w:after="0" w:line="240" w:lineRule="auto"/>
              <w:jc w:val="center"/>
              <w:rPr>
                <w:rFonts w:ascii="Calibri" w:hAnsi="Calibri"/>
                <w:color w:val="000000"/>
                <w:kern w:val="0"/>
                <w:sz w:val="18"/>
                <w:szCs w:val="18"/>
                <w14:ligatures w14:val="none"/>
              </w:rPr>
            </w:pPr>
            <w:r w:rsidRPr="00091B01">
              <w:rPr>
                <w:rFonts w:ascii="Calibri" w:hAnsi="Calibri"/>
                <w:color w:val="000000"/>
                <w:kern w:val="0"/>
                <w:sz w:val="18"/>
                <w:szCs w:val="18"/>
                <w14:ligatures w14:val="none"/>
              </w:rPr>
              <w:t>715</w:t>
            </w:r>
          </w:p>
        </w:tc>
        <w:tc>
          <w:tcPr>
            <w:tcW w:w="1463" w:type="dxa"/>
            <w:tcBorders>
              <w:top w:val="nil"/>
              <w:left w:val="nil"/>
              <w:bottom w:val="nil"/>
              <w:right w:val="nil"/>
            </w:tcBorders>
            <w:shd w:val="clear" w:color="auto" w:fill="auto"/>
            <w:noWrap/>
            <w:hideMark/>
          </w:tcPr>
          <w:p w14:paraId="34D5B4BF"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96.2%</w:t>
            </w:r>
          </w:p>
        </w:tc>
        <w:tc>
          <w:tcPr>
            <w:tcW w:w="1464" w:type="dxa"/>
            <w:tcBorders>
              <w:top w:val="nil"/>
              <w:left w:val="nil"/>
              <w:bottom w:val="nil"/>
              <w:right w:val="nil"/>
            </w:tcBorders>
            <w:shd w:val="clear" w:color="auto" w:fill="auto"/>
            <w:noWrap/>
            <w:hideMark/>
          </w:tcPr>
          <w:p w14:paraId="0583C27B"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80.5%</w:t>
            </w:r>
          </w:p>
        </w:tc>
        <w:tc>
          <w:tcPr>
            <w:tcW w:w="1485" w:type="dxa"/>
            <w:tcBorders>
              <w:top w:val="nil"/>
              <w:left w:val="nil"/>
              <w:bottom w:val="nil"/>
              <w:right w:val="nil"/>
            </w:tcBorders>
            <w:shd w:val="clear" w:color="auto" w:fill="auto"/>
            <w:noWrap/>
            <w:hideMark/>
          </w:tcPr>
          <w:p w14:paraId="2AC899EA"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92.5%</w:t>
            </w:r>
          </w:p>
        </w:tc>
        <w:tc>
          <w:tcPr>
            <w:tcW w:w="1485" w:type="dxa"/>
            <w:tcBorders>
              <w:top w:val="nil"/>
              <w:left w:val="nil"/>
              <w:bottom w:val="nil"/>
              <w:right w:val="nil"/>
            </w:tcBorders>
            <w:shd w:val="clear" w:color="auto" w:fill="auto"/>
            <w:noWrap/>
            <w:hideMark/>
          </w:tcPr>
          <w:p w14:paraId="6CC56672"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100.0%</w:t>
            </w:r>
          </w:p>
        </w:tc>
      </w:tr>
      <w:tr w:rsidR="006A16EE" w:rsidRPr="00D37B2D" w14:paraId="3A9F99E6" w14:textId="77777777" w:rsidTr="005C0414">
        <w:trPr>
          <w:trHeight w:val="20"/>
        </w:trPr>
        <w:tc>
          <w:tcPr>
            <w:tcW w:w="2356" w:type="dxa"/>
            <w:tcBorders>
              <w:top w:val="nil"/>
              <w:left w:val="nil"/>
              <w:bottom w:val="nil"/>
              <w:right w:val="nil"/>
            </w:tcBorders>
            <w:shd w:val="clear" w:color="auto" w:fill="auto"/>
            <w:noWrap/>
            <w:hideMark/>
          </w:tcPr>
          <w:p w14:paraId="24F1EA65" w14:textId="77777777" w:rsidR="006A16EE" w:rsidRPr="00091B01" w:rsidRDefault="006A16EE" w:rsidP="00D768D6">
            <w:pPr>
              <w:spacing w:after="0" w:line="240" w:lineRule="auto"/>
              <w:rPr>
                <w:rFonts w:ascii="Calibri" w:hAnsi="Calibri"/>
                <w:color w:val="000000"/>
                <w:kern w:val="0"/>
                <w:sz w:val="18"/>
                <w:szCs w:val="18"/>
                <w14:ligatures w14:val="none"/>
              </w:rPr>
            </w:pPr>
            <w:r w:rsidRPr="00091B01">
              <w:rPr>
                <w:rFonts w:ascii="Calibri" w:hAnsi="Calibri"/>
                <w:color w:val="000000"/>
                <w:kern w:val="0"/>
                <w:sz w:val="18"/>
                <w:szCs w:val="18"/>
                <w14:ligatures w14:val="none"/>
              </w:rPr>
              <w:t xml:space="preserve">  Highland epidemic prone</w:t>
            </w:r>
          </w:p>
        </w:tc>
        <w:tc>
          <w:tcPr>
            <w:tcW w:w="1076" w:type="dxa"/>
            <w:tcBorders>
              <w:top w:val="nil"/>
              <w:left w:val="nil"/>
              <w:bottom w:val="nil"/>
              <w:right w:val="nil"/>
            </w:tcBorders>
            <w:shd w:val="clear" w:color="auto" w:fill="auto"/>
            <w:noWrap/>
            <w:hideMark/>
          </w:tcPr>
          <w:p w14:paraId="6FB9EE0B" w14:textId="0D8491A6" w:rsidR="006A16EE" w:rsidRPr="00091B01" w:rsidRDefault="006A16EE" w:rsidP="00D768D6">
            <w:pPr>
              <w:spacing w:after="0" w:line="240" w:lineRule="auto"/>
              <w:jc w:val="center"/>
              <w:rPr>
                <w:rFonts w:ascii="Calibri" w:hAnsi="Calibri"/>
                <w:color w:val="000000"/>
                <w:kern w:val="0"/>
                <w:sz w:val="18"/>
                <w:szCs w:val="18"/>
                <w14:ligatures w14:val="none"/>
              </w:rPr>
            </w:pPr>
            <w:r w:rsidRPr="00091B01">
              <w:rPr>
                <w:rFonts w:ascii="Calibri" w:hAnsi="Calibri"/>
                <w:color w:val="000000"/>
                <w:kern w:val="0"/>
                <w:sz w:val="18"/>
                <w:szCs w:val="18"/>
                <w14:ligatures w14:val="none"/>
              </w:rPr>
              <w:t>245</w:t>
            </w:r>
          </w:p>
        </w:tc>
        <w:tc>
          <w:tcPr>
            <w:tcW w:w="1463" w:type="dxa"/>
            <w:tcBorders>
              <w:top w:val="nil"/>
              <w:left w:val="nil"/>
              <w:bottom w:val="nil"/>
              <w:right w:val="nil"/>
            </w:tcBorders>
            <w:shd w:val="clear" w:color="auto" w:fill="auto"/>
            <w:noWrap/>
            <w:hideMark/>
          </w:tcPr>
          <w:p w14:paraId="4AEE1588"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95.8%</w:t>
            </w:r>
          </w:p>
        </w:tc>
        <w:tc>
          <w:tcPr>
            <w:tcW w:w="1464" w:type="dxa"/>
            <w:tcBorders>
              <w:top w:val="nil"/>
              <w:left w:val="nil"/>
              <w:bottom w:val="nil"/>
              <w:right w:val="nil"/>
            </w:tcBorders>
            <w:shd w:val="clear" w:color="auto" w:fill="auto"/>
            <w:noWrap/>
            <w:hideMark/>
          </w:tcPr>
          <w:p w14:paraId="2ABCCDDC"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69.6%</w:t>
            </w:r>
          </w:p>
        </w:tc>
        <w:tc>
          <w:tcPr>
            <w:tcW w:w="1485" w:type="dxa"/>
            <w:tcBorders>
              <w:top w:val="nil"/>
              <w:left w:val="nil"/>
              <w:bottom w:val="nil"/>
              <w:right w:val="nil"/>
            </w:tcBorders>
            <w:shd w:val="clear" w:color="auto" w:fill="auto"/>
            <w:noWrap/>
            <w:hideMark/>
          </w:tcPr>
          <w:p w14:paraId="28324764"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91.5%</w:t>
            </w:r>
          </w:p>
        </w:tc>
        <w:tc>
          <w:tcPr>
            <w:tcW w:w="1485" w:type="dxa"/>
            <w:tcBorders>
              <w:top w:val="nil"/>
              <w:left w:val="nil"/>
              <w:bottom w:val="nil"/>
              <w:right w:val="nil"/>
            </w:tcBorders>
            <w:shd w:val="clear" w:color="auto" w:fill="auto"/>
            <w:noWrap/>
            <w:hideMark/>
          </w:tcPr>
          <w:p w14:paraId="2BE99255" w14:textId="15912DFB" w:rsidR="006A16EE" w:rsidRPr="00091B01" w:rsidRDefault="00E24D5B"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w:t>
            </w:r>
          </w:p>
        </w:tc>
      </w:tr>
      <w:tr w:rsidR="006A16EE" w:rsidRPr="00D37B2D" w14:paraId="110EAC80" w14:textId="77777777" w:rsidTr="005C0414">
        <w:trPr>
          <w:trHeight w:val="20"/>
        </w:trPr>
        <w:tc>
          <w:tcPr>
            <w:tcW w:w="2356" w:type="dxa"/>
            <w:tcBorders>
              <w:top w:val="nil"/>
              <w:left w:val="nil"/>
              <w:bottom w:val="nil"/>
              <w:right w:val="nil"/>
            </w:tcBorders>
            <w:shd w:val="clear" w:color="auto" w:fill="auto"/>
            <w:noWrap/>
            <w:hideMark/>
          </w:tcPr>
          <w:p w14:paraId="17DFF049" w14:textId="77777777" w:rsidR="006A16EE" w:rsidRPr="00091B01" w:rsidRDefault="006A16EE" w:rsidP="00D768D6">
            <w:pPr>
              <w:spacing w:after="0" w:line="240" w:lineRule="auto"/>
              <w:rPr>
                <w:rFonts w:ascii="Calibri" w:hAnsi="Calibri"/>
                <w:color w:val="000000"/>
                <w:kern w:val="0"/>
                <w:sz w:val="18"/>
                <w:szCs w:val="18"/>
                <w14:ligatures w14:val="none"/>
              </w:rPr>
            </w:pPr>
            <w:r w:rsidRPr="00091B01">
              <w:rPr>
                <w:rFonts w:ascii="Calibri" w:hAnsi="Calibri"/>
                <w:color w:val="000000"/>
                <w:kern w:val="0"/>
                <w:sz w:val="18"/>
                <w:szCs w:val="18"/>
                <w14:ligatures w14:val="none"/>
              </w:rPr>
              <w:t xml:space="preserve">  Seasonal</w:t>
            </w:r>
          </w:p>
        </w:tc>
        <w:tc>
          <w:tcPr>
            <w:tcW w:w="1076" w:type="dxa"/>
            <w:tcBorders>
              <w:top w:val="nil"/>
              <w:left w:val="nil"/>
              <w:bottom w:val="nil"/>
              <w:right w:val="nil"/>
            </w:tcBorders>
            <w:shd w:val="clear" w:color="auto" w:fill="auto"/>
            <w:noWrap/>
            <w:hideMark/>
          </w:tcPr>
          <w:p w14:paraId="0511F14C" w14:textId="47BC2623" w:rsidR="006A16EE" w:rsidRPr="00091B01" w:rsidRDefault="006A16EE" w:rsidP="00D768D6">
            <w:pPr>
              <w:spacing w:after="0" w:line="240" w:lineRule="auto"/>
              <w:jc w:val="center"/>
              <w:rPr>
                <w:rFonts w:ascii="Calibri" w:hAnsi="Calibri"/>
                <w:color w:val="000000"/>
                <w:kern w:val="0"/>
                <w:sz w:val="18"/>
                <w:szCs w:val="18"/>
                <w14:ligatures w14:val="none"/>
              </w:rPr>
            </w:pPr>
            <w:r w:rsidRPr="00091B01">
              <w:rPr>
                <w:rFonts w:ascii="Calibri" w:hAnsi="Calibri"/>
                <w:color w:val="000000"/>
                <w:kern w:val="0"/>
                <w:sz w:val="18"/>
                <w:szCs w:val="18"/>
                <w14:ligatures w14:val="none"/>
              </w:rPr>
              <w:t>1615</w:t>
            </w:r>
          </w:p>
        </w:tc>
        <w:tc>
          <w:tcPr>
            <w:tcW w:w="1463" w:type="dxa"/>
            <w:tcBorders>
              <w:top w:val="nil"/>
              <w:left w:val="nil"/>
              <w:bottom w:val="nil"/>
              <w:right w:val="nil"/>
            </w:tcBorders>
            <w:shd w:val="clear" w:color="auto" w:fill="auto"/>
            <w:noWrap/>
            <w:hideMark/>
          </w:tcPr>
          <w:p w14:paraId="1C629CBF"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95.8%</w:t>
            </w:r>
          </w:p>
        </w:tc>
        <w:tc>
          <w:tcPr>
            <w:tcW w:w="1464" w:type="dxa"/>
            <w:tcBorders>
              <w:top w:val="nil"/>
              <w:left w:val="nil"/>
              <w:bottom w:val="nil"/>
              <w:right w:val="nil"/>
            </w:tcBorders>
            <w:shd w:val="clear" w:color="auto" w:fill="auto"/>
            <w:noWrap/>
            <w:hideMark/>
          </w:tcPr>
          <w:p w14:paraId="0E23FE57"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76.5%</w:t>
            </w:r>
          </w:p>
        </w:tc>
        <w:tc>
          <w:tcPr>
            <w:tcW w:w="1485" w:type="dxa"/>
            <w:tcBorders>
              <w:top w:val="nil"/>
              <w:left w:val="nil"/>
              <w:bottom w:val="nil"/>
              <w:right w:val="nil"/>
            </w:tcBorders>
            <w:shd w:val="clear" w:color="auto" w:fill="auto"/>
            <w:noWrap/>
            <w:hideMark/>
          </w:tcPr>
          <w:p w14:paraId="15E116DD"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96.5%</w:t>
            </w:r>
          </w:p>
        </w:tc>
        <w:tc>
          <w:tcPr>
            <w:tcW w:w="1485" w:type="dxa"/>
            <w:tcBorders>
              <w:top w:val="nil"/>
              <w:left w:val="nil"/>
              <w:bottom w:val="nil"/>
              <w:right w:val="nil"/>
            </w:tcBorders>
            <w:shd w:val="clear" w:color="auto" w:fill="auto"/>
            <w:noWrap/>
            <w:hideMark/>
          </w:tcPr>
          <w:p w14:paraId="7736EC28"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90.9%</w:t>
            </w:r>
          </w:p>
        </w:tc>
      </w:tr>
      <w:tr w:rsidR="006A16EE" w:rsidRPr="00D37B2D" w14:paraId="0B37EB99" w14:textId="77777777" w:rsidTr="005C0414">
        <w:trPr>
          <w:trHeight w:val="20"/>
        </w:trPr>
        <w:tc>
          <w:tcPr>
            <w:tcW w:w="2356" w:type="dxa"/>
            <w:tcBorders>
              <w:top w:val="nil"/>
              <w:left w:val="nil"/>
              <w:bottom w:val="single" w:sz="4" w:space="0" w:color="auto"/>
              <w:right w:val="nil"/>
            </w:tcBorders>
            <w:shd w:val="clear" w:color="auto" w:fill="auto"/>
            <w:noWrap/>
            <w:hideMark/>
          </w:tcPr>
          <w:p w14:paraId="7AFC689D" w14:textId="77777777" w:rsidR="006A16EE" w:rsidRPr="00091B01" w:rsidRDefault="006A16EE" w:rsidP="00D768D6">
            <w:pPr>
              <w:spacing w:after="0" w:line="240" w:lineRule="auto"/>
              <w:rPr>
                <w:rFonts w:ascii="Calibri" w:hAnsi="Calibri"/>
                <w:color w:val="000000"/>
                <w:kern w:val="0"/>
                <w:sz w:val="18"/>
                <w:szCs w:val="18"/>
                <w14:ligatures w14:val="none"/>
              </w:rPr>
            </w:pPr>
            <w:r w:rsidRPr="00091B01">
              <w:rPr>
                <w:rFonts w:ascii="Calibri" w:hAnsi="Calibri"/>
                <w:color w:val="000000"/>
                <w:kern w:val="0"/>
                <w:sz w:val="18"/>
                <w:szCs w:val="18"/>
                <w14:ligatures w14:val="none"/>
              </w:rPr>
              <w:t xml:space="preserve">  Low risk</w:t>
            </w:r>
          </w:p>
        </w:tc>
        <w:tc>
          <w:tcPr>
            <w:tcW w:w="1076" w:type="dxa"/>
            <w:tcBorders>
              <w:top w:val="nil"/>
              <w:left w:val="nil"/>
              <w:bottom w:val="nil"/>
              <w:right w:val="nil"/>
            </w:tcBorders>
            <w:shd w:val="clear" w:color="auto" w:fill="auto"/>
            <w:noWrap/>
            <w:hideMark/>
          </w:tcPr>
          <w:p w14:paraId="40463F21" w14:textId="180FDDB7" w:rsidR="006A16EE" w:rsidRPr="00091B01" w:rsidRDefault="006A16EE" w:rsidP="00D768D6">
            <w:pPr>
              <w:spacing w:after="0" w:line="240" w:lineRule="auto"/>
              <w:jc w:val="center"/>
              <w:rPr>
                <w:rFonts w:ascii="Calibri" w:hAnsi="Calibri"/>
                <w:color w:val="000000"/>
                <w:kern w:val="0"/>
                <w:sz w:val="18"/>
                <w:szCs w:val="18"/>
                <w14:ligatures w14:val="none"/>
              </w:rPr>
            </w:pPr>
            <w:r w:rsidRPr="00091B01">
              <w:rPr>
                <w:rFonts w:ascii="Calibri" w:hAnsi="Calibri"/>
                <w:color w:val="000000"/>
                <w:kern w:val="0"/>
                <w:sz w:val="18"/>
                <w:szCs w:val="18"/>
                <w14:ligatures w14:val="none"/>
              </w:rPr>
              <w:t>1660</w:t>
            </w:r>
          </w:p>
        </w:tc>
        <w:tc>
          <w:tcPr>
            <w:tcW w:w="1463" w:type="dxa"/>
            <w:tcBorders>
              <w:top w:val="nil"/>
              <w:left w:val="nil"/>
              <w:bottom w:val="single" w:sz="4" w:space="0" w:color="auto"/>
              <w:right w:val="nil"/>
            </w:tcBorders>
            <w:shd w:val="clear" w:color="auto" w:fill="auto"/>
            <w:noWrap/>
            <w:hideMark/>
          </w:tcPr>
          <w:p w14:paraId="61F0A4A3"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95.0%</w:t>
            </w:r>
          </w:p>
        </w:tc>
        <w:tc>
          <w:tcPr>
            <w:tcW w:w="1464" w:type="dxa"/>
            <w:tcBorders>
              <w:top w:val="nil"/>
              <w:left w:val="nil"/>
              <w:bottom w:val="single" w:sz="4" w:space="0" w:color="auto"/>
              <w:right w:val="nil"/>
            </w:tcBorders>
            <w:shd w:val="clear" w:color="auto" w:fill="auto"/>
            <w:noWrap/>
            <w:hideMark/>
          </w:tcPr>
          <w:p w14:paraId="67E8DE46"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87.9%</w:t>
            </w:r>
          </w:p>
        </w:tc>
        <w:tc>
          <w:tcPr>
            <w:tcW w:w="1485" w:type="dxa"/>
            <w:tcBorders>
              <w:top w:val="nil"/>
              <w:left w:val="nil"/>
              <w:bottom w:val="single" w:sz="4" w:space="0" w:color="auto"/>
              <w:right w:val="nil"/>
            </w:tcBorders>
            <w:shd w:val="clear" w:color="auto" w:fill="auto"/>
            <w:noWrap/>
            <w:hideMark/>
          </w:tcPr>
          <w:p w14:paraId="6BA41432"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91.7%</w:t>
            </w:r>
          </w:p>
        </w:tc>
        <w:tc>
          <w:tcPr>
            <w:tcW w:w="1485" w:type="dxa"/>
            <w:tcBorders>
              <w:top w:val="nil"/>
              <w:left w:val="nil"/>
              <w:bottom w:val="single" w:sz="4" w:space="0" w:color="auto"/>
              <w:right w:val="nil"/>
            </w:tcBorders>
            <w:shd w:val="clear" w:color="auto" w:fill="auto"/>
            <w:noWrap/>
            <w:hideMark/>
          </w:tcPr>
          <w:p w14:paraId="10A7AA2B" w14:textId="77777777" w:rsidR="006A16EE" w:rsidRPr="00091B01" w:rsidRDefault="006A16EE" w:rsidP="00D768D6">
            <w:pPr>
              <w:spacing w:after="0" w:line="240" w:lineRule="auto"/>
              <w:jc w:val="right"/>
              <w:rPr>
                <w:rFonts w:ascii="Calibri" w:hAnsi="Calibri"/>
                <w:color w:val="000000"/>
                <w:kern w:val="0"/>
                <w:sz w:val="18"/>
                <w:szCs w:val="18"/>
                <w14:ligatures w14:val="none"/>
              </w:rPr>
            </w:pPr>
            <w:r w:rsidRPr="00091B01">
              <w:rPr>
                <w:rFonts w:ascii="Calibri" w:hAnsi="Calibri"/>
                <w:color w:val="000000"/>
                <w:kern w:val="0"/>
                <w:sz w:val="18"/>
                <w:szCs w:val="18"/>
                <w14:ligatures w14:val="none"/>
              </w:rPr>
              <w:t>80.8%</w:t>
            </w:r>
          </w:p>
        </w:tc>
      </w:tr>
      <w:tr w:rsidR="006A16EE" w:rsidRPr="00D37B2D" w14:paraId="2B7E45F2" w14:textId="77777777" w:rsidTr="005C0414">
        <w:trPr>
          <w:trHeight w:val="20"/>
        </w:trPr>
        <w:tc>
          <w:tcPr>
            <w:tcW w:w="9329" w:type="dxa"/>
            <w:gridSpan w:val="6"/>
            <w:tcBorders>
              <w:top w:val="single" w:sz="4" w:space="0" w:color="auto"/>
              <w:left w:val="nil"/>
              <w:bottom w:val="single" w:sz="4" w:space="0" w:color="auto"/>
              <w:right w:val="nil"/>
            </w:tcBorders>
            <w:shd w:val="clear" w:color="auto" w:fill="auto"/>
            <w:hideMark/>
          </w:tcPr>
          <w:p w14:paraId="4B0E50BC" w14:textId="77777777" w:rsidR="005F18E9" w:rsidRPr="00091B01" w:rsidRDefault="006A16EE" w:rsidP="00D768D6">
            <w:pPr>
              <w:spacing w:after="0" w:line="240" w:lineRule="auto"/>
              <w:rPr>
                <w:rFonts w:ascii="Calibri" w:hAnsi="Calibri"/>
                <w:color w:val="000000"/>
                <w:kern w:val="0"/>
                <w:sz w:val="18"/>
                <w:szCs w:val="18"/>
                <w14:ligatures w14:val="none"/>
              </w:rPr>
            </w:pPr>
            <w:r w:rsidRPr="00091B01">
              <w:rPr>
                <w:rFonts w:ascii="Calibri" w:hAnsi="Calibri"/>
                <w:color w:val="000000"/>
                <w:kern w:val="0"/>
                <w:sz w:val="18"/>
                <w:szCs w:val="18"/>
                <w14:ligatures w14:val="none"/>
              </w:rPr>
              <w:t>* Total number of persons with acute febrile illness with a PCR test done by TaqMan Array Card.</w:t>
            </w:r>
          </w:p>
          <w:p w14:paraId="32BE0142" w14:textId="77777777" w:rsidR="00E24D5B" w:rsidRPr="00091B01" w:rsidRDefault="005F18E9" w:rsidP="00D768D6">
            <w:pPr>
              <w:spacing w:after="0" w:line="240" w:lineRule="auto"/>
              <w:rPr>
                <w:rFonts w:ascii="Calibri" w:hAnsi="Calibri"/>
                <w:color w:val="000000" w:themeColor="text1"/>
                <w:sz w:val="18"/>
                <w:szCs w:val="18"/>
              </w:rPr>
            </w:pPr>
            <w:r w:rsidRPr="00091B01">
              <w:rPr>
                <w:rFonts w:ascii="Calibri" w:hAnsi="Calibri"/>
                <w:color w:val="000000" w:themeColor="text1"/>
                <w:sz w:val="18"/>
                <w:szCs w:val="18"/>
              </w:rPr>
              <w:t xml:space="preserve">† Epidemic zones were defined as: Lake endemic (8): Bungoma, Busia, Homa Bay, Kakamega, Kisumu, Migori, Siaya, Vihiga; </w:t>
            </w:r>
            <w:r w:rsidRPr="00091B01">
              <w:rPr>
                <w:rFonts w:ascii="Calibri" w:hAnsi="Calibri"/>
                <w:i/>
                <w:color w:val="000000" w:themeColor="text1"/>
                <w:sz w:val="18"/>
                <w:szCs w:val="18"/>
              </w:rPr>
              <w:t>Coast endemic (5)</w:t>
            </w:r>
            <w:r w:rsidRPr="00091B01">
              <w:rPr>
                <w:rFonts w:ascii="Calibri" w:hAnsi="Calibri"/>
                <w:color w:val="000000" w:themeColor="text1"/>
                <w:sz w:val="18"/>
                <w:szCs w:val="18"/>
              </w:rPr>
              <w:t xml:space="preserve">: Kilifi, Kwale, Lamu, Mombasa, Taita Taveta; </w:t>
            </w:r>
            <w:r w:rsidRPr="00091B01">
              <w:rPr>
                <w:rFonts w:ascii="Calibri" w:hAnsi="Calibri"/>
                <w:i/>
                <w:color w:val="000000" w:themeColor="text1"/>
                <w:sz w:val="18"/>
                <w:szCs w:val="18"/>
              </w:rPr>
              <w:t>Highland epidemic prone (10)</w:t>
            </w:r>
            <w:r w:rsidRPr="00091B01">
              <w:rPr>
                <w:rFonts w:ascii="Calibri" w:hAnsi="Calibri"/>
                <w:color w:val="000000" w:themeColor="text1"/>
                <w:sz w:val="18"/>
                <w:szCs w:val="18"/>
              </w:rPr>
              <w:t xml:space="preserve">: Bomet, Elgeyo-Marakwet, Kericho, Kisii, Narok, Nandi, Nyamira, Trans Nzoia, Uasin Gishu, West Pokot; </w:t>
            </w:r>
            <w:r w:rsidRPr="00091B01">
              <w:rPr>
                <w:rFonts w:ascii="Calibri" w:hAnsi="Calibri"/>
                <w:i/>
                <w:color w:val="000000" w:themeColor="text1"/>
                <w:sz w:val="18"/>
                <w:szCs w:val="18"/>
              </w:rPr>
              <w:t>Seasonal (14)</w:t>
            </w:r>
            <w:r w:rsidRPr="00091B01">
              <w:rPr>
                <w:rFonts w:ascii="Calibri" w:hAnsi="Calibri"/>
                <w:color w:val="000000" w:themeColor="text1"/>
                <w:sz w:val="18"/>
                <w:szCs w:val="18"/>
              </w:rPr>
              <w:t xml:space="preserve">: Baringo, Embu, Garissa, Isiolo, Kajiado, Kitui, Mandera, Marsabit, Meru, Samburu, Tana River, Tharaka-Nithi, Turkana, Wajir; </w:t>
            </w:r>
            <w:r w:rsidRPr="00091B01">
              <w:rPr>
                <w:rFonts w:ascii="Calibri" w:hAnsi="Calibri"/>
                <w:i/>
                <w:color w:val="000000" w:themeColor="text1"/>
                <w:sz w:val="18"/>
                <w:szCs w:val="18"/>
              </w:rPr>
              <w:t>Low risk (10)</w:t>
            </w:r>
            <w:r w:rsidRPr="00091B01">
              <w:rPr>
                <w:rFonts w:ascii="Calibri" w:hAnsi="Calibri"/>
                <w:color w:val="000000" w:themeColor="text1"/>
                <w:sz w:val="18"/>
                <w:szCs w:val="18"/>
              </w:rPr>
              <w:t>: Kiambu, Kirinyaga, Laikipia, Machakos, Makueni, Murang’a, Nairobi, Nakuru, Nyandarua, Nyeri</w:t>
            </w:r>
          </w:p>
          <w:p w14:paraId="7B55F3FE" w14:textId="267CB540" w:rsidR="006A16EE" w:rsidRPr="00091B01" w:rsidRDefault="00E24D5B" w:rsidP="00D768D6">
            <w:pPr>
              <w:spacing w:after="0" w:line="240" w:lineRule="auto"/>
              <w:rPr>
                <w:rFonts w:ascii="Calibri" w:hAnsi="Calibri"/>
                <w:color w:val="000000"/>
                <w:kern w:val="0"/>
                <w:sz w:val="18"/>
                <w:szCs w:val="18"/>
                <w14:ligatures w14:val="none"/>
              </w:rPr>
            </w:pPr>
            <w:r w:rsidRPr="00091B01">
              <w:rPr>
                <w:rFonts w:ascii="Calibri" w:hAnsi="Calibri"/>
                <w:color w:val="000000" w:themeColor="text1"/>
                <w:sz w:val="18"/>
                <w:szCs w:val="18"/>
              </w:rPr>
              <w:t>** Only 2 mRDTs were formed in the highland epidemic prone zone during the study period</w:t>
            </w:r>
            <w:r w:rsidR="00D37B2D" w:rsidRPr="00091B01">
              <w:rPr>
                <w:rFonts w:ascii="Calibri" w:hAnsi="Calibri"/>
                <w:color w:val="000000" w:themeColor="text1"/>
                <w:sz w:val="18"/>
                <w:szCs w:val="18"/>
              </w:rPr>
              <w:t>.</w:t>
            </w:r>
            <w:r w:rsidR="006A16EE" w:rsidRPr="00091B01">
              <w:rPr>
                <w:rFonts w:ascii="Calibri" w:hAnsi="Calibri"/>
                <w:color w:val="000000"/>
                <w:kern w:val="0"/>
                <w:sz w:val="18"/>
                <w:szCs w:val="18"/>
                <w14:ligatures w14:val="none"/>
              </w:rPr>
              <w:br/>
              <w:t xml:space="preserve">PCR: polymerase chain reaction; </w:t>
            </w:r>
            <w:r w:rsidR="000E0825" w:rsidRPr="00091B01">
              <w:rPr>
                <w:rFonts w:ascii="Calibri" w:hAnsi="Calibri"/>
                <w:color w:val="000000"/>
                <w:kern w:val="0"/>
                <w:sz w:val="18"/>
                <w:szCs w:val="18"/>
                <w14:ligatures w14:val="none"/>
              </w:rPr>
              <w:t>m</w:t>
            </w:r>
            <w:r w:rsidR="006A16EE" w:rsidRPr="00091B01">
              <w:rPr>
                <w:rFonts w:ascii="Calibri" w:hAnsi="Calibri"/>
                <w:color w:val="000000"/>
                <w:kern w:val="0"/>
                <w:sz w:val="18"/>
                <w:szCs w:val="18"/>
                <w14:ligatures w14:val="none"/>
              </w:rPr>
              <w:t>RDT: rapid diagnostic test.</w:t>
            </w:r>
          </w:p>
        </w:tc>
      </w:tr>
    </w:tbl>
    <w:p w14:paraId="27870923" w14:textId="77777777" w:rsidR="312DD40C" w:rsidRDefault="312DD40C" w:rsidP="001407CA">
      <w:pPr>
        <w:spacing w:line="480" w:lineRule="auto"/>
      </w:pPr>
    </w:p>
    <w:p w14:paraId="4111088E" w14:textId="41172FB7" w:rsidR="004D3A88" w:rsidRDefault="009B368E" w:rsidP="001407CA">
      <w:pPr>
        <w:pStyle w:val="Heading2"/>
        <w:spacing w:line="480" w:lineRule="auto"/>
      </w:pPr>
      <w:r>
        <w:t>Adherence to Kenya malaria clinical guidelines for management of severe malaria</w:t>
      </w:r>
    </w:p>
    <w:p w14:paraId="119F9986" w14:textId="1976B82C" w:rsidR="00FE64BE" w:rsidRDefault="007A2B3E" w:rsidP="001407CA">
      <w:pPr>
        <w:spacing w:line="480" w:lineRule="auto"/>
        <w:ind w:firstLine="720"/>
      </w:pPr>
      <w:r>
        <w:t xml:space="preserve">Among </w:t>
      </w:r>
      <w:r w:rsidR="144A6780">
        <w:t>4,916</w:t>
      </w:r>
      <w:r w:rsidR="00781C7B">
        <w:t xml:space="preserve"> inpatients </w:t>
      </w:r>
      <w:r w:rsidR="144A6780">
        <w:t xml:space="preserve">who were tested for malaria with microscopy or mRDT as part of their routine </w:t>
      </w:r>
      <w:r w:rsidR="144A6780" w:rsidRPr="001134C6">
        <w:t>care, 2,0</w:t>
      </w:r>
      <w:r w:rsidR="0E6152F0" w:rsidRPr="001134C6">
        <w:t>94 (</w:t>
      </w:r>
      <w:r w:rsidR="77B077A2" w:rsidRPr="001134C6">
        <w:t>44.6%) tes</w:t>
      </w:r>
      <w:r w:rsidR="77B077A2">
        <w:t>ted malaria positive.</w:t>
      </w:r>
      <w:r w:rsidR="00D503BB">
        <w:t xml:space="preserve"> </w:t>
      </w:r>
      <w:r w:rsidR="5F2256EE">
        <w:t xml:space="preserve">Of these, </w:t>
      </w:r>
      <w:r>
        <w:t>1</w:t>
      </w:r>
      <w:r w:rsidR="495145EE">
        <w:t>,</w:t>
      </w:r>
      <w:r w:rsidR="57E92BAC">
        <w:t>8</w:t>
      </w:r>
      <w:r w:rsidR="65FF5B60">
        <w:t>4</w:t>
      </w:r>
      <w:r w:rsidR="1C975A0D">
        <w:t>7</w:t>
      </w:r>
      <w:r w:rsidR="00781C7B">
        <w:t xml:space="preserve"> </w:t>
      </w:r>
      <w:r w:rsidR="582549CA">
        <w:t xml:space="preserve">(91.7%) </w:t>
      </w:r>
      <w:r w:rsidR="412AD278">
        <w:t xml:space="preserve">had </w:t>
      </w:r>
      <w:r w:rsidR="00781C7B">
        <w:t>documentation of antimalarials given</w:t>
      </w:r>
      <w:r w:rsidR="00C74FE0">
        <w:t xml:space="preserve"> (Table 5)</w:t>
      </w:r>
      <w:r w:rsidR="783886CF">
        <w:t>.</w:t>
      </w:r>
      <w:r w:rsidR="00781C7B">
        <w:t xml:space="preserve"> </w:t>
      </w:r>
      <w:r w:rsidR="23EC1F12">
        <w:t>Two-hundred eight</w:t>
      </w:r>
      <w:r w:rsidR="432B3DB0">
        <w:t>y</w:t>
      </w:r>
      <w:r w:rsidR="23EC1F12">
        <w:t>-five</w:t>
      </w:r>
      <w:r w:rsidR="000763AF">
        <w:t xml:space="preserve"> (</w:t>
      </w:r>
      <w:r>
        <w:t>15.4</w:t>
      </w:r>
      <w:r w:rsidR="00B40B9E">
        <w:t>%</w:t>
      </w:r>
      <w:r w:rsidR="000763AF">
        <w:t>)</w:t>
      </w:r>
      <w:r w:rsidR="00B40B9E">
        <w:t xml:space="preserve"> received </w:t>
      </w:r>
      <w:r w:rsidR="00D3174B">
        <w:t xml:space="preserve">both </w:t>
      </w:r>
      <w:r w:rsidR="00B40B9E">
        <w:t xml:space="preserve">IV artesunate and </w:t>
      </w:r>
      <w:r w:rsidR="00D67886">
        <w:t xml:space="preserve">AL </w:t>
      </w:r>
      <w:r w:rsidR="003E1025">
        <w:t>per the national guidelines for treatment of severe malaria.</w:t>
      </w:r>
      <w:r w:rsidR="00F52059">
        <w:t xml:space="preserve"> </w:t>
      </w:r>
      <w:r w:rsidR="00426BB6">
        <w:t>The majority (63</w:t>
      </w:r>
      <w:r w:rsidR="492D33DD">
        <w:t>.0</w:t>
      </w:r>
      <w:r w:rsidR="00426BB6">
        <w:t xml:space="preserve">%) were documented to have </w:t>
      </w:r>
      <w:r w:rsidR="00426BB6">
        <w:lastRenderedPageBreak/>
        <w:t>only received artesunate</w:t>
      </w:r>
      <w:r w:rsidR="752B73C5">
        <w:t xml:space="preserve"> monotherapy</w:t>
      </w:r>
      <w:r w:rsidR="00426BB6">
        <w:t xml:space="preserve">. </w:t>
      </w:r>
      <w:r w:rsidR="00AF6B05">
        <w:t>Quinine was</w:t>
      </w:r>
      <w:r w:rsidR="005F6E56">
        <w:t xml:space="preserve"> used </w:t>
      </w:r>
      <w:r w:rsidR="00414528">
        <w:t xml:space="preserve">alone or in combination with artesunate or </w:t>
      </w:r>
      <w:r w:rsidR="00C375A9">
        <w:t xml:space="preserve">AL </w:t>
      </w:r>
      <w:r w:rsidR="00414528">
        <w:t>in 19</w:t>
      </w:r>
      <w:r w:rsidR="1CC0F883">
        <w:t>.0</w:t>
      </w:r>
      <w:r w:rsidR="00414528">
        <w:t>% of patients</w:t>
      </w:r>
      <w:r w:rsidR="006B2BA0">
        <w:t xml:space="preserve"> and </w:t>
      </w:r>
      <w:r w:rsidR="000F4375">
        <w:t xml:space="preserve">was primarily used in </w:t>
      </w:r>
      <w:r w:rsidR="004038E8">
        <w:t>a facility in Kakuma</w:t>
      </w:r>
      <w:r w:rsidR="00A95842">
        <w:t>,</w:t>
      </w:r>
      <w:r w:rsidR="002B5276">
        <w:t xml:space="preserve"> the site of a refugee camp</w:t>
      </w:r>
      <w:r w:rsidR="00ED3E08">
        <w:t>, in the seasonal malaria epidemic zone</w:t>
      </w:r>
      <w:r w:rsidR="00A95842">
        <w:t xml:space="preserve"> </w:t>
      </w:r>
      <w:r w:rsidR="000F4375">
        <w:t xml:space="preserve">(Table </w:t>
      </w:r>
      <w:r w:rsidR="00F05EDA">
        <w:t>6</w:t>
      </w:r>
      <w:r w:rsidR="39A86475">
        <w:t>)</w:t>
      </w:r>
      <w:r w:rsidR="002B5276">
        <w:t>.</w:t>
      </w:r>
      <w:r w:rsidR="000F4375">
        <w:t xml:space="preserve"> </w:t>
      </w:r>
      <w:r w:rsidR="00414528">
        <w:t xml:space="preserve"> </w:t>
      </w:r>
    </w:p>
    <w:p w14:paraId="3692BADA" w14:textId="73093CBC" w:rsidR="00961424" w:rsidRPr="0089130F" w:rsidRDefault="00961424" w:rsidP="00B673E2">
      <w:pPr>
        <w:pStyle w:val="Heading2"/>
        <w:spacing w:line="240" w:lineRule="auto"/>
        <w:rPr>
          <w:b/>
          <w:bCs/>
          <w:sz w:val="22"/>
          <w:szCs w:val="22"/>
        </w:rPr>
      </w:pPr>
      <w:r>
        <w:rPr>
          <w:b/>
          <w:bCs/>
          <w:sz w:val="22"/>
          <w:szCs w:val="22"/>
        </w:rPr>
        <w:t xml:space="preserve">Table </w:t>
      </w:r>
      <w:r w:rsidR="006C7673">
        <w:rPr>
          <w:b/>
          <w:bCs/>
          <w:sz w:val="22"/>
          <w:szCs w:val="22"/>
        </w:rPr>
        <w:t>5</w:t>
      </w:r>
      <w:r w:rsidRPr="0089130F">
        <w:rPr>
          <w:b/>
          <w:bCs/>
          <w:sz w:val="22"/>
          <w:szCs w:val="22"/>
        </w:rPr>
        <w:t xml:space="preserve">: </w:t>
      </w:r>
      <w:r>
        <w:rPr>
          <w:b/>
          <w:bCs/>
          <w:sz w:val="22"/>
          <w:szCs w:val="22"/>
        </w:rPr>
        <w:t xml:space="preserve">Antimalarials </w:t>
      </w:r>
      <w:r w:rsidR="00502CE3">
        <w:rPr>
          <w:b/>
          <w:bCs/>
          <w:sz w:val="22"/>
          <w:szCs w:val="22"/>
        </w:rPr>
        <w:t>documented as used among those with positive malaria test</w:t>
      </w:r>
    </w:p>
    <w:tbl>
      <w:tblPr>
        <w:tblW w:w="0" w:type="auto"/>
        <w:tblLayout w:type="fixed"/>
        <w:tblLook w:val="06A0" w:firstRow="1" w:lastRow="0" w:firstColumn="1" w:lastColumn="0" w:noHBand="1" w:noVBand="1"/>
      </w:tblPr>
      <w:tblGrid>
        <w:gridCol w:w="4040"/>
        <w:gridCol w:w="1660"/>
      </w:tblGrid>
      <w:tr w:rsidR="312DD40C" w:rsidRPr="00D37B2D" w14:paraId="618492A9" w14:textId="77777777" w:rsidTr="0054445B">
        <w:trPr>
          <w:trHeight w:val="20"/>
        </w:trPr>
        <w:tc>
          <w:tcPr>
            <w:tcW w:w="4040" w:type="dxa"/>
            <w:tcBorders>
              <w:top w:val="single" w:sz="4" w:space="0" w:color="auto"/>
              <w:left w:val="nil"/>
              <w:bottom w:val="single" w:sz="4" w:space="0" w:color="auto"/>
              <w:right w:val="nil"/>
            </w:tcBorders>
            <w:vAlign w:val="bottom"/>
          </w:tcPr>
          <w:p w14:paraId="6175DD1D" w14:textId="72780270" w:rsidR="312DD40C" w:rsidRPr="00091B01" w:rsidRDefault="312DD40C" w:rsidP="00B673E2">
            <w:pPr>
              <w:spacing w:after="0" w:line="240" w:lineRule="auto"/>
              <w:rPr>
                <w:rFonts w:ascii="Calibri" w:eastAsia="Calibri" w:hAnsi="Calibri" w:cs="Calibri"/>
                <w:color w:val="000000" w:themeColor="text1"/>
                <w:sz w:val="18"/>
                <w:szCs w:val="18"/>
              </w:rPr>
            </w:pPr>
            <w:r w:rsidRPr="00091B01">
              <w:rPr>
                <w:rFonts w:ascii="Calibri" w:eastAsia="Calibri" w:hAnsi="Calibri" w:cs="Calibri"/>
                <w:color w:val="000000" w:themeColor="text1"/>
                <w:sz w:val="18"/>
                <w:szCs w:val="18"/>
              </w:rPr>
              <w:t>Antimalarial(s)</w:t>
            </w:r>
          </w:p>
        </w:tc>
        <w:tc>
          <w:tcPr>
            <w:tcW w:w="1660" w:type="dxa"/>
            <w:tcBorders>
              <w:top w:val="single" w:sz="4" w:space="0" w:color="auto"/>
              <w:left w:val="nil"/>
              <w:bottom w:val="single" w:sz="4" w:space="0" w:color="auto"/>
              <w:right w:val="nil"/>
            </w:tcBorders>
            <w:vAlign w:val="center"/>
          </w:tcPr>
          <w:p w14:paraId="3ABB444C" w14:textId="7720D39E" w:rsidR="312DD40C" w:rsidRPr="00091B01" w:rsidRDefault="312DD40C" w:rsidP="00B673E2">
            <w:pPr>
              <w:spacing w:after="0" w:line="240" w:lineRule="auto"/>
              <w:jc w:val="center"/>
              <w:rPr>
                <w:rFonts w:ascii="Calibri" w:eastAsia="Calibri" w:hAnsi="Calibri" w:cs="Calibri"/>
                <w:color w:val="000000" w:themeColor="text1"/>
                <w:sz w:val="18"/>
                <w:szCs w:val="18"/>
              </w:rPr>
            </w:pPr>
            <w:r w:rsidRPr="00091B01">
              <w:rPr>
                <w:rFonts w:ascii="Calibri" w:eastAsia="Calibri" w:hAnsi="Calibri" w:cs="Calibri"/>
                <w:color w:val="000000" w:themeColor="text1"/>
                <w:sz w:val="18"/>
                <w:szCs w:val="18"/>
              </w:rPr>
              <w:t>**N = 1847**</w:t>
            </w:r>
          </w:p>
        </w:tc>
      </w:tr>
      <w:tr w:rsidR="312DD40C" w:rsidRPr="00D37B2D" w14:paraId="0ED4B828" w14:textId="77777777" w:rsidTr="0054445B">
        <w:trPr>
          <w:trHeight w:val="20"/>
        </w:trPr>
        <w:tc>
          <w:tcPr>
            <w:tcW w:w="4040" w:type="dxa"/>
            <w:tcBorders>
              <w:top w:val="single" w:sz="4" w:space="0" w:color="auto"/>
              <w:left w:val="nil"/>
              <w:bottom w:val="nil"/>
              <w:right w:val="nil"/>
            </w:tcBorders>
            <w:vAlign w:val="bottom"/>
          </w:tcPr>
          <w:p w14:paraId="2BCD864F" w14:textId="4C165123" w:rsidR="312DD40C" w:rsidRPr="00091B01" w:rsidRDefault="312DD40C" w:rsidP="00B673E2">
            <w:pPr>
              <w:spacing w:after="0" w:line="240" w:lineRule="auto"/>
              <w:rPr>
                <w:rFonts w:ascii="Calibri" w:eastAsia="Calibri" w:hAnsi="Calibri" w:cs="Calibri"/>
                <w:color w:val="000000" w:themeColor="text1"/>
                <w:sz w:val="18"/>
                <w:szCs w:val="18"/>
              </w:rPr>
            </w:pPr>
            <w:r w:rsidRPr="00091B01">
              <w:rPr>
                <w:rFonts w:ascii="Calibri" w:eastAsia="Calibri" w:hAnsi="Calibri" w:cs="Calibri"/>
                <w:color w:val="000000" w:themeColor="text1"/>
                <w:sz w:val="18"/>
                <w:szCs w:val="18"/>
              </w:rPr>
              <w:t>Artesunate therapy</w:t>
            </w:r>
          </w:p>
        </w:tc>
        <w:tc>
          <w:tcPr>
            <w:tcW w:w="1660" w:type="dxa"/>
            <w:tcBorders>
              <w:top w:val="single" w:sz="4" w:space="0" w:color="auto"/>
              <w:left w:val="nil"/>
              <w:bottom w:val="nil"/>
              <w:right w:val="nil"/>
            </w:tcBorders>
          </w:tcPr>
          <w:p w14:paraId="6551D4B8" w14:textId="1F5E3587" w:rsidR="312DD40C" w:rsidRPr="00091B01" w:rsidRDefault="312DD40C" w:rsidP="00B673E2">
            <w:pPr>
              <w:spacing w:line="240" w:lineRule="auto"/>
              <w:rPr>
                <w:sz w:val="18"/>
                <w:szCs w:val="18"/>
              </w:rPr>
            </w:pPr>
          </w:p>
        </w:tc>
      </w:tr>
      <w:tr w:rsidR="312DD40C" w:rsidRPr="00D37B2D" w14:paraId="2D648685" w14:textId="77777777" w:rsidTr="0054445B">
        <w:trPr>
          <w:trHeight w:val="20"/>
        </w:trPr>
        <w:tc>
          <w:tcPr>
            <w:tcW w:w="4040" w:type="dxa"/>
            <w:tcBorders>
              <w:top w:val="nil"/>
              <w:left w:val="nil"/>
              <w:bottom w:val="nil"/>
              <w:right w:val="nil"/>
            </w:tcBorders>
            <w:vAlign w:val="bottom"/>
          </w:tcPr>
          <w:p w14:paraId="7131DD3F" w14:textId="5AEA7956" w:rsidR="312DD40C" w:rsidRPr="00091B01" w:rsidRDefault="312DD40C" w:rsidP="00B673E2">
            <w:pPr>
              <w:spacing w:after="0" w:line="240" w:lineRule="auto"/>
              <w:rPr>
                <w:rFonts w:ascii="Calibri" w:eastAsia="Calibri" w:hAnsi="Calibri" w:cs="Calibri"/>
                <w:color w:val="000000" w:themeColor="text1"/>
                <w:sz w:val="18"/>
                <w:szCs w:val="18"/>
              </w:rPr>
            </w:pPr>
            <w:r w:rsidRPr="00091B01">
              <w:rPr>
                <w:rFonts w:ascii="Calibri" w:eastAsia="Calibri" w:hAnsi="Calibri" w:cs="Calibri"/>
                <w:color w:val="000000" w:themeColor="text1"/>
                <w:sz w:val="18"/>
                <w:szCs w:val="18"/>
              </w:rPr>
              <w:t xml:space="preserve">   Monotherapy</w:t>
            </w:r>
          </w:p>
        </w:tc>
        <w:tc>
          <w:tcPr>
            <w:tcW w:w="1660" w:type="dxa"/>
            <w:tcBorders>
              <w:top w:val="nil"/>
              <w:left w:val="nil"/>
              <w:bottom w:val="nil"/>
              <w:right w:val="nil"/>
            </w:tcBorders>
          </w:tcPr>
          <w:p w14:paraId="36690EC1" w14:textId="18C2FFF0" w:rsidR="312DD40C" w:rsidRPr="00091B01" w:rsidRDefault="312DD40C" w:rsidP="00B673E2">
            <w:pPr>
              <w:spacing w:after="0" w:line="240" w:lineRule="auto"/>
              <w:jc w:val="right"/>
              <w:rPr>
                <w:rFonts w:ascii="Calibri" w:eastAsia="Calibri" w:hAnsi="Calibri" w:cs="Calibri"/>
                <w:color w:val="000000" w:themeColor="text1"/>
                <w:sz w:val="18"/>
                <w:szCs w:val="18"/>
              </w:rPr>
            </w:pPr>
            <w:r w:rsidRPr="00091B01">
              <w:rPr>
                <w:rFonts w:ascii="Calibri" w:eastAsia="Calibri" w:hAnsi="Calibri" w:cs="Calibri"/>
                <w:color w:val="000000" w:themeColor="text1"/>
                <w:sz w:val="18"/>
                <w:szCs w:val="18"/>
              </w:rPr>
              <w:t>1164 (63.0%)</w:t>
            </w:r>
          </w:p>
        </w:tc>
      </w:tr>
      <w:tr w:rsidR="312DD40C" w:rsidRPr="00D37B2D" w14:paraId="100C5F68" w14:textId="77777777" w:rsidTr="0054445B">
        <w:trPr>
          <w:trHeight w:val="20"/>
        </w:trPr>
        <w:tc>
          <w:tcPr>
            <w:tcW w:w="4040" w:type="dxa"/>
            <w:tcBorders>
              <w:top w:val="nil"/>
              <w:left w:val="nil"/>
              <w:bottom w:val="nil"/>
              <w:right w:val="nil"/>
            </w:tcBorders>
            <w:vAlign w:val="bottom"/>
          </w:tcPr>
          <w:p w14:paraId="7CBA1E83" w14:textId="5AAC911E" w:rsidR="312DD40C" w:rsidRPr="00091B01" w:rsidRDefault="312DD40C" w:rsidP="00B673E2">
            <w:pPr>
              <w:spacing w:after="0" w:line="240" w:lineRule="auto"/>
              <w:rPr>
                <w:rFonts w:ascii="Calibri" w:eastAsia="Calibri" w:hAnsi="Calibri" w:cs="Calibri"/>
                <w:color w:val="000000" w:themeColor="text1"/>
                <w:sz w:val="18"/>
                <w:szCs w:val="18"/>
              </w:rPr>
            </w:pPr>
            <w:r w:rsidRPr="00091B01">
              <w:rPr>
                <w:rFonts w:ascii="Calibri" w:eastAsia="Calibri" w:hAnsi="Calibri" w:cs="Calibri"/>
                <w:color w:val="000000" w:themeColor="text1"/>
                <w:sz w:val="18"/>
                <w:szCs w:val="18"/>
              </w:rPr>
              <w:t xml:space="preserve">   + </w:t>
            </w:r>
            <w:r w:rsidR="00C375A9" w:rsidRPr="00091B01">
              <w:rPr>
                <w:rFonts w:ascii="Calibri" w:eastAsia="Calibri" w:hAnsi="Calibri" w:cs="Calibri"/>
                <w:color w:val="000000" w:themeColor="text1"/>
                <w:sz w:val="18"/>
                <w:szCs w:val="18"/>
              </w:rPr>
              <w:t>Artemether-lumefantrine (AL)</w:t>
            </w:r>
          </w:p>
        </w:tc>
        <w:tc>
          <w:tcPr>
            <w:tcW w:w="1660" w:type="dxa"/>
            <w:tcBorders>
              <w:top w:val="nil"/>
              <w:left w:val="nil"/>
              <w:bottom w:val="nil"/>
              <w:right w:val="nil"/>
            </w:tcBorders>
          </w:tcPr>
          <w:p w14:paraId="5E8D487D" w14:textId="4E41DEF7" w:rsidR="312DD40C" w:rsidRPr="00091B01" w:rsidRDefault="312DD40C" w:rsidP="00B673E2">
            <w:pPr>
              <w:spacing w:after="0" w:line="240" w:lineRule="auto"/>
              <w:jc w:val="right"/>
              <w:rPr>
                <w:rFonts w:ascii="Calibri" w:eastAsia="Calibri" w:hAnsi="Calibri" w:cs="Calibri"/>
                <w:color w:val="000000" w:themeColor="text1"/>
                <w:sz w:val="18"/>
                <w:szCs w:val="18"/>
              </w:rPr>
            </w:pPr>
            <w:r w:rsidRPr="00091B01">
              <w:rPr>
                <w:rFonts w:ascii="Calibri" w:eastAsia="Calibri" w:hAnsi="Calibri" w:cs="Calibri"/>
                <w:color w:val="000000" w:themeColor="text1"/>
                <w:sz w:val="18"/>
                <w:szCs w:val="18"/>
              </w:rPr>
              <w:t>285 (15.4%)</w:t>
            </w:r>
          </w:p>
        </w:tc>
      </w:tr>
      <w:tr w:rsidR="312DD40C" w:rsidRPr="00D37B2D" w14:paraId="57EC13D5" w14:textId="77777777" w:rsidTr="0054445B">
        <w:trPr>
          <w:trHeight w:val="20"/>
        </w:trPr>
        <w:tc>
          <w:tcPr>
            <w:tcW w:w="4040" w:type="dxa"/>
            <w:tcBorders>
              <w:top w:val="nil"/>
              <w:left w:val="nil"/>
              <w:bottom w:val="nil"/>
              <w:right w:val="nil"/>
            </w:tcBorders>
            <w:vAlign w:val="bottom"/>
          </w:tcPr>
          <w:p w14:paraId="10DFBEAF" w14:textId="5C0F956F" w:rsidR="312DD40C" w:rsidRPr="00091B01" w:rsidRDefault="312DD40C" w:rsidP="00B673E2">
            <w:pPr>
              <w:spacing w:after="0" w:line="240" w:lineRule="auto"/>
              <w:rPr>
                <w:rFonts w:ascii="Calibri" w:eastAsia="Calibri" w:hAnsi="Calibri" w:cs="Calibri"/>
                <w:color w:val="000000" w:themeColor="text1"/>
                <w:sz w:val="18"/>
                <w:szCs w:val="18"/>
              </w:rPr>
            </w:pPr>
            <w:r w:rsidRPr="00091B01">
              <w:rPr>
                <w:rFonts w:ascii="Calibri" w:eastAsia="Calibri" w:hAnsi="Calibri" w:cs="Calibri"/>
                <w:color w:val="000000" w:themeColor="text1"/>
                <w:sz w:val="18"/>
                <w:szCs w:val="18"/>
              </w:rPr>
              <w:t xml:space="preserve">   + Quinine</w:t>
            </w:r>
          </w:p>
        </w:tc>
        <w:tc>
          <w:tcPr>
            <w:tcW w:w="1660" w:type="dxa"/>
            <w:tcBorders>
              <w:top w:val="nil"/>
              <w:left w:val="nil"/>
              <w:bottom w:val="nil"/>
              <w:right w:val="nil"/>
            </w:tcBorders>
          </w:tcPr>
          <w:p w14:paraId="43664F52" w14:textId="2A83BB3C" w:rsidR="312DD40C" w:rsidRPr="00091B01" w:rsidRDefault="312DD40C" w:rsidP="00B673E2">
            <w:pPr>
              <w:spacing w:after="0" w:line="240" w:lineRule="auto"/>
              <w:jc w:val="right"/>
              <w:rPr>
                <w:rFonts w:ascii="Calibri" w:eastAsia="Calibri" w:hAnsi="Calibri" w:cs="Calibri"/>
                <w:color w:val="000000" w:themeColor="text1"/>
                <w:sz w:val="18"/>
                <w:szCs w:val="18"/>
              </w:rPr>
            </w:pPr>
            <w:r w:rsidRPr="00091B01">
              <w:rPr>
                <w:rFonts w:ascii="Calibri" w:eastAsia="Calibri" w:hAnsi="Calibri" w:cs="Calibri"/>
                <w:color w:val="000000" w:themeColor="text1"/>
                <w:sz w:val="18"/>
                <w:szCs w:val="18"/>
              </w:rPr>
              <w:t>15 (0.8%)</w:t>
            </w:r>
          </w:p>
        </w:tc>
      </w:tr>
      <w:tr w:rsidR="312DD40C" w:rsidRPr="00D37B2D" w14:paraId="6E55BC53" w14:textId="77777777" w:rsidTr="0054445B">
        <w:trPr>
          <w:trHeight w:val="20"/>
        </w:trPr>
        <w:tc>
          <w:tcPr>
            <w:tcW w:w="4040" w:type="dxa"/>
            <w:tcBorders>
              <w:top w:val="nil"/>
              <w:left w:val="nil"/>
              <w:bottom w:val="nil"/>
              <w:right w:val="nil"/>
            </w:tcBorders>
            <w:vAlign w:val="bottom"/>
          </w:tcPr>
          <w:p w14:paraId="4BB54DBD" w14:textId="4DBE0EB3" w:rsidR="312DD40C" w:rsidRPr="00091B01" w:rsidRDefault="312DD40C" w:rsidP="00B673E2">
            <w:pPr>
              <w:spacing w:after="0" w:line="240" w:lineRule="auto"/>
              <w:rPr>
                <w:rFonts w:ascii="Calibri" w:eastAsia="Calibri" w:hAnsi="Calibri" w:cs="Calibri"/>
                <w:color w:val="000000" w:themeColor="text1"/>
                <w:sz w:val="18"/>
                <w:szCs w:val="18"/>
              </w:rPr>
            </w:pPr>
            <w:r w:rsidRPr="00091B01">
              <w:rPr>
                <w:rFonts w:ascii="Calibri" w:eastAsia="Calibri" w:hAnsi="Calibri" w:cs="Calibri"/>
                <w:color w:val="000000" w:themeColor="text1"/>
                <w:sz w:val="18"/>
                <w:szCs w:val="18"/>
              </w:rPr>
              <w:t xml:space="preserve">   + </w:t>
            </w:r>
            <w:r w:rsidR="00C375A9" w:rsidRPr="00091B01">
              <w:rPr>
                <w:rFonts w:ascii="Calibri" w:eastAsia="Calibri" w:hAnsi="Calibri" w:cs="Calibri"/>
                <w:color w:val="000000" w:themeColor="text1"/>
                <w:sz w:val="18"/>
                <w:szCs w:val="18"/>
              </w:rPr>
              <w:t xml:space="preserve">AL </w:t>
            </w:r>
            <w:r w:rsidRPr="00091B01">
              <w:rPr>
                <w:rFonts w:ascii="Calibri" w:eastAsia="Calibri" w:hAnsi="Calibri" w:cs="Calibri"/>
                <w:color w:val="000000" w:themeColor="text1"/>
                <w:sz w:val="18"/>
                <w:szCs w:val="18"/>
              </w:rPr>
              <w:t>and Quinine</w:t>
            </w:r>
          </w:p>
        </w:tc>
        <w:tc>
          <w:tcPr>
            <w:tcW w:w="1660" w:type="dxa"/>
            <w:tcBorders>
              <w:top w:val="nil"/>
              <w:left w:val="nil"/>
              <w:bottom w:val="nil"/>
              <w:right w:val="nil"/>
            </w:tcBorders>
          </w:tcPr>
          <w:p w14:paraId="7EE137C6" w14:textId="4F846358" w:rsidR="312DD40C" w:rsidRPr="00091B01" w:rsidRDefault="312DD40C" w:rsidP="00B673E2">
            <w:pPr>
              <w:spacing w:after="0" w:line="240" w:lineRule="auto"/>
              <w:jc w:val="right"/>
              <w:rPr>
                <w:rFonts w:ascii="Calibri" w:eastAsia="Calibri" w:hAnsi="Calibri" w:cs="Calibri"/>
                <w:color w:val="000000" w:themeColor="text1"/>
                <w:sz w:val="18"/>
                <w:szCs w:val="18"/>
              </w:rPr>
            </w:pPr>
            <w:r w:rsidRPr="00091B01">
              <w:rPr>
                <w:rFonts w:ascii="Calibri" w:eastAsia="Calibri" w:hAnsi="Calibri" w:cs="Calibri"/>
                <w:color w:val="000000" w:themeColor="text1"/>
                <w:sz w:val="18"/>
                <w:szCs w:val="18"/>
              </w:rPr>
              <w:t>15 (0.8%)</w:t>
            </w:r>
          </w:p>
        </w:tc>
      </w:tr>
      <w:tr w:rsidR="312DD40C" w:rsidRPr="00D37B2D" w14:paraId="38973302" w14:textId="77777777" w:rsidTr="0054445B">
        <w:trPr>
          <w:trHeight w:val="20"/>
        </w:trPr>
        <w:tc>
          <w:tcPr>
            <w:tcW w:w="4040" w:type="dxa"/>
            <w:tcBorders>
              <w:top w:val="nil"/>
              <w:left w:val="nil"/>
              <w:bottom w:val="nil"/>
              <w:right w:val="nil"/>
            </w:tcBorders>
            <w:vAlign w:val="bottom"/>
          </w:tcPr>
          <w:p w14:paraId="607F1712" w14:textId="5E6F3101" w:rsidR="312DD40C" w:rsidRPr="00091B01" w:rsidRDefault="312DD40C" w:rsidP="00B673E2">
            <w:pPr>
              <w:spacing w:after="0" w:line="240" w:lineRule="auto"/>
              <w:rPr>
                <w:rFonts w:ascii="Calibri" w:eastAsia="Calibri" w:hAnsi="Calibri" w:cs="Calibri"/>
                <w:color w:val="000000" w:themeColor="text1"/>
                <w:sz w:val="18"/>
                <w:szCs w:val="18"/>
              </w:rPr>
            </w:pPr>
            <w:r w:rsidRPr="00091B01">
              <w:rPr>
                <w:rFonts w:ascii="Calibri" w:eastAsia="Calibri" w:hAnsi="Calibri" w:cs="Calibri"/>
                <w:color w:val="000000" w:themeColor="text1"/>
                <w:sz w:val="18"/>
                <w:szCs w:val="18"/>
              </w:rPr>
              <w:t>Quinine therapy</w:t>
            </w:r>
          </w:p>
        </w:tc>
        <w:tc>
          <w:tcPr>
            <w:tcW w:w="1660" w:type="dxa"/>
            <w:tcBorders>
              <w:top w:val="nil"/>
              <w:left w:val="nil"/>
              <w:bottom w:val="nil"/>
              <w:right w:val="nil"/>
            </w:tcBorders>
          </w:tcPr>
          <w:p w14:paraId="35D973F0" w14:textId="4B8C1745" w:rsidR="312DD40C" w:rsidRPr="00091B01" w:rsidRDefault="312DD40C" w:rsidP="00B673E2">
            <w:pPr>
              <w:spacing w:line="240" w:lineRule="auto"/>
              <w:rPr>
                <w:sz w:val="18"/>
                <w:szCs w:val="18"/>
              </w:rPr>
            </w:pPr>
          </w:p>
        </w:tc>
      </w:tr>
      <w:tr w:rsidR="312DD40C" w:rsidRPr="00D37B2D" w14:paraId="123BBE8A" w14:textId="77777777" w:rsidTr="0054445B">
        <w:trPr>
          <w:trHeight w:val="20"/>
        </w:trPr>
        <w:tc>
          <w:tcPr>
            <w:tcW w:w="4040" w:type="dxa"/>
            <w:tcBorders>
              <w:top w:val="nil"/>
              <w:left w:val="nil"/>
              <w:bottom w:val="nil"/>
              <w:right w:val="nil"/>
            </w:tcBorders>
            <w:vAlign w:val="bottom"/>
          </w:tcPr>
          <w:p w14:paraId="1BDA5120" w14:textId="4A1F363A" w:rsidR="312DD40C" w:rsidRPr="00091B01" w:rsidRDefault="312DD40C" w:rsidP="00B673E2">
            <w:pPr>
              <w:spacing w:after="0" w:line="240" w:lineRule="auto"/>
              <w:rPr>
                <w:rFonts w:ascii="Calibri" w:eastAsia="Calibri" w:hAnsi="Calibri" w:cs="Calibri"/>
                <w:color w:val="000000" w:themeColor="text1"/>
                <w:sz w:val="18"/>
                <w:szCs w:val="18"/>
              </w:rPr>
            </w:pPr>
            <w:r w:rsidRPr="00091B01">
              <w:rPr>
                <w:rFonts w:ascii="Calibri" w:eastAsia="Calibri" w:hAnsi="Calibri" w:cs="Calibri"/>
                <w:color w:val="000000" w:themeColor="text1"/>
                <w:sz w:val="18"/>
                <w:szCs w:val="18"/>
              </w:rPr>
              <w:t xml:space="preserve">   Monotherapy</w:t>
            </w:r>
          </w:p>
        </w:tc>
        <w:tc>
          <w:tcPr>
            <w:tcW w:w="1660" w:type="dxa"/>
            <w:tcBorders>
              <w:top w:val="nil"/>
              <w:left w:val="nil"/>
              <w:bottom w:val="nil"/>
              <w:right w:val="nil"/>
            </w:tcBorders>
          </w:tcPr>
          <w:p w14:paraId="3F552695" w14:textId="3ACCCE57" w:rsidR="312DD40C" w:rsidRPr="00091B01" w:rsidRDefault="312DD40C" w:rsidP="00B673E2">
            <w:pPr>
              <w:spacing w:after="0" w:line="240" w:lineRule="auto"/>
              <w:jc w:val="right"/>
              <w:rPr>
                <w:rFonts w:ascii="Calibri" w:eastAsia="Calibri" w:hAnsi="Calibri" w:cs="Calibri"/>
                <w:color w:val="000000" w:themeColor="text1"/>
                <w:sz w:val="18"/>
                <w:szCs w:val="18"/>
              </w:rPr>
            </w:pPr>
            <w:r w:rsidRPr="00091B01">
              <w:rPr>
                <w:rFonts w:ascii="Calibri" w:eastAsia="Calibri" w:hAnsi="Calibri" w:cs="Calibri"/>
                <w:color w:val="000000" w:themeColor="text1"/>
                <w:sz w:val="18"/>
                <w:szCs w:val="18"/>
              </w:rPr>
              <w:t>128 (6.9%)</w:t>
            </w:r>
          </w:p>
        </w:tc>
      </w:tr>
      <w:tr w:rsidR="312DD40C" w:rsidRPr="00D37B2D" w14:paraId="7953E3A8" w14:textId="77777777" w:rsidTr="0054445B">
        <w:trPr>
          <w:trHeight w:val="20"/>
        </w:trPr>
        <w:tc>
          <w:tcPr>
            <w:tcW w:w="4040" w:type="dxa"/>
            <w:tcBorders>
              <w:top w:val="nil"/>
              <w:left w:val="nil"/>
              <w:bottom w:val="nil"/>
              <w:right w:val="nil"/>
            </w:tcBorders>
            <w:vAlign w:val="bottom"/>
          </w:tcPr>
          <w:p w14:paraId="7007B206" w14:textId="6486E255" w:rsidR="312DD40C" w:rsidRPr="00091B01" w:rsidRDefault="312DD40C" w:rsidP="00B673E2">
            <w:pPr>
              <w:spacing w:after="0" w:line="240" w:lineRule="auto"/>
              <w:rPr>
                <w:rFonts w:ascii="Calibri" w:eastAsia="Calibri" w:hAnsi="Calibri" w:cs="Calibri"/>
                <w:color w:val="000000" w:themeColor="text1"/>
                <w:sz w:val="18"/>
                <w:szCs w:val="18"/>
              </w:rPr>
            </w:pPr>
            <w:r w:rsidRPr="00091B01">
              <w:rPr>
                <w:rFonts w:ascii="Calibri" w:eastAsia="Calibri" w:hAnsi="Calibri" w:cs="Calibri"/>
                <w:color w:val="000000" w:themeColor="text1"/>
                <w:sz w:val="18"/>
                <w:szCs w:val="18"/>
              </w:rPr>
              <w:t xml:space="preserve">   + </w:t>
            </w:r>
            <w:r w:rsidR="005712B0" w:rsidRPr="00091B01">
              <w:rPr>
                <w:rFonts w:ascii="Calibri" w:eastAsia="Calibri" w:hAnsi="Calibri" w:cs="Calibri"/>
                <w:color w:val="000000" w:themeColor="text1"/>
                <w:sz w:val="18"/>
                <w:szCs w:val="18"/>
              </w:rPr>
              <w:t>AL</w:t>
            </w:r>
          </w:p>
        </w:tc>
        <w:tc>
          <w:tcPr>
            <w:tcW w:w="1660" w:type="dxa"/>
            <w:tcBorders>
              <w:top w:val="nil"/>
              <w:left w:val="nil"/>
              <w:bottom w:val="nil"/>
              <w:right w:val="nil"/>
            </w:tcBorders>
          </w:tcPr>
          <w:p w14:paraId="5D9AD462" w14:textId="4D8FD2FF" w:rsidR="312DD40C" w:rsidRPr="00091B01" w:rsidRDefault="312DD40C" w:rsidP="00B673E2">
            <w:pPr>
              <w:spacing w:after="0" w:line="240" w:lineRule="auto"/>
              <w:jc w:val="right"/>
              <w:rPr>
                <w:rFonts w:ascii="Calibri" w:eastAsia="Calibri" w:hAnsi="Calibri" w:cs="Calibri"/>
                <w:color w:val="000000" w:themeColor="text1"/>
                <w:sz w:val="18"/>
                <w:szCs w:val="18"/>
              </w:rPr>
            </w:pPr>
            <w:r w:rsidRPr="00091B01">
              <w:rPr>
                <w:rFonts w:ascii="Calibri" w:eastAsia="Calibri" w:hAnsi="Calibri" w:cs="Calibri"/>
                <w:color w:val="000000" w:themeColor="text1"/>
                <w:sz w:val="18"/>
                <w:szCs w:val="18"/>
              </w:rPr>
              <w:t>193 (10.4%)</w:t>
            </w:r>
          </w:p>
        </w:tc>
      </w:tr>
      <w:tr w:rsidR="312DD40C" w:rsidRPr="00D37B2D" w14:paraId="7A3E9422" w14:textId="77777777" w:rsidTr="0054445B">
        <w:trPr>
          <w:trHeight w:val="20"/>
        </w:trPr>
        <w:tc>
          <w:tcPr>
            <w:tcW w:w="4040" w:type="dxa"/>
            <w:tcBorders>
              <w:top w:val="nil"/>
              <w:left w:val="nil"/>
              <w:bottom w:val="nil"/>
              <w:right w:val="nil"/>
            </w:tcBorders>
            <w:vAlign w:val="bottom"/>
          </w:tcPr>
          <w:p w14:paraId="386FFB4B" w14:textId="77BE1221" w:rsidR="312DD40C" w:rsidRPr="00091B01" w:rsidRDefault="005712B0" w:rsidP="00B673E2">
            <w:pPr>
              <w:spacing w:after="0" w:line="240" w:lineRule="auto"/>
              <w:rPr>
                <w:rFonts w:ascii="Calibri" w:eastAsia="Calibri" w:hAnsi="Calibri" w:cs="Calibri"/>
                <w:color w:val="000000" w:themeColor="text1"/>
                <w:sz w:val="18"/>
                <w:szCs w:val="18"/>
              </w:rPr>
            </w:pPr>
            <w:r w:rsidRPr="00091B01">
              <w:rPr>
                <w:rFonts w:ascii="Calibri" w:eastAsia="Calibri" w:hAnsi="Calibri" w:cs="Calibri"/>
                <w:color w:val="000000" w:themeColor="text1"/>
                <w:sz w:val="18"/>
                <w:szCs w:val="18"/>
              </w:rPr>
              <w:t xml:space="preserve">AL </w:t>
            </w:r>
            <w:r w:rsidR="312DD40C" w:rsidRPr="00091B01">
              <w:rPr>
                <w:rFonts w:ascii="Calibri" w:eastAsia="Calibri" w:hAnsi="Calibri" w:cs="Calibri"/>
                <w:color w:val="000000" w:themeColor="text1"/>
                <w:sz w:val="18"/>
                <w:szCs w:val="18"/>
              </w:rPr>
              <w:t>monotherapy</w:t>
            </w:r>
          </w:p>
        </w:tc>
        <w:tc>
          <w:tcPr>
            <w:tcW w:w="1660" w:type="dxa"/>
            <w:tcBorders>
              <w:top w:val="nil"/>
              <w:left w:val="nil"/>
              <w:bottom w:val="nil"/>
              <w:right w:val="nil"/>
            </w:tcBorders>
          </w:tcPr>
          <w:p w14:paraId="12FA5175" w14:textId="658A30C2" w:rsidR="312DD40C" w:rsidRPr="00091B01" w:rsidRDefault="312DD40C" w:rsidP="00B673E2">
            <w:pPr>
              <w:spacing w:after="0" w:line="240" w:lineRule="auto"/>
              <w:jc w:val="right"/>
              <w:rPr>
                <w:rFonts w:ascii="Calibri" w:eastAsia="Calibri" w:hAnsi="Calibri" w:cs="Calibri"/>
                <w:color w:val="000000" w:themeColor="text1"/>
                <w:sz w:val="18"/>
                <w:szCs w:val="18"/>
              </w:rPr>
            </w:pPr>
            <w:r w:rsidRPr="00091B01">
              <w:rPr>
                <w:rFonts w:ascii="Calibri" w:eastAsia="Calibri" w:hAnsi="Calibri" w:cs="Calibri"/>
                <w:color w:val="000000" w:themeColor="text1"/>
                <w:sz w:val="18"/>
                <w:szCs w:val="18"/>
              </w:rPr>
              <w:t>46 (2.5%)</w:t>
            </w:r>
          </w:p>
        </w:tc>
      </w:tr>
      <w:tr w:rsidR="312DD40C" w:rsidRPr="00D37B2D" w14:paraId="172A8829" w14:textId="77777777" w:rsidTr="0054445B">
        <w:trPr>
          <w:trHeight w:val="20"/>
        </w:trPr>
        <w:tc>
          <w:tcPr>
            <w:tcW w:w="4040" w:type="dxa"/>
            <w:tcBorders>
              <w:top w:val="nil"/>
              <w:left w:val="nil"/>
              <w:bottom w:val="single" w:sz="4" w:space="0" w:color="auto"/>
              <w:right w:val="nil"/>
            </w:tcBorders>
            <w:vAlign w:val="bottom"/>
          </w:tcPr>
          <w:p w14:paraId="78074C2B" w14:textId="27B4E438" w:rsidR="312DD40C" w:rsidRPr="00091B01" w:rsidRDefault="312DD40C" w:rsidP="00B673E2">
            <w:pPr>
              <w:spacing w:after="0" w:line="240" w:lineRule="auto"/>
              <w:rPr>
                <w:rFonts w:ascii="Calibri" w:eastAsia="Calibri" w:hAnsi="Calibri" w:cs="Calibri"/>
                <w:color w:val="000000" w:themeColor="text1"/>
                <w:sz w:val="18"/>
                <w:szCs w:val="18"/>
              </w:rPr>
            </w:pPr>
            <w:r w:rsidRPr="00091B01">
              <w:rPr>
                <w:rFonts w:ascii="Calibri" w:eastAsia="Calibri" w:hAnsi="Calibri" w:cs="Calibri"/>
                <w:color w:val="000000" w:themeColor="text1"/>
                <w:sz w:val="18"/>
                <w:szCs w:val="18"/>
              </w:rPr>
              <w:t>Other</w:t>
            </w:r>
          </w:p>
        </w:tc>
        <w:tc>
          <w:tcPr>
            <w:tcW w:w="1660" w:type="dxa"/>
            <w:tcBorders>
              <w:top w:val="nil"/>
              <w:left w:val="nil"/>
              <w:bottom w:val="single" w:sz="4" w:space="0" w:color="auto"/>
              <w:right w:val="nil"/>
            </w:tcBorders>
          </w:tcPr>
          <w:p w14:paraId="22CF643B" w14:textId="5247F007" w:rsidR="312DD40C" w:rsidRPr="00091B01" w:rsidRDefault="312DD40C" w:rsidP="00B673E2">
            <w:pPr>
              <w:spacing w:after="0" w:line="240" w:lineRule="auto"/>
              <w:jc w:val="right"/>
              <w:rPr>
                <w:rFonts w:ascii="Calibri" w:eastAsia="Calibri" w:hAnsi="Calibri" w:cs="Calibri"/>
                <w:color w:val="000000" w:themeColor="text1"/>
                <w:sz w:val="18"/>
                <w:szCs w:val="18"/>
              </w:rPr>
            </w:pPr>
            <w:r w:rsidRPr="00091B01">
              <w:rPr>
                <w:rFonts w:ascii="Calibri" w:eastAsia="Calibri" w:hAnsi="Calibri" w:cs="Calibri"/>
                <w:color w:val="000000" w:themeColor="text1"/>
                <w:sz w:val="18"/>
                <w:szCs w:val="18"/>
              </w:rPr>
              <w:t>1 (0.1%)</w:t>
            </w:r>
          </w:p>
        </w:tc>
      </w:tr>
    </w:tbl>
    <w:p w14:paraId="45DA0317" w14:textId="7D9DC262" w:rsidR="00E571B1" w:rsidRDefault="00E571B1" w:rsidP="001407CA">
      <w:pPr>
        <w:spacing w:line="480" w:lineRule="auto"/>
      </w:pPr>
    </w:p>
    <w:p w14:paraId="4D173F09" w14:textId="7977F6D0" w:rsidR="00A36F0B" w:rsidRPr="00E62E2B" w:rsidRDefault="00A36F0B" w:rsidP="00B673E2">
      <w:pPr>
        <w:pStyle w:val="Heading2"/>
        <w:spacing w:line="240" w:lineRule="auto"/>
        <w:rPr>
          <w:b/>
          <w:bCs/>
        </w:rPr>
      </w:pPr>
      <w:r>
        <w:rPr>
          <w:b/>
          <w:bCs/>
          <w:sz w:val="22"/>
          <w:szCs w:val="22"/>
        </w:rPr>
        <w:t xml:space="preserve">Table </w:t>
      </w:r>
      <w:r w:rsidR="00F05EDA">
        <w:rPr>
          <w:b/>
          <w:bCs/>
          <w:sz w:val="22"/>
          <w:szCs w:val="22"/>
        </w:rPr>
        <w:t>6</w:t>
      </w:r>
      <w:r w:rsidRPr="0089130F">
        <w:rPr>
          <w:b/>
          <w:bCs/>
          <w:sz w:val="22"/>
          <w:szCs w:val="22"/>
        </w:rPr>
        <w:t xml:space="preserve">: </w:t>
      </w:r>
      <w:r>
        <w:rPr>
          <w:b/>
          <w:bCs/>
          <w:sz w:val="22"/>
          <w:szCs w:val="22"/>
        </w:rPr>
        <w:t xml:space="preserve">Antimalarial </w:t>
      </w:r>
      <w:r w:rsidR="002A502F">
        <w:rPr>
          <w:b/>
          <w:bCs/>
          <w:sz w:val="22"/>
          <w:szCs w:val="22"/>
        </w:rPr>
        <w:t xml:space="preserve">usage </w:t>
      </w:r>
      <w:r w:rsidR="008C61B9">
        <w:rPr>
          <w:b/>
          <w:bCs/>
          <w:sz w:val="22"/>
          <w:szCs w:val="22"/>
        </w:rPr>
        <w:t xml:space="preserve">by </w:t>
      </w:r>
      <w:r w:rsidR="00350006">
        <w:rPr>
          <w:b/>
          <w:bCs/>
          <w:sz w:val="22"/>
          <w:szCs w:val="22"/>
        </w:rPr>
        <w:t>epidemic zone</w:t>
      </w:r>
    </w:p>
    <w:tbl>
      <w:tblPr>
        <w:tblW w:w="0" w:type="auto"/>
        <w:tblLayout w:type="fixed"/>
        <w:tblLook w:val="06A0" w:firstRow="1" w:lastRow="0" w:firstColumn="1" w:lastColumn="0" w:noHBand="1" w:noVBand="1"/>
      </w:tblPr>
      <w:tblGrid>
        <w:gridCol w:w="2880"/>
        <w:gridCol w:w="1890"/>
        <w:gridCol w:w="1890"/>
        <w:gridCol w:w="1890"/>
      </w:tblGrid>
      <w:tr w:rsidR="00EF1107" w:rsidRPr="00D37B2D" w14:paraId="58348425" w14:textId="77777777" w:rsidTr="000F6A26">
        <w:trPr>
          <w:trHeight w:val="20"/>
        </w:trPr>
        <w:tc>
          <w:tcPr>
            <w:tcW w:w="2880" w:type="dxa"/>
            <w:tcBorders>
              <w:top w:val="single" w:sz="4" w:space="0" w:color="auto"/>
              <w:left w:val="nil"/>
              <w:bottom w:val="single" w:sz="4" w:space="0" w:color="auto"/>
              <w:right w:val="nil"/>
            </w:tcBorders>
            <w:vAlign w:val="center"/>
          </w:tcPr>
          <w:p w14:paraId="5A55EBEF" w14:textId="588DCE3E" w:rsidR="00EF1107" w:rsidRPr="0047023D" w:rsidRDefault="00145E96" w:rsidP="00B673E2">
            <w:pPr>
              <w:spacing w:after="0" w:line="240" w:lineRule="auto"/>
              <w:jc w:val="center"/>
              <w:rPr>
                <w:rFonts w:ascii="Calibri" w:eastAsia="Calibri" w:hAnsi="Calibri" w:cs="Calibri"/>
                <w:color w:val="000000" w:themeColor="text1"/>
                <w:sz w:val="18"/>
                <w:szCs w:val="18"/>
              </w:rPr>
            </w:pPr>
            <w:r w:rsidRPr="0047023D">
              <w:rPr>
                <w:rFonts w:ascii="Calibri" w:eastAsia="Calibri" w:hAnsi="Calibri" w:cs="Calibri"/>
                <w:color w:val="000000" w:themeColor="text1"/>
                <w:sz w:val="18"/>
                <w:szCs w:val="18"/>
              </w:rPr>
              <w:t>Epidemic zone†</w:t>
            </w:r>
            <w:r w:rsidR="00EF1107" w:rsidRPr="0047023D">
              <w:rPr>
                <w:rFonts w:ascii="Calibri" w:eastAsia="Calibri" w:hAnsi="Calibri" w:cs="Calibri"/>
                <w:color w:val="000000" w:themeColor="text1"/>
                <w:sz w:val="18"/>
                <w:szCs w:val="18"/>
              </w:rPr>
              <w:t xml:space="preserve"> </w:t>
            </w:r>
          </w:p>
        </w:tc>
        <w:tc>
          <w:tcPr>
            <w:tcW w:w="1890" w:type="dxa"/>
            <w:tcBorders>
              <w:top w:val="single" w:sz="4" w:space="0" w:color="auto"/>
              <w:left w:val="nil"/>
              <w:bottom w:val="single" w:sz="4" w:space="0" w:color="auto"/>
              <w:right w:val="nil"/>
            </w:tcBorders>
            <w:vAlign w:val="center"/>
          </w:tcPr>
          <w:p w14:paraId="6AB33A80" w14:textId="52F3A4D7" w:rsidR="00EF1107" w:rsidRPr="0047023D" w:rsidRDefault="00EF1107" w:rsidP="00B673E2">
            <w:pPr>
              <w:spacing w:after="0" w:line="240" w:lineRule="auto"/>
              <w:jc w:val="center"/>
              <w:rPr>
                <w:rFonts w:ascii="Calibri" w:eastAsia="Calibri" w:hAnsi="Calibri" w:cs="Calibri"/>
                <w:color w:val="000000" w:themeColor="text1"/>
                <w:sz w:val="18"/>
                <w:szCs w:val="18"/>
              </w:rPr>
            </w:pPr>
            <w:r w:rsidRPr="0047023D">
              <w:rPr>
                <w:rFonts w:ascii="Calibri" w:eastAsia="Calibri" w:hAnsi="Calibri" w:cs="Calibri"/>
                <w:color w:val="000000" w:themeColor="text1"/>
                <w:sz w:val="18"/>
                <w:szCs w:val="18"/>
              </w:rPr>
              <w:t>Artesunate</w:t>
            </w:r>
            <w:r w:rsidRPr="0047023D">
              <w:rPr>
                <w:sz w:val="18"/>
                <w:szCs w:val="18"/>
              </w:rPr>
              <w:br/>
            </w:r>
            <w:r w:rsidRPr="0047023D">
              <w:rPr>
                <w:rFonts w:ascii="Calibri" w:eastAsia="Calibri" w:hAnsi="Calibri" w:cs="Calibri"/>
                <w:color w:val="000000" w:themeColor="text1"/>
                <w:sz w:val="18"/>
                <w:szCs w:val="18"/>
              </w:rPr>
              <w:t xml:space="preserve"> N = 1479</w:t>
            </w:r>
          </w:p>
        </w:tc>
        <w:tc>
          <w:tcPr>
            <w:tcW w:w="1890" w:type="dxa"/>
            <w:tcBorders>
              <w:top w:val="single" w:sz="4" w:space="0" w:color="auto"/>
              <w:left w:val="nil"/>
              <w:bottom w:val="single" w:sz="4" w:space="0" w:color="auto"/>
              <w:right w:val="nil"/>
            </w:tcBorders>
            <w:vAlign w:val="center"/>
          </w:tcPr>
          <w:p w14:paraId="1693E07A" w14:textId="289899BF" w:rsidR="00EF1107" w:rsidRPr="0047023D" w:rsidRDefault="00EF1107" w:rsidP="00B673E2">
            <w:pPr>
              <w:spacing w:after="0" w:line="240" w:lineRule="auto"/>
              <w:jc w:val="center"/>
              <w:rPr>
                <w:rFonts w:ascii="Calibri" w:eastAsia="Calibri" w:hAnsi="Calibri" w:cs="Calibri"/>
                <w:color w:val="000000" w:themeColor="text1"/>
                <w:sz w:val="18"/>
                <w:szCs w:val="18"/>
              </w:rPr>
            </w:pPr>
            <w:r>
              <w:rPr>
                <w:rFonts w:ascii="Calibri" w:eastAsia="Calibri" w:hAnsi="Calibri" w:cs="Calibri"/>
                <w:color w:val="000000" w:themeColor="text1"/>
                <w:sz w:val="18"/>
                <w:szCs w:val="18"/>
              </w:rPr>
              <w:t>AL</w:t>
            </w:r>
            <w:r w:rsidR="008766EB">
              <w:rPr>
                <w:rFonts w:ascii="Calibri" w:eastAsia="Calibri" w:hAnsi="Calibri" w:cs="Calibri"/>
                <w:color w:val="000000" w:themeColor="text1"/>
                <w:sz w:val="18"/>
                <w:szCs w:val="18"/>
              </w:rPr>
              <w:t>*</w:t>
            </w:r>
            <w:r w:rsidRPr="0047023D">
              <w:rPr>
                <w:sz w:val="18"/>
                <w:szCs w:val="18"/>
              </w:rPr>
              <w:br/>
            </w:r>
            <w:r w:rsidRPr="0047023D">
              <w:rPr>
                <w:rFonts w:ascii="Calibri" w:eastAsia="Calibri" w:hAnsi="Calibri" w:cs="Calibri"/>
                <w:color w:val="000000" w:themeColor="text1"/>
                <w:sz w:val="18"/>
                <w:szCs w:val="18"/>
              </w:rPr>
              <w:t xml:space="preserve"> N = 539</w:t>
            </w:r>
          </w:p>
        </w:tc>
        <w:tc>
          <w:tcPr>
            <w:tcW w:w="1890" w:type="dxa"/>
            <w:tcBorders>
              <w:top w:val="single" w:sz="4" w:space="0" w:color="auto"/>
              <w:left w:val="nil"/>
              <w:bottom w:val="single" w:sz="4" w:space="0" w:color="auto"/>
              <w:right w:val="nil"/>
            </w:tcBorders>
            <w:vAlign w:val="center"/>
          </w:tcPr>
          <w:p w14:paraId="17349B3F" w14:textId="5172D408" w:rsidR="00EF1107" w:rsidRPr="0047023D" w:rsidRDefault="00145E96" w:rsidP="00B673E2">
            <w:pPr>
              <w:spacing w:after="0" w:line="240" w:lineRule="auto"/>
              <w:jc w:val="center"/>
              <w:rPr>
                <w:rFonts w:ascii="Calibri" w:eastAsia="Calibri" w:hAnsi="Calibri" w:cs="Calibri"/>
                <w:color w:val="000000" w:themeColor="text1"/>
                <w:sz w:val="18"/>
                <w:szCs w:val="18"/>
              </w:rPr>
            </w:pPr>
            <w:r>
              <w:rPr>
                <w:rFonts w:ascii="Calibri" w:eastAsia="Calibri" w:hAnsi="Calibri" w:cs="Calibri"/>
                <w:color w:val="000000" w:themeColor="text1"/>
                <w:sz w:val="18"/>
                <w:szCs w:val="18"/>
              </w:rPr>
              <w:t>Quinine</w:t>
            </w:r>
            <w:r w:rsidR="008766EB">
              <w:rPr>
                <w:rFonts w:ascii="Calibri" w:eastAsia="Calibri" w:hAnsi="Calibri" w:cs="Calibri"/>
                <w:color w:val="000000" w:themeColor="text1"/>
                <w:sz w:val="18"/>
                <w:szCs w:val="18"/>
              </w:rPr>
              <w:t>*</w:t>
            </w:r>
            <w:r w:rsidR="00EF1107" w:rsidRPr="0047023D">
              <w:rPr>
                <w:sz w:val="18"/>
                <w:szCs w:val="18"/>
              </w:rPr>
              <w:br/>
            </w:r>
            <w:r w:rsidR="00EF1107" w:rsidRPr="0047023D">
              <w:rPr>
                <w:rFonts w:ascii="Calibri" w:eastAsia="Calibri" w:hAnsi="Calibri" w:cs="Calibri"/>
                <w:color w:val="000000" w:themeColor="text1"/>
                <w:sz w:val="18"/>
                <w:szCs w:val="18"/>
              </w:rPr>
              <w:t xml:space="preserve"> N = 351</w:t>
            </w:r>
          </w:p>
        </w:tc>
      </w:tr>
      <w:tr w:rsidR="00EF1107" w:rsidRPr="00D37B2D" w14:paraId="65E05ADF" w14:textId="77777777" w:rsidTr="00091B01">
        <w:trPr>
          <w:trHeight w:val="20"/>
        </w:trPr>
        <w:tc>
          <w:tcPr>
            <w:tcW w:w="2880" w:type="dxa"/>
            <w:tcBorders>
              <w:top w:val="nil"/>
              <w:left w:val="nil"/>
              <w:bottom w:val="nil"/>
              <w:right w:val="nil"/>
            </w:tcBorders>
          </w:tcPr>
          <w:p w14:paraId="0DE314B4" w14:textId="77777777" w:rsidR="00EF1107" w:rsidRPr="0047023D" w:rsidRDefault="00EF1107" w:rsidP="00B673E2">
            <w:pPr>
              <w:spacing w:after="0" w:line="240" w:lineRule="auto"/>
              <w:rPr>
                <w:rFonts w:ascii="Calibri" w:eastAsia="Calibri" w:hAnsi="Calibri" w:cs="Calibri"/>
                <w:color w:val="000000" w:themeColor="text1"/>
                <w:sz w:val="18"/>
                <w:szCs w:val="18"/>
              </w:rPr>
            </w:pPr>
            <w:r w:rsidRPr="0047023D">
              <w:rPr>
                <w:rFonts w:ascii="Calibri" w:eastAsia="Calibri" w:hAnsi="Calibri" w:cs="Calibri"/>
                <w:color w:val="000000" w:themeColor="text1"/>
                <w:sz w:val="18"/>
                <w:szCs w:val="18"/>
              </w:rPr>
              <w:t xml:space="preserve">  Lake endemic</w:t>
            </w:r>
          </w:p>
        </w:tc>
        <w:tc>
          <w:tcPr>
            <w:tcW w:w="1890" w:type="dxa"/>
            <w:tcBorders>
              <w:top w:val="nil"/>
              <w:left w:val="nil"/>
              <w:bottom w:val="nil"/>
              <w:right w:val="nil"/>
            </w:tcBorders>
          </w:tcPr>
          <w:p w14:paraId="5872C0AF" w14:textId="5648A7F1" w:rsidR="00EF1107" w:rsidRPr="0047023D" w:rsidRDefault="00EF1107" w:rsidP="00B673E2">
            <w:pPr>
              <w:spacing w:after="0" w:line="240" w:lineRule="auto"/>
              <w:jc w:val="right"/>
              <w:rPr>
                <w:rFonts w:ascii="Calibri" w:eastAsia="Calibri" w:hAnsi="Calibri" w:cs="Calibri"/>
                <w:color w:val="000000" w:themeColor="text1"/>
                <w:sz w:val="18"/>
                <w:szCs w:val="18"/>
              </w:rPr>
            </w:pPr>
            <w:r w:rsidRPr="0047023D">
              <w:rPr>
                <w:rFonts w:ascii="Calibri" w:eastAsia="Calibri" w:hAnsi="Calibri" w:cs="Calibri"/>
                <w:color w:val="000000" w:themeColor="text1"/>
                <w:sz w:val="18"/>
                <w:szCs w:val="18"/>
              </w:rPr>
              <w:t>669 (</w:t>
            </w:r>
            <w:r w:rsidR="00017BDA">
              <w:rPr>
                <w:rFonts w:ascii="Calibri" w:eastAsia="Calibri" w:hAnsi="Calibri" w:cs="Calibri"/>
                <w:color w:val="000000" w:themeColor="text1"/>
                <w:sz w:val="18"/>
                <w:szCs w:val="18"/>
              </w:rPr>
              <w:t>45.2</w:t>
            </w:r>
            <w:r w:rsidRPr="0047023D">
              <w:rPr>
                <w:rFonts w:ascii="Calibri" w:eastAsia="Calibri" w:hAnsi="Calibri" w:cs="Calibri"/>
                <w:color w:val="000000" w:themeColor="text1"/>
                <w:sz w:val="18"/>
                <w:szCs w:val="18"/>
              </w:rPr>
              <w:t>%)</w:t>
            </w:r>
          </w:p>
        </w:tc>
        <w:tc>
          <w:tcPr>
            <w:tcW w:w="1890" w:type="dxa"/>
            <w:tcBorders>
              <w:top w:val="nil"/>
              <w:left w:val="nil"/>
              <w:bottom w:val="nil"/>
              <w:right w:val="nil"/>
            </w:tcBorders>
          </w:tcPr>
          <w:p w14:paraId="33298AF1" w14:textId="2CBE3BDF" w:rsidR="00EF1107" w:rsidRPr="0047023D" w:rsidRDefault="00EF1107" w:rsidP="00B673E2">
            <w:pPr>
              <w:spacing w:after="0" w:line="240" w:lineRule="auto"/>
              <w:jc w:val="right"/>
              <w:rPr>
                <w:rFonts w:ascii="Calibri" w:eastAsia="Calibri" w:hAnsi="Calibri" w:cs="Calibri"/>
                <w:color w:val="000000" w:themeColor="text1"/>
                <w:sz w:val="18"/>
                <w:szCs w:val="18"/>
              </w:rPr>
            </w:pPr>
            <w:r w:rsidRPr="0047023D">
              <w:rPr>
                <w:rFonts w:ascii="Calibri" w:eastAsia="Calibri" w:hAnsi="Calibri" w:cs="Calibri"/>
                <w:color w:val="000000" w:themeColor="text1"/>
                <w:sz w:val="18"/>
                <w:szCs w:val="18"/>
              </w:rPr>
              <w:t>68 (</w:t>
            </w:r>
            <w:r w:rsidR="00A22C4D">
              <w:rPr>
                <w:rFonts w:ascii="Calibri" w:eastAsia="Calibri" w:hAnsi="Calibri" w:cs="Calibri"/>
                <w:color w:val="000000" w:themeColor="text1"/>
                <w:sz w:val="18"/>
                <w:szCs w:val="18"/>
              </w:rPr>
              <w:t>12.6</w:t>
            </w:r>
            <w:r w:rsidRPr="0047023D">
              <w:rPr>
                <w:rFonts w:ascii="Calibri" w:eastAsia="Calibri" w:hAnsi="Calibri" w:cs="Calibri"/>
                <w:color w:val="000000" w:themeColor="text1"/>
                <w:sz w:val="18"/>
                <w:szCs w:val="18"/>
              </w:rPr>
              <w:t>%)</w:t>
            </w:r>
          </w:p>
        </w:tc>
        <w:tc>
          <w:tcPr>
            <w:tcW w:w="1890" w:type="dxa"/>
            <w:tcBorders>
              <w:top w:val="nil"/>
              <w:left w:val="nil"/>
              <w:bottom w:val="nil"/>
              <w:right w:val="nil"/>
            </w:tcBorders>
          </w:tcPr>
          <w:p w14:paraId="0C99084E" w14:textId="160C4FE0" w:rsidR="00EF1107" w:rsidRPr="0047023D" w:rsidRDefault="00EF1107" w:rsidP="00B673E2">
            <w:pPr>
              <w:spacing w:after="0" w:line="240" w:lineRule="auto"/>
              <w:jc w:val="right"/>
              <w:rPr>
                <w:rFonts w:ascii="Calibri" w:eastAsia="Calibri" w:hAnsi="Calibri" w:cs="Calibri"/>
                <w:color w:val="000000" w:themeColor="text1"/>
                <w:sz w:val="18"/>
                <w:szCs w:val="18"/>
              </w:rPr>
            </w:pPr>
            <w:r w:rsidRPr="0047023D">
              <w:rPr>
                <w:rFonts w:ascii="Calibri" w:eastAsia="Calibri" w:hAnsi="Calibri" w:cs="Calibri"/>
                <w:color w:val="000000" w:themeColor="text1"/>
                <w:sz w:val="18"/>
                <w:szCs w:val="18"/>
              </w:rPr>
              <w:t>1 (0.</w:t>
            </w:r>
            <w:r w:rsidR="004D4E23">
              <w:rPr>
                <w:rFonts w:ascii="Calibri" w:eastAsia="Calibri" w:hAnsi="Calibri" w:cs="Calibri"/>
                <w:color w:val="000000" w:themeColor="text1"/>
                <w:sz w:val="18"/>
                <w:szCs w:val="18"/>
              </w:rPr>
              <w:t>3</w:t>
            </w:r>
            <w:r w:rsidRPr="0047023D">
              <w:rPr>
                <w:rFonts w:ascii="Calibri" w:eastAsia="Calibri" w:hAnsi="Calibri" w:cs="Calibri"/>
                <w:color w:val="000000" w:themeColor="text1"/>
                <w:sz w:val="18"/>
                <w:szCs w:val="18"/>
              </w:rPr>
              <w:t>%)</w:t>
            </w:r>
          </w:p>
        </w:tc>
      </w:tr>
      <w:tr w:rsidR="00EF1107" w:rsidRPr="00D37B2D" w14:paraId="7D1EE569" w14:textId="77777777" w:rsidTr="00091B01">
        <w:trPr>
          <w:trHeight w:val="20"/>
        </w:trPr>
        <w:tc>
          <w:tcPr>
            <w:tcW w:w="2880" w:type="dxa"/>
            <w:tcBorders>
              <w:top w:val="nil"/>
              <w:left w:val="nil"/>
              <w:bottom w:val="nil"/>
              <w:right w:val="nil"/>
            </w:tcBorders>
          </w:tcPr>
          <w:p w14:paraId="6B0B023D" w14:textId="77777777" w:rsidR="00EF1107" w:rsidRPr="0047023D" w:rsidRDefault="00EF1107" w:rsidP="00B673E2">
            <w:pPr>
              <w:spacing w:after="0" w:line="240" w:lineRule="auto"/>
              <w:rPr>
                <w:rFonts w:ascii="Calibri" w:eastAsia="Calibri" w:hAnsi="Calibri" w:cs="Calibri"/>
                <w:color w:val="000000" w:themeColor="text1"/>
                <w:sz w:val="18"/>
                <w:szCs w:val="18"/>
              </w:rPr>
            </w:pPr>
            <w:r w:rsidRPr="0047023D">
              <w:rPr>
                <w:rFonts w:ascii="Calibri" w:eastAsia="Calibri" w:hAnsi="Calibri" w:cs="Calibri"/>
                <w:color w:val="000000" w:themeColor="text1"/>
                <w:sz w:val="18"/>
                <w:szCs w:val="18"/>
              </w:rPr>
              <w:t xml:space="preserve">  Coast endemic</w:t>
            </w:r>
          </w:p>
        </w:tc>
        <w:tc>
          <w:tcPr>
            <w:tcW w:w="1890" w:type="dxa"/>
            <w:tcBorders>
              <w:top w:val="nil"/>
              <w:left w:val="nil"/>
              <w:bottom w:val="nil"/>
              <w:right w:val="nil"/>
            </w:tcBorders>
          </w:tcPr>
          <w:p w14:paraId="62242F91" w14:textId="733F0509" w:rsidR="00EF1107" w:rsidRPr="0047023D" w:rsidRDefault="00EF1107" w:rsidP="00B673E2">
            <w:pPr>
              <w:spacing w:after="0" w:line="240" w:lineRule="auto"/>
              <w:jc w:val="right"/>
              <w:rPr>
                <w:rFonts w:ascii="Calibri" w:eastAsia="Calibri" w:hAnsi="Calibri" w:cs="Calibri"/>
                <w:color w:val="000000" w:themeColor="text1"/>
                <w:sz w:val="18"/>
                <w:szCs w:val="18"/>
              </w:rPr>
            </w:pPr>
            <w:r w:rsidRPr="0047023D">
              <w:rPr>
                <w:rFonts w:ascii="Calibri" w:eastAsia="Calibri" w:hAnsi="Calibri" w:cs="Calibri"/>
                <w:color w:val="000000" w:themeColor="text1"/>
                <w:sz w:val="18"/>
                <w:szCs w:val="18"/>
              </w:rPr>
              <w:t>86 (</w:t>
            </w:r>
            <w:r w:rsidR="00017BDA">
              <w:rPr>
                <w:rFonts w:ascii="Calibri" w:eastAsia="Calibri" w:hAnsi="Calibri" w:cs="Calibri"/>
                <w:color w:val="000000" w:themeColor="text1"/>
                <w:sz w:val="18"/>
                <w:szCs w:val="18"/>
              </w:rPr>
              <w:t>5.8</w:t>
            </w:r>
            <w:r w:rsidRPr="0047023D">
              <w:rPr>
                <w:rFonts w:ascii="Calibri" w:eastAsia="Calibri" w:hAnsi="Calibri" w:cs="Calibri"/>
                <w:color w:val="000000" w:themeColor="text1"/>
                <w:sz w:val="18"/>
                <w:szCs w:val="18"/>
              </w:rPr>
              <w:t>%)</w:t>
            </w:r>
          </w:p>
        </w:tc>
        <w:tc>
          <w:tcPr>
            <w:tcW w:w="1890" w:type="dxa"/>
            <w:tcBorders>
              <w:top w:val="nil"/>
              <w:left w:val="nil"/>
              <w:bottom w:val="nil"/>
              <w:right w:val="nil"/>
            </w:tcBorders>
          </w:tcPr>
          <w:p w14:paraId="71E6408A" w14:textId="38517FCC" w:rsidR="00EF1107" w:rsidRPr="0047023D" w:rsidRDefault="00EF1107" w:rsidP="00B673E2">
            <w:pPr>
              <w:spacing w:after="0" w:line="240" w:lineRule="auto"/>
              <w:jc w:val="right"/>
              <w:rPr>
                <w:rFonts w:ascii="Calibri" w:eastAsia="Calibri" w:hAnsi="Calibri" w:cs="Calibri"/>
                <w:color w:val="000000" w:themeColor="text1"/>
                <w:sz w:val="18"/>
                <w:szCs w:val="18"/>
              </w:rPr>
            </w:pPr>
            <w:r w:rsidRPr="0047023D">
              <w:rPr>
                <w:rFonts w:ascii="Calibri" w:eastAsia="Calibri" w:hAnsi="Calibri" w:cs="Calibri"/>
                <w:color w:val="000000" w:themeColor="text1"/>
                <w:sz w:val="18"/>
                <w:szCs w:val="18"/>
              </w:rPr>
              <w:t>24 (</w:t>
            </w:r>
            <w:r w:rsidR="004D4E23">
              <w:rPr>
                <w:rFonts w:ascii="Calibri" w:eastAsia="Calibri" w:hAnsi="Calibri" w:cs="Calibri"/>
                <w:color w:val="000000" w:themeColor="text1"/>
                <w:sz w:val="18"/>
                <w:szCs w:val="18"/>
              </w:rPr>
              <w:t>4.5</w:t>
            </w:r>
            <w:r w:rsidRPr="0047023D">
              <w:rPr>
                <w:rFonts w:ascii="Calibri" w:eastAsia="Calibri" w:hAnsi="Calibri" w:cs="Calibri"/>
                <w:color w:val="000000" w:themeColor="text1"/>
                <w:sz w:val="18"/>
                <w:szCs w:val="18"/>
              </w:rPr>
              <w:t>%)</w:t>
            </w:r>
          </w:p>
        </w:tc>
        <w:tc>
          <w:tcPr>
            <w:tcW w:w="1890" w:type="dxa"/>
            <w:tcBorders>
              <w:top w:val="nil"/>
              <w:left w:val="nil"/>
              <w:bottom w:val="nil"/>
              <w:right w:val="nil"/>
            </w:tcBorders>
          </w:tcPr>
          <w:p w14:paraId="214C09C1" w14:textId="77777777" w:rsidR="00EF1107" w:rsidRPr="0047023D" w:rsidRDefault="00EF1107" w:rsidP="00B673E2">
            <w:pPr>
              <w:spacing w:after="0" w:line="240" w:lineRule="auto"/>
              <w:jc w:val="right"/>
              <w:rPr>
                <w:rFonts w:ascii="Calibri" w:eastAsia="Calibri" w:hAnsi="Calibri" w:cs="Calibri"/>
                <w:color w:val="000000" w:themeColor="text1"/>
                <w:sz w:val="18"/>
                <w:szCs w:val="18"/>
              </w:rPr>
            </w:pPr>
            <w:r w:rsidRPr="0047023D">
              <w:rPr>
                <w:rFonts w:ascii="Calibri" w:eastAsia="Calibri" w:hAnsi="Calibri" w:cs="Calibri"/>
                <w:color w:val="000000" w:themeColor="text1"/>
                <w:sz w:val="18"/>
                <w:szCs w:val="18"/>
              </w:rPr>
              <w:t>0 (0.0%)</w:t>
            </w:r>
          </w:p>
        </w:tc>
      </w:tr>
      <w:tr w:rsidR="00EF1107" w:rsidRPr="00D37B2D" w14:paraId="5476631A" w14:textId="77777777" w:rsidTr="00091B01">
        <w:trPr>
          <w:trHeight w:val="20"/>
        </w:trPr>
        <w:tc>
          <w:tcPr>
            <w:tcW w:w="2880" w:type="dxa"/>
            <w:tcBorders>
              <w:top w:val="nil"/>
              <w:left w:val="nil"/>
              <w:bottom w:val="nil"/>
              <w:right w:val="nil"/>
            </w:tcBorders>
          </w:tcPr>
          <w:p w14:paraId="2553E51B" w14:textId="77777777" w:rsidR="00EF1107" w:rsidRPr="0047023D" w:rsidRDefault="00EF1107" w:rsidP="00B673E2">
            <w:pPr>
              <w:spacing w:after="0" w:line="240" w:lineRule="auto"/>
              <w:rPr>
                <w:rFonts w:ascii="Calibri" w:eastAsia="Calibri" w:hAnsi="Calibri" w:cs="Calibri"/>
                <w:color w:val="000000" w:themeColor="text1"/>
                <w:sz w:val="18"/>
                <w:szCs w:val="18"/>
              </w:rPr>
            </w:pPr>
            <w:r w:rsidRPr="0047023D">
              <w:rPr>
                <w:rFonts w:ascii="Calibri" w:eastAsia="Calibri" w:hAnsi="Calibri" w:cs="Calibri"/>
                <w:color w:val="000000" w:themeColor="text1"/>
                <w:sz w:val="18"/>
                <w:szCs w:val="18"/>
              </w:rPr>
              <w:t xml:space="preserve">  Highland epidemic prone</w:t>
            </w:r>
          </w:p>
        </w:tc>
        <w:tc>
          <w:tcPr>
            <w:tcW w:w="1890" w:type="dxa"/>
            <w:tcBorders>
              <w:top w:val="nil"/>
              <w:left w:val="nil"/>
              <w:bottom w:val="nil"/>
              <w:right w:val="nil"/>
            </w:tcBorders>
          </w:tcPr>
          <w:p w14:paraId="0B1CFCA7" w14:textId="222D11E5" w:rsidR="00EF1107" w:rsidRPr="0047023D" w:rsidRDefault="00EF1107" w:rsidP="00B673E2">
            <w:pPr>
              <w:spacing w:after="0" w:line="240" w:lineRule="auto"/>
              <w:jc w:val="right"/>
              <w:rPr>
                <w:rFonts w:ascii="Calibri" w:eastAsia="Calibri" w:hAnsi="Calibri" w:cs="Calibri"/>
                <w:color w:val="000000" w:themeColor="text1"/>
                <w:sz w:val="18"/>
                <w:szCs w:val="18"/>
              </w:rPr>
            </w:pPr>
            <w:r w:rsidRPr="0047023D">
              <w:rPr>
                <w:rFonts w:ascii="Calibri" w:eastAsia="Calibri" w:hAnsi="Calibri" w:cs="Calibri"/>
                <w:color w:val="000000" w:themeColor="text1"/>
                <w:sz w:val="18"/>
                <w:szCs w:val="18"/>
              </w:rPr>
              <w:t>109 (</w:t>
            </w:r>
            <w:r w:rsidR="006B21BD">
              <w:rPr>
                <w:rFonts w:ascii="Calibri" w:eastAsia="Calibri" w:hAnsi="Calibri" w:cs="Calibri"/>
                <w:color w:val="000000" w:themeColor="text1"/>
                <w:sz w:val="18"/>
                <w:szCs w:val="18"/>
              </w:rPr>
              <w:t>7.4</w:t>
            </w:r>
            <w:r w:rsidRPr="0047023D">
              <w:rPr>
                <w:rFonts w:ascii="Calibri" w:eastAsia="Calibri" w:hAnsi="Calibri" w:cs="Calibri"/>
                <w:color w:val="000000" w:themeColor="text1"/>
                <w:sz w:val="18"/>
                <w:szCs w:val="18"/>
              </w:rPr>
              <w:t>%)</w:t>
            </w:r>
          </w:p>
        </w:tc>
        <w:tc>
          <w:tcPr>
            <w:tcW w:w="1890" w:type="dxa"/>
            <w:tcBorders>
              <w:top w:val="nil"/>
              <w:left w:val="nil"/>
              <w:bottom w:val="nil"/>
              <w:right w:val="nil"/>
            </w:tcBorders>
          </w:tcPr>
          <w:p w14:paraId="3827A8F9" w14:textId="357A3C93" w:rsidR="00EF1107" w:rsidRPr="0047023D" w:rsidRDefault="00EF1107" w:rsidP="00B673E2">
            <w:pPr>
              <w:spacing w:after="0" w:line="240" w:lineRule="auto"/>
              <w:jc w:val="right"/>
              <w:rPr>
                <w:rFonts w:ascii="Calibri" w:eastAsia="Calibri" w:hAnsi="Calibri" w:cs="Calibri"/>
                <w:color w:val="000000" w:themeColor="text1"/>
                <w:sz w:val="18"/>
                <w:szCs w:val="18"/>
              </w:rPr>
            </w:pPr>
            <w:r w:rsidRPr="0047023D">
              <w:rPr>
                <w:rFonts w:ascii="Calibri" w:eastAsia="Calibri" w:hAnsi="Calibri" w:cs="Calibri"/>
                <w:color w:val="000000" w:themeColor="text1"/>
                <w:sz w:val="18"/>
                <w:szCs w:val="18"/>
              </w:rPr>
              <w:t>2 (</w:t>
            </w:r>
            <w:r w:rsidR="004D4E23">
              <w:rPr>
                <w:rFonts w:ascii="Calibri" w:eastAsia="Calibri" w:hAnsi="Calibri" w:cs="Calibri"/>
                <w:color w:val="000000" w:themeColor="text1"/>
                <w:sz w:val="18"/>
                <w:szCs w:val="18"/>
              </w:rPr>
              <w:t>0.4</w:t>
            </w:r>
            <w:r w:rsidRPr="0047023D">
              <w:rPr>
                <w:rFonts w:ascii="Calibri" w:eastAsia="Calibri" w:hAnsi="Calibri" w:cs="Calibri"/>
                <w:color w:val="000000" w:themeColor="text1"/>
                <w:sz w:val="18"/>
                <w:szCs w:val="18"/>
              </w:rPr>
              <w:t>%)</w:t>
            </w:r>
          </w:p>
        </w:tc>
        <w:tc>
          <w:tcPr>
            <w:tcW w:w="1890" w:type="dxa"/>
            <w:tcBorders>
              <w:top w:val="nil"/>
              <w:left w:val="nil"/>
              <w:bottom w:val="nil"/>
              <w:right w:val="nil"/>
            </w:tcBorders>
          </w:tcPr>
          <w:p w14:paraId="229BF799" w14:textId="489B45CB" w:rsidR="00EF1107" w:rsidRPr="0047023D" w:rsidRDefault="00EF1107" w:rsidP="00B673E2">
            <w:pPr>
              <w:spacing w:after="0" w:line="240" w:lineRule="auto"/>
              <w:jc w:val="right"/>
              <w:rPr>
                <w:rFonts w:ascii="Calibri" w:eastAsia="Calibri" w:hAnsi="Calibri" w:cs="Calibri"/>
                <w:color w:val="000000" w:themeColor="text1"/>
                <w:sz w:val="18"/>
                <w:szCs w:val="18"/>
              </w:rPr>
            </w:pPr>
            <w:r w:rsidRPr="0047023D">
              <w:rPr>
                <w:rFonts w:ascii="Calibri" w:eastAsia="Calibri" w:hAnsi="Calibri" w:cs="Calibri"/>
                <w:color w:val="000000" w:themeColor="text1"/>
                <w:sz w:val="18"/>
                <w:szCs w:val="18"/>
              </w:rPr>
              <w:t>2 (</w:t>
            </w:r>
            <w:r w:rsidR="004D4E23">
              <w:rPr>
                <w:rFonts w:ascii="Calibri" w:eastAsia="Calibri" w:hAnsi="Calibri" w:cs="Calibri"/>
                <w:color w:val="000000" w:themeColor="text1"/>
                <w:sz w:val="18"/>
                <w:szCs w:val="18"/>
              </w:rPr>
              <w:t>0.6</w:t>
            </w:r>
            <w:r w:rsidRPr="0047023D">
              <w:rPr>
                <w:rFonts w:ascii="Calibri" w:eastAsia="Calibri" w:hAnsi="Calibri" w:cs="Calibri"/>
                <w:color w:val="000000" w:themeColor="text1"/>
                <w:sz w:val="18"/>
                <w:szCs w:val="18"/>
              </w:rPr>
              <w:t>%)</w:t>
            </w:r>
          </w:p>
        </w:tc>
      </w:tr>
      <w:tr w:rsidR="00EF1107" w:rsidRPr="00D37B2D" w14:paraId="2716A1E1" w14:textId="77777777" w:rsidTr="00091B01">
        <w:trPr>
          <w:trHeight w:val="20"/>
        </w:trPr>
        <w:tc>
          <w:tcPr>
            <w:tcW w:w="2880" w:type="dxa"/>
            <w:tcBorders>
              <w:top w:val="nil"/>
              <w:left w:val="nil"/>
              <w:bottom w:val="nil"/>
              <w:right w:val="nil"/>
            </w:tcBorders>
          </w:tcPr>
          <w:p w14:paraId="5CC4B0F7" w14:textId="77777777" w:rsidR="00EF1107" w:rsidRPr="0047023D" w:rsidRDefault="00EF1107" w:rsidP="00B673E2">
            <w:pPr>
              <w:spacing w:after="0" w:line="240" w:lineRule="auto"/>
              <w:rPr>
                <w:rFonts w:ascii="Calibri" w:eastAsia="Calibri" w:hAnsi="Calibri" w:cs="Calibri"/>
                <w:color w:val="000000" w:themeColor="text1"/>
                <w:sz w:val="18"/>
                <w:szCs w:val="18"/>
              </w:rPr>
            </w:pPr>
            <w:r w:rsidRPr="0047023D">
              <w:rPr>
                <w:rFonts w:ascii="Calibri" w:eastAsia="Calibri" w:hAnsi="Calibri" w:cs="Calibri"/>
                <w:color w:val="000000" w:themeColor="text1"/>
                <w:sz w:val="18"/>
                <w:szCs w:val="18"/>
              </w:rPr>
              <w:t xml:space="preserve">  Seasonal</w:t>
            </w:r>
          </w:p>
        </w:tc>
        <w:tc>
          <w:tcPr>
            <w:tcW w:w="1890" w:type="dxa"/>
            <w:tcBorders>
              <w:top w:val="nil"/>
              <w:left w:val="nil"/>
              <w:bottom w:val="nil"/>
              <w:right w:val="nil"/>
            </w:tcBorders>
          </w:tcPr>
          <w:p w14:paraId="3ECB32F4" w14:textId="663684BE" w:rsidR="00EF1107" w:rsidRPr="0047023D" w:rsidRDefault="00EF1107" w:rsidP="00B673E2">
            <w:pPr>
              <w:spacing w:after="0" w:line="240" w:lineRule="auto"/>
              <w:jc w:val="right"/>
              <w:rPr>
                <w:rFonts w:ascii="Calibri" w:eastAsia="Calibri" w:hAnsi="Calibri" w:cs="Calibri"/>
                <w:color w:val="000000" w:themeColor="text1"/>
                <w:sz w:val="18"/>
                <w:szCs w:val="18"/>
              </w:rPr>
            </w:pPr>
            <w:r w:rsidRPr="0047023D">
              <w:rPr>
                <w:rFonts w:ascii="Calibri" w:eastAsia="Calibri" w:hAnsi="Calibri" w:cs="Calibri"/>
                <w:color w:val="000000" w:themeColor="text1"/>
                <w:sz w:val="18"/>
                <w:szCs w:val="18"/>
              </w:rPr>
              <w:t>499 (</w:t>
            </w:r>
            <w:r w:rsidR="006B21BD">
              <w:rPr>
                <w:rFonts w:ascii="Calibri" w:eastAsia="Calibri" w:hAnsi="Calibri" w:cs="Calibri"/>
                <w:color w:val="000000" w:themeColor="text1"/>
                <w:sz w:val="18"/>
                <w:szCs w:val="18"/>
              </w:rPr>
              <w:t>33.7</w:t>
            </w:r>
            <w:r w:rsidRPr="0047023D">
              <w:rPr>
                <w:rFonts w:ascii="Calibri" w:eastAsia="Calibri" w:hAnsi="Calibri" w:cs="Calibri"/>
                <w:color w:val="000000" w:themeColor="text1"/>
                <w:sz w:val="18"/>
                <w:szCs w:val="18"/>
              </w:rPr>
              <w:t>%)</w:t>
            </w:r>
          </w:p>
        </w:tc>
        <w:tc>
          <w:tcPr>
            <w:tcW w:w="1890" w:type="dxa"/>
            <w:tcBorders>
              <w:top w:val="nil"/>
              <w:left w:val="nil"/>
              <w:bottom w:val="nil"/>
              <w:right w:val="nil"/>
            </w:tcBorders>
          </w:tcPr>
          <w:p w14:paraId="7148CF8F" w14:textId="12F6C318" w:rsidR="00EF1107" w:rsidRPr="0047023D" w:rsidRDefault="00EF1107" w:rsidP="00B673E2">
            <w:pPr>
              <w:spacing w:after="0" w:line="240" w:lineRule="auto"/>
              <w:jc w:val="right"/>
              <w:rPr>
                <w:rFonts w:ascii="Calibri" w:eastAsia="Calibri" w:hAnsi="Calibri" w:cs="Calibri"/>
                <w:color w:val="000000" w:themeColor="text1"/>
                <w:sz w:val="18"/>
                <w:szCs w:val="18"/>
              </w:rPr>
            </w:pPr>
            <w:r w:rsidRPr="0047023D">
              <w:rPr>
                <w:rFonts w:ascii="Calibri" w:eastAsia="Calibri" w:hAnsi="Calibri" w:cs="Calibri"/>
                <w:color w:val="000000" w:themeColor="text1"/>
                <w:sz w:val="18"/>
                <w:szCs w:val="18"/>
              </w:rPr>
              <w:t>394 (</w:t>
            </w:r>
            <w:r w:rsidR="004D4E23">
              <w:rPr>
                <w:rFonts w:ascii="Calibri" w:eastAsia="Calibri" w:hAnsi="Calibri" w:cs="Calibri"/>
                <w:color w:val="000000" w:themeColor="text1"/>
                <w:sz w:val="18"/>
                <w:szCs w:val="18"/>
              </w:rPr>
              <w:t>73.1</w:t>
            </w:r>
            <w:r w:rsidRPr="0047023D">
              <w:rPr>
                <w:rFonts w:ascii="Calibri" w:eastAsia="Calibri" w:hAnsi="Calibri" w:cs="Calibri"/>
                <w:color w:val="000000" w:themeColor="text1"/>
                <w:sz w:val="18"/>
                <w:szCs w:val="18"/>
              </w:rPr>
              <w:t>%)</w:t>
            </w:r>
          </w:p>
        </w:tc>
        <w:tc>
          <w:tcPr>
            <w:tcW w:w="1890" w:type="dxa"/>
            <w:tcBorders>
              <w:top w:val="nil"/>
              <w:left w:val="nil"/>
              <w:bottom w:val="nil"/>
              <w:right w:val="nil"/>
            </w:tcBorders>
          </w:tcPr>
          <w:p w14:paraId="346523AE" w14:textId="7930D151" w:rsidR="00EF1107" w:rsidRPr="0047023D" w:rsidRDefault="00EF1107" w:rsidP="00B673E2">
            <w:pPr>
              <w:spacing w:after="0" w:line="240" w:lineRule="auto"/>
              <w:jc w:val="right"/>
              <w:rPr>
                <w:rFonts w:ascii="Calibri" w:eastAsia="Calibri" w:hAnsi="Calibri" w:cs="Calibri"/>
                <w:color w:val="000000" w:themeColor="text1"/>
                <w:sz w:val="18"/>
                <w:szCs w:val="18"/>
              </w:rPr>
            </w:pPr>
            <w:r w:rsidRPr="0047023D">
              <w:rPr>
                <w:rFonts w:ascii="Calibri" w:eastAsia="Calibri" w:hAnsi="Calibri" w:cs="Calibri"/>
                <w:color w:val="000000" w:themeColor="text1"/>
                <w:sz w:val="18"/>
                <w:szCs w:val="18"/>
              </w:rPr>
              <w:t>348 (</w:t>
            </w:r>
            <w:r w:rsidR="004D4E23">
              <w:rPr>
                <w:rFonts w:ascii="Calibri" w:eastAsia="Calibri" w:hAnsi="Calibri" w:cs="Calibri"/>
                <w:color w:val="000000" w:themeColor="text1"/>
                <w:sz w:val="18"/>
                <w:szCs w:val="18"/>
              </w:rPr>
              <w:t>99.1</w:t>
            </w:r>
            <w:r w:rsidRPr="0047023D">
              <w:rPr>
                <w:rFonts w:ascii="Calibri" w:eastAsia="Calibri" w:hAnsi="Calibri" w:cs="Calibri"/>
                <w:color w:val="000000" w:themeColor="text1"/>
                <w:sz w:val="18"/>
                <w:szCs w:val="18"/>
              </w:rPr>
              <w:t>%)</w:t>
            </w:r>
          </w:p>
        </w:tc>
      </w:tr>
      <w:tr w:rsidR="00EF1107" w:rsidRPr="00D37B2D" w14:paraId="76B1E076" w14:textId="77777777" w:rsidTr="00091B01">
        <w:trPr>
          <w:trHeight w:val="20"/>
        </w:trPr>
        <w:tc>
          <w:tcPr>
            <w:tcW w:w="2880" w:type="dxa"/>
            <w:tcBorders>
              <w:top w:val="nil"/>
              <w:left w:val="nil"/>
              <w:bottom w:val="single" w:sz="4" w:space="0" w:color="auto"/>
              <w:right w:val="nil"/>
            </w:tcBorders>
          </w:tcPr>
          <w:p w14:paraId="2A4CFC26" w14:textId="77777777" w:rsidR="00EF1107" w:rsidRPr="0047023D" w:rsidRDefault="00EF1107" w:rsidP="00B673E2">
            <w:pPr>
              <w:spacing w:after="0" w:line="240" w:lineRule="auto"/>
              <w:rPr>
                <w:rFonts w:ascii="Calibri" w:eastAsia="Calibri" w:hAnsi="Calibri" w:cs="Calibri"/>
                <w:color w:val="000000" w:themeColor="text1"/>
                <w:sz w:val="18"/>
                <w:szCs w:val="18"/>
              </w:rPr>
            </w:pPr>
            <w:r w:rsidRPr="0047023D">
              <w:rPr>
                <w:rFonts w:ascii="Calibri" w:eastAsia="Calibri" w:hAnsi="Calibri" w:cs="Calibri"/>
                <w:color w:val="000000" w:themeColor="text1"/>
                <w:sz w:val="18"/>
                <w:szCs w:val="18"/>
              </w:rPr>
              <w:t xml:space="preserve">  Low risk</w:t>
            </w:r>
          </w:p>
        </w:tc>
        <w:tc>
          <w:tcPr>
            <w:tcW w:w="1890" w:type="dxa"/>
            <w:tcBorders>
              <w:top w:val="nil"/>
              <w:left w:val="nil"/>
              <w:bottom w:val="single" w:sz="4" w:space="0" w:color="auto"/>
              <w:right w:val="nil"/>
            </w:tcBorders>
          </w:tcPr>
          <w:p w14:paraId="3CDA81F9" w14:textId="0CFB25B7" w:rsidR="00EF1107" w:rsidRPr="0047023D" w:rsidRDefault="00EF1107" w:rsidP="00B673E2">
            <w:pPr>
              <w:spacing w:after="0" w:line="240" w:lineRule="auto"/>
              <w:jc w:val="right"/>
              <w:rPr>
                <w:rFonts w:ascii="Calibri" w:eastAsia="Calibri" w:hAnsi="Calibri" w:cs="Calibri"/>
                <w:color w:val="000000" w:themeColor="text1"/>
                <w:sz w:val="18"/>
                <w:szCs w:val="18"/>
              </w:rPr>
            </w:pPr>
            <w:r w:rsidRPr="0047023D">
              <w:rPr>
                <w:rFonts w:ascii="Calibri" w:eastAsia="Calibri" w:hAnsi="Calibri" w:cs="Calibri"/>
                <w:color w:val="000000" w:themeColor="text1"/>
                <w:sz w:val="18"/>
                <w:szCs w:val="18"/>
              </w:rPr>
              <w:t>116 (</w:t>
            </w:r>
            <w:r w:rsidR="006B21BD">
              <w:rPr>
                <w:rFonts w:ascii="Calibri" w:eastAsia="Calibri" w:hAnsi="Calibri" w:cs="Calibri"/>
                <w:color w:val="000000" w:themeColor="text1"/>
                <w:sz w:val="18"/>
                <w:szCs w:val="18"/>
              </w:rPr>
              <w:t>7.8</w:t>
            </w:r>
            <w:r w:rsidRPr="0047023D">
              <w:rPr>
                <w:rFonts w:ascii="Calibri" w:eastAsia="Calibri" w:hAnsi="Calibri" w:cs="Calibri"/>
                <w:color w:val="000000" w:themeColor="text1"/>
                <w:sz w:val="18"/>
                <w:szCs w:val="18"/>
              </w:rPr>
              <w:t>%)</w:t>
            </w:r>
          </w:p>
        </w:tc>
        <w:tc>
          <w:tcPr>
            <w:tcW w:w="1890" w:type="dxa"/>
            <w:tcBorders>
              <w:top w:val="nil"/>
              <w:left w:val="nil"/>
              <w:bottom w:val="single" w:sz="4" w:space="0" w:color="auto"/>
              <w:right w:val="nil"/>
            </w:tcBorders>
          </w:tcPr>
          <w:p w14:paraId="480BCCC1" w14:textId="6E872C7F" w:rsidR="00EF1107" w:rsidRPr="0047023D" w:rsidRDefault="00EF1107" w:rsidP="00B673E2">
            <w:pPr>
              <w:spacing w:after="0" w:line="240" w:lineRule="auto"/>
              <w:jc w:val="right"/>
              <w:rPr>
                <w:rFonts w:ascii="Calibri" w:eastAsia="Calibri" w:hAnsi="Calibri" w:cs="Calibri"/>
                <w:color w:val="000000" w:themeColor="text1"/>
                <w:sz w:val="18"/>
                <w:szCs w:val="18"/>
              </w:rPr>
            </w:pPr>
            <w:r w:rsidRPr="0047023D">
              <w:rPr>
                <w:rFonts w:ascii="Calibri" w:eastAsia="Calibri" w:hAnsi="Calibri" w:cs="Calibri"/>
                <w:color w:val="000000" w:themeColor="text1"/>
                <w:sz w:val="18"/>
                <w:szCs w:val="18"/>
              </w:rPr>
              <w:t>51 (</w:t>
            </w:r>
            <w:r w:rsidR="004D4E23">
              <w:rPr>
                <w:rFonts w:ascii="Calibri" w:eastAsia="Calibri" w:hAnsi="Calibri" w:cs="Calibri"/>
                <w:color w:val="000000" w:themeColor="text1"/>
                <w:sz w:val="18"/>
                <w:szCs w:val="18"/>
              </w:rPr>
              <w:t>9.5</w:t>
            </w:r>
            <w:r w:rsidRPr="0047023D">
              <w:rPr>
                <w:rFonts w:ascii="Calibri" w:eastAsia="Calibri" w:hAnsi="Calibri" w:cs="Calibri"/>
                <w:color w:val="000000" w:themeColor="text1"/>
                <w:sz w:val="18"/>
                <w:szCs w:val="18"/>
              </w:rPr>
              <w:t>%)</w:t>
            </w:r>
          </w:p>
        </w:tc>
        <w:tc>
          <w:tcPr>
            <w:tcW w:w="1890" w:type="dxa"/>
            <w:tcBorders>
              <w:top w:val="nil"/>
              <w:left w:val="nil"/>
              <w:bottom w:val="single" w:sz="4" w:space="0" w:color="auto"/>
              <w:right w:val="nil"/>
            </w:tcBorders>
          </w:tcPr>
          <w:p w14:paraId="26250EB4" w14:textId="77777777" w:rsidR="00EF1107" w:rsidRPr="0047023D" w:rsidRDefault="00EF1107" w:rsidP="00B673E2">
            <w:pPr>
              <w:spacing w:after="0" w:line="240" w:lineRule="auto"/>
              <w:jc w:val="right"/>
              <w:rPr>
                <w:rFonts w:ascii="Calibri" w:eastAsia="Calibri" w:hAnsi="Calibri" w:cs="Calibri"/>
                <w:color w:val="000000" w:themeColor="text1"/>
                <w:sz w:val="18"/>
                <w:szCs w:val="18"/>
              </w:rPr>
            </w:pPr>
            <w:r w:rsidRPr="0047023D">
              <w:rPr>
                <w:rFonts w:ascii="Calibri" w:eastAsia="Calibri" w:hAnsi="Calibri" w:cs="Calibri"/>
                <w:color w:val="000000" w:themeColor="text1"/>
                <w:sz w:val="18"/>
                <w:szCs w:val="18"/>
              </w:rPr>
              <w:t>0 (0.0%)</w:t>
            </w:r>
          </w:p>
        </w:tc>
      </w:tr>
      <w:tr w:rsidR="00EF1107" w:rsidRPr="00D37B2D" w14:paraId="23A019E7" w14:textId="77777777" w:rsidTr="00091B01">
        <w:trPr>
          <w:trHeight w:val="20"/>
        </w:trPr>
        <w:tc>
          <w:tcPr>
            <w:tcW w:w="8550" w:type="dxa"/>
            <w:gridSpan w:val="4"/>
            <w:tcBorders>
              <w:top w:val="single" w:sz="4" w:space="0" w:color="auto"/>
              <w:left w:val="nil"/>
              <w:bottom w:val="single" w:sz="4" w:space="0" w:color="auto"/>
              <w:right w:val="nil"/>
            </w:tcBorders>
          </w:tcPr>
          <w:p w14:paraId="20FCFD3D" w14:textId="77777777" w:rsidR="00EF1107" w:rsidRPr="0047023D" w:rsidRDefault="00EF1107" w:rsidP="00B673E2">
            <w:pPr>
              <w:spacing w:after="0" w:line="240" w:lineRule="auto"/>
              <w:rPr>
                <w:rFonts w:ascii="Calibri" w:eastAsia="Calibri" w:hAnsi="Calibri" w:cs="Calibri"/>
                <w:color w:val="000000" w:themeColor="text1"/>
                <w:sz w:val="18"/>
                <w:szCs w:val="18"/>
              </w:rPr>
            </w:pPr>
            <w:r w:rsidRPr="0047023D">
              <w:rPr>
                <w:rFonts w:ascii="Calibri" w:eastAsia="Calibri" w:hAnsi="Calibri" w:cs="Calibri"/>
                <w:color w:val="000000" w:themeColor="text1"/>
                <w:sz w:val="18"/>
                <w:szCs w:val="18"/>
              </w:rPr>
              <w:t>* Result not available for three patients</w:t>
            </w:r>
          </w:p>
          <w:p w14:paraId="248BD611" w14:textId="77777777" w:rsidR="00EF1107" w:rsidRPr="0047023D" w:rsidRDefault="00EF1107" w:rsidP="00B673E2">
            <w:pPr>
              <w:spacing w:after="0" w:line="240" w:lineRule="auto"/>
              <w:rPr>
                <w:rFonts w:ascii="Calibri" w:eastAsia="Calibri" w:hAnsi="Calibri" w:cs="Calibri"/>
                <w:color w:val="000000" w:themeColor="text1"/>
                <w:sz w:val="18"/>
                <w:szCs w:val="18"/>
              </w:rPr>
            </w:pPr>
            <w:r w:rsidRPr="0047023D">
              <w:rPr>
                <w:rFonts w:ascii="Calibri" w:eastAsia="Calibri" w:hAnsi="Calibri" w:cs="Calibri"/>
                <w:color w:val="000000" w:themeColor="text1"/>
                <w:sz w:val="18"/>
                <w:szCs w:val="18"/>
              </w:rPr>
              <w:t xml:space="preserve">† Epidemic zones were defined as: Lake endemic (8): Bungoma, Busia, Homa Bay, Kakamega, Kisumu, Migori, Siaya, Vihiga; </w:t>
            </w:r>
            <w:r w:rsidRPr="0047023D">
              <w:rPr>
                <w:rFonts w:ascii="Calibri" w:eastAsia="Calibri" w:hAnsi="Calibri" w:cs="Calibri"/>
                <w:i/>
                <w:iCs/>
                <w:color w:val="000000" w:themeColor="text1"/>
                <w:sz w:val="18"/>
                <w:szCs w:val="18"/>
              </w:rPr>
              <w:t>Coast endemic (5)</w:t>
            </w:r>
            <w:r w:rsidRPr="0047023D">
              <w:rPr>
                <w:rFonts w:ascii="Calibri" w:eastAsia="Calibri" w:hAnsi="Calibri" w:cs="Calibri"/>
                <w:color w:val="000000" w:themeColor="text1"/>
                <w:sz w:val="18"/>
                <w:szCs w:val="18"/>
              </w:rPr>
              <w:t xml:space="preserve">: Kilifi, Kwale, Lamu, Mombasa, Taita Taveta; </w:t>
            </w:r>
            <w:r w:rsidRPr="0047023D">
              <w:rPr>
                <w:rFonts w:ascii="Calibri" w:eastAsia="Calibri" w:hAnsi="Calibri" w:cs="Calibri"/>
                <w:i/>
                <w:iCs/>
                <w:color w:val="000000" w:themeColor="text1"/>
                <w:sz w:val="18"/>
                <w:szCs w:val="18"/>
              </w:rPr>
              <w:t>Highland epidemic prone (10)</w:t>
            </w:r>
            <w:r w:rsidRPr="0047023D">
              <w:rPr>
                <w:rFonts w:ascii="Calibri" w:eastAsia="Calibri" w:hAnsi="Calibri" w:cs="Calibri"/>
                <w:color w:val="000000" w:themeColor="text1"/>
                <w:sz w:val="18"/>
                <w:szCs w:val="18"/>
              </w:rPr>
              <w:t xml:space="preserve">: Bomet, Elgeyo-Marakwet, Kericho, Kisii, Narok, Nandi, Nyamira, Trans Nzoia, Uasin Gishu, West Pokot; </w:t>
            </w:r>
            <w:r w:rsidRPr="0047023D">
              <w:rPr>
                <w:rFonts w:ascii="Calibri" w:eastAsia="Calibri" w:hAnsi="Calibri" w:cs="Calibri"/>
                <w:i/>
                <w:iCs/>
                <w:color w:val="000000" w:themeColor="text1"/>
                <w:sz w:val="18"/>
                <w:szCs w:val="18"/>
              </w:rPr>
              <w:t>Seasonal (14)</w:t>
            </w:r>
            <w:r w:rsidRPr="0047023D">
              <w:rPr>
                <w:rFonts w:ascii="Calibri" w:eastAsia="Calibri" w:hAnsi="Calibri" w:cs="Calibri"/>
                <w:color w:val="000000" w:themeColor="text1"/>
                <w:sz w:val="18"/>
                <w:szCs w:val="18"/>
              </w:rPr>
              <w:t xml:space="preserve">: Baringo, Embu, Garissa, Isiolo, Kajiado, Kitui, Mandera, Marsabit, Meru, Samburu, Tana River, Tharaka-Nithi, Turkana, Wajir; </w:t>
            </w:r>
            <w:r w:rsidRPr="0047023D">
              <w:rPr>
                <w:rFonts w:ascii="Calibri" w:eastAsia="Calibri" w:hAnsi="Calibri" w:cs="Calibri"/>
                <w:i/>
                <w:iCs/>
                <w:color w:val="000000" w:themeColor="text1"/>
                <w:sz w:val="18"/>
                <w:szCs w:val="18"/>
              </w:rPr>
              <w:t>Low risk (10)</w:t>
            </w:r>
            <w:r w:rsidRPr="0047023D">
              <w:rPr>
                <w:rFonts w:ascii="Calibri" w:eastAsia="Calibri" w:hAnsi="Calibri" w:cs="Calibri"/>
                <w:color w:val="000000" w:themeColor="text1"/>
                <w:sz w:val="18"/>
                <w:szCs w:val="18"/>
              </w:rPr>
              <w:t>: Kiambu, Kirinyaga, Laikipia, Machakos, Makueni, Murang’a, Nairobi, Nakuru, Nyandarua, Nyeri</w:t>
            </w:r>
          </w:p>
        </w:tc>
      </w:tr>
    </w:tbl>
    <w:p w14:paraId="4FD10F7A" w14:textId="77777777" w:rsidR="00EF1107" w:rsidRDefault="00EF1107" w:rsidP="001407CA">
      <w:pPr>
        <w:spacing w:line="480" w:lineRule="auto"/>
      </w:pPr>
    </w:p>
    <w:p w14:paraId="60A8651A" w14:textId="7B2939D2" w:rsidR="00C01E10" w:rsidRDefault="00DE4F58" w:rsidP="001407CA">
      <w:pPr>
        <w:spacing w:line="480" w:lineRule="auto"/>
        <w:ind w:firstLine="720"/>
      </w:pPr>
      <w:r>
        <w:t>Multiple d</w:t>
      </w:r>
      <w:r w:rsidR="00E35DE9">
        <w:t>ischarge diagnos</w:t>
      </w:r>
      <w:r>
        <w:t>e</w:t>
      </w:r>
      <w:r w:rsidR="00E35DE9">
        <w:t>s</w:t>
      </w:r>
      <w:r w:rsidR="009B22A8">
        <w:t xml:space="preserve"> </w:t>
      </w:r>
      <w:r>
        <w:t xml:space="preserve">were possible, but </w:t>
      </w:r>
      <w:r w:rsidR="003425F9">
        <w:t xml:space="preserve">90.1% of </w:t>
      </w:r>
      <w:r w:rsidR="007D48B9">
        <w:t xml:space="preserve">inpatients with a positive </w:t>
      </w:r>
      <w:r w:rsidR="4B2334EB">
        <w:t>clinical</w:t>
      </w:r>
      <w:r w:rsidR="0FE6B153">
        <w:t xml:space="preserve"> </w:t>
      </w:r>
      <w:r w:rsidR="007D48B9">
        <w:t xml:space="preserve">malaria test </w:t>
      </w:r>
      <w:r w:rsidR="008044FD">
        <w:t xml:space="preserve">included </w:t>
      </w:r>
      <w:r w:rsidR="00E14C33">
        <w:t xml:space="preserve">a discharge diagnosis of </w:t>
      </w:r>
      <w:r w:rsidR="006232B2">
        <w:t>malaria,</w:t>
      </w:r>
      <w:r w:rsidR="009364FA">
        <w:t xml:space="preserve"> whereas </w:t>
      </w:r>
      <w:r w:rsidR="00C52D28">
        <w:t>the remainder (9.9%) had a</w:t>
      </w:r>
      <w:r w:rsidR="004A695E">
        <w:t xml:space="preserve"> non-malaria diagnosis such as </w:t>
      </w:r>
      <w:r w:rsidR="7DC05B21">
        <w:t xml:space="preserve">pneumonia, meningitis, or </w:t>
      </w:r>
      <w:r w:rsidR="689CFD11">
        <w:t>gastroenteritis</w:t>
      </w:r>
      <w:r w:rsidR="00AF39AD">
        <w:t>.</w:t>
      </w:r>
      <w:r w:rsidR="004A695E">
        <w:t xml:space="preserve"> </w:t>
      </w:r>
      <w:r w:rsidR="005E0989">
        <w:t xml:space="preserve">Some </w:t>
      </w:r>
      <w:r w:rsidR="00461822">
        <w:t>of the</w:t>
      </w:r>
      <w:r w:rsidR="005E0989">
        <w:t xml:space="preserve"> patients</w:t>
      </w:r>
      <w:r w:rsidR="001C1552">
        <w:t xml:space="preserve"> with </w:t>
      </w:r>
      <w:r w:rsidR="00500968">
        <w:t xml:space="preserve">a </w:t>
      </w:r>
      <w:r w:rsidR="00895C56">
        <w:t xml:space="preserve">malaria </w:t>
      </w:r>
      <w:r w:rsidR="00275277">
        <w:t>discharge diagnosis</w:t>
      </w:r>
      <w:r w:rsidR="00895C56">
        <w:t xml:space="preserve"> </w:t>
      </w:r>
      <w:r w:rsidR="00275277">
        <w:t>had a</w:t>
      </w:r>
      <w:r w:rsidR="00500968">
        <w:t xml:space="preserve"> negative malaria test </w:t>
      </w:r>
      <w:r w:rsidR="00967678">
        <w:t>(</w:t>
      </w:r>
      <w:r w:rsidR="00500968">
        <w:t>15</w:t>
      </w:r>
      <w:r w:rsidR="00D91BD3">
        <w:t>.0</w:t>
      </w:r>
      <w:r w:rsidR="00500968">
        <w:t xml:space="preserve">%) </w:t>
      </w:r>
      <w:r w:rsidR="002F4627">
        <w:t xml:space="preserve">or no clinical malaria test </w:t>
      </w:r>
      <w:r w:rsidR="009533D7">
        <w:t>(</w:t>
      </w:r>
      <w:r w:rsidR="004736B8">
        <w:t>6.6%</w:t>
      </w:r>
      <w:r w:rsidR="009533D7">
        <w:t>)</w:t>
      </w:r>
      <w:r w:rsidR="00C01E10">
        <w:t>.</w:t>
      </w:r>
      <w:r w:rsidR="009533D7">
        <w:t xml:space="preserve"> </w:t>
      </w:r>
    </w:p>
    <w:p w14:paraId="26589F7E" w14:textId="661552D2" w:rsidR="00FB5FEF" w:rsidRDefault="00C01E10" w:rsidP="001407CA">
      <w:pPr>
        <w:spacing w:line="480" w:lineRule="auto"/>
        <w:ind w:firstLine="720"/>
      </w:pPr>
      <w:r>
        <w:t xml:space="preserve">Most </w:t>
      </w:r>
      <w:r w:rsidR="00E455F5">
        <w:t>(91.7%)</w:t>
      </w:r>
      <w:r>
        <w:t xml:space="preserve"> patients that tested </w:t>
      </w:r>
      <w:r w:rsidR="00430260">
        <w:t xml:space="preserve">positive for </w:t>
      </w:r>
      <w:r>
        <w:t xml:space="preserve">malaria </w:t>
      </w:r>
      <w:r w:rsidR="008C4DBD">
        <w:t>during</w:t>
      </w:r>
      <w:r w:rsidR="001E10B5">
        <w:t xml:space="preserve"> clinical care were treated with </w:t>
      </w:r>
      <w:r w:rsidR="00A63779">
        <w:t xml:space="preserve">antimalarials. </w:t>
      </w:r>
      <w:r w:rsidR="00E455F5">
        <w:t>Some</w:t>
      </w:r>
      <w:r w:rsidR="009533D7">
        <w:t xml:space="preserve"> patients</w:t>
      </w:r>
      <w:r w:rsidR="004F48F1">
        <w:t xml:space="preserve"> </w:t>
      </w:r>
      <w:r w:rsidR="00E455F5">
        <w:t xml:space="preserve">who tested </w:t>
      </w:r>
      <w:r w:rsidR="00430260">
        <w:t xml:space="preserve">negative for </w:t>
      </w:r>
      <w:r w:rsidR="00245143">
        <w:t xml:space="preserve">malaria </w:t>
      </w:r>
      <w:r w:rsidR="00CD2259">
        <w:t>(</w:t>
      </w:r>
      <w:r w:rsidR="00505D16">
        <w:t xml:space="preserve">17.2%) </w:t>
      </w:r>
      <w:r w:rsidR="00245143">
        <w:t xml:space="preserve">or were not tested </w:t>
      </w:r>
      <w:r w:rsidR="00C83B4B">
        <w:t xml:space="preserve">for malaria </w:t>
      </w:r>
      <w:r w:rsidR="00505D16">
        <w:lastRenderedPageBreak/>
        <w:t xml:space="preserve">(7.5%) </w:t>
      </w:r>
      <w:r w:rsidR="004B118D">
        <w:t>also received</w:t>
      </w:r>
      <w:r w:rsidR="00500968">
        <w:t xml:space="preserve"> an antimalarial</w:t>
      </w:r>
      <w:r w:rsidR="004D328E">
        <w:t xml:space="preserve"> medication</w:t>
      </w:r>
      <w:r w:rsidR="00DE7527">
        <w:t xml:space="preserve"> (table 7)</w:t>
      </w:r>
      <w:r w:rsidR="00500968">
        <w:t xml:space="preserve">. </w:t>
      </w:r>
      <w:r w:rsidR="00B540F0">
        <w:t xml:space="preserve"> Approximately half (</w:t>
      </w:r>
      <w:r w:rsidR="00FB5FEF">
        <w:t>5</w:t>
      </w:r>
      <w:r w:rsidR="00505D16">
        <w:t>5</w:t>
      </w:r>
      <w:r w:rsidR="008B7BEC">
        <w:t>.</w:t>
      </w:r>
      <w:r w:rsidR="00505D16">
        <w:t>8</w:t>
      </w:r>
      <w:r w:rsidR="00FB5FEF">
        <w:t>%</w:t>
      </w:r>
      <w:r w:rsidR="00B540F0">
        <w:t>)</w:t>
      </w:r>
      <w:r w:rsidR="00FB5FEF">
        <w:t xml:space="preserve"> of </w:t>
      </w:r>
      <w:r w:rsidR="00B540F0">
        <w:t>patients</w:t>
      </w:r>
      <w:r w:rsidR="00FB5FEF">
        <w:t xml:space="preserve"> with a positive clinical </w:t>
      </w:r>
      <w:r w:rsidR="00B540F0">
        <w:t>malaria test</w:t>
      </w:r>
      <w:r w:rsidR="00FB5FEF">
        <w:t xml:space="preserve"> also received antibiotics. </w:t>
      </w:r>
      <w:r w:rsidR="007E5D1E">
        <w:t>In malaria endemic zones</w:t>
      </w:r>
      <w:r w:rsidR="0048702D">
        <w:t xml:space="preserve"> </w:t>
      </w:r>
      <w:r w:rsidR="00164360">
        <w:t>where transmission intensity is moderate to high</w:t>
      </w:r>
      <w:r w:rsidR="0048702D">
        <w:t xml:space="preserve">, </w:t>
      </w:r>
      <w:r w:rsidR="009B3A14">
        <w:t xml:space="preserve">a </w:t>
      </w:r>
      <w:r w:rsidR="00164360">
        <w:t xml:space="preserve">higher </w:t>
      </w:r>
      <w:r w:rsidR="0048702D">
        <w:t xml:space="preserve">proportion of patients diagnosed with malaria were also treated </w:t>
      </w:r>
      <w:r w:rsidR="00164360">
        <w:t>with antibiotics (61% in lake endemic and 60% in coast endemic zones)</w:t>
      </w:r>
      <w:r w:rsidR="004F2E79">
        <w:t xml:space="preserve">. </w:t>
      </w:r>
      <w:r w:rsidR="00FB5FEF">
        <w:t xml:space="preserve">In general, a higher </w:t>
      </w:r>
      <w:r w:rsidR="008B7BEC">
        <w:t>proportion</w:t>
      </w:r>
      <w:r w:rsidR="00FB5FEF">
        <w:t xml:space="preserve"> </w:t>
      </w:r>
      <w:r w:rsidR="00B540F0">
        <w:t>of</w:t>
      </w:r>
      <w:r w:rsidR="00FB5FEF">
        <w:t xml:space="preserve"> </w:t>
      </w:r>
      <w:r w:rsidR="00B540F0">
        <w:t>patient</w:t>
      </w:r>
      <w:r w:rsidR="00EB0424">
        <w:t>s</w:t>
      </w:r>
      <w:r w:rsidR="00B540F0">
        <w:t xml:space="preserve"> </w:t>
      </w:r>
      <w:r w:rsidR="00EB0424">
        <w:t>who</w:t>
      </w:r>
      <w:r w:rsidR="00B540F0">
        <w:t xml:space="preserve"> </w:t>
      </w:r>
      <w:r w:rsidR="00682760">
        <w:t xml:space="preserve">tested negative </w:t>
      </w:r>
      <w:r w:rsidR="00EB0424">
        <w:t xml:space="preserve">for malaria </w:t>
      </w:r>
      <w:r w:rsidR="00682760">
        <w:t>(</w:t>
      </w:r>
      <w:r w:rsidR="00913131">
        <w:t>89.3</w:t>
      </w:r>
      <w:r w:rsidR="00682760">
        <w:t xml:space="preserve">%) </w:t>
      </w:r>
      <w:r w:rsidR="00FB5FEF">
        <w:t xml:space="preserve">or </w:t>
      </w:r>
      <w:r w:rsidR="00682760">
        <w:t>were not tested (</w:t>
      </w:r>
      <w:r w:rsidR="00FB5FEF">
        <w:t>93</w:t>
      </w:r>
      <w:r w:rsidR="00913131">
        <w:t>.8</w:t>
      </w:r>
      <w:r w:rsidR="00682760">
        <w:t>%)</w:t>
      </w:r>
      <w:r w:rsidR="00EB0424">
        <w:t xml:space="preserve"> were treated with antibiotics</w:t>
      </w:r>
      <w:r w:rsidR="00FB5FEF">
        <w:t>.</w:t>
      </w:r>
    </w:p>
    <w:p w14:paraId="5F1D4E2F" w14:textId="7FD8D8CC" w:rsidR="00E5572C" w:rsidRPr="007B3080" w:rsidRDefault="00E5572C" w:rsidP="00B673E2">
      <w:pPr>
        <w:pStyle w:val="Heading2"/>
        <w:spacing w:line="240" w:lineRule="auto"/>
        <w:rPr>
          <w:b/>
          <w:bCs/>
          <w:sz w:val="22"/>
          <w:szCs w:val="22"/>
        </w:rPr>
      </w:pPr>
      <w:r w:rsidRPr="007B3080">
        <w:rPr>
          <w:b/>
          <w:bCs/>
          <w:sz w:val="22"/>
          <w:szCs w:val="22"/>
        </w:rPr>
        <w:t xml:space="preserve">Table </w:t>
      </w:r>
      <w:r w:rsidR="007B3080" w:rsidRPr="007B3080">
        <w:rPr>
          <w:b/>
          <w:bCs/>
          <w:sz w:val="22"/>
          <w:szCs w:val="22"/>
        </w:rPr>
        <w:t>7</w:t>
      </w:r>
      <w:r w:rsidRPr="007B3080">
        <w:rPr>
          <w:b/>
          <w:bCs/>
          <w:sz w:val="22"/>
          <w:szCs w:val="22"/>
        </w:rPr>
        <w:t>. Receipt of antimalarial</w:t>
      </w:r>
      <w:r w:rsidR="006418CF">
        <w:rPr>
          <w:b/>
          <w:bCs/>
          <w:sz w:val="22"/>
          <w:szCs w:val="22"/>
        </w:rPr>
        <w:t>s</w:t>
      </w:r>
      <w:r w:rsidR="007209AA">
        <w:rPr>
          <w:b/>
          <w:bCs/>
          <w:sz w:val="22"/>
          <w:szCs w:val="22"/>
        </w:rPr>
        <w:t xml:space="preserve">, </w:t>
      </w:r>
      <w:r w:rsidR="006418CF">
        <w:rPr>
          <w:b/>
          <w:bCs/>
          <w:sz w:val="22"/>
          <w:szCs w:val="22"/>
        </w:rPr>
        <w:t>antibiotics</w:t>
      </w:r>
      <w:r w:rsidRPr="007B3080">
        <w:rPr>
          <w:b/>
          <w:bCs/>
          <w:sz w:val="22"/>
          <w:szCs w:val="22"/>
        </w:rPr>
        <w:t xml:space="preserve"> and discharge diagnosis </w:t>
      </w:r>
      <w:r w:rsidR="00B43F54" w:rsidRPr="007B3080">
        <w:rPr>
          <w:b/>
          <w:bCs/>
          <w:sz w:val="22"/>
          <w:szCs w:val="22"/>
        </w:rPr>
        <w:t>by clinical malaria test result</w:t>
      </w:r>
    </w:p>
    <w:tbl>
      <w:tblPr>
        <w:tblW w:w="8840" w:type="dxa"/>
        <w:tblLayout w:type="fixed"/>
        <w:tblLook w:val="04A0" w:firstRow="1" w:lastRow="0" w:firstColumn="1" w:lastColumn="0" w:noHBand="0" w:noVBand="1"/>
      </w:tblPr>
      <w:tblGrid>
        <w:gridCol w:w="2357"/>
        <w:gridCol w:w="1620"/>
        <w:gridCol w:w="1621"/>
        <w:gridCol w:w="1602"/>
        <w:gridCol w:w="19"/>
        <w:gridCol w:w="1621"/>
      </w:tblGrid>
      <w:tr w:rsidR="00BE369F" w:rsidRPr="00D37B2D" w14:paraId="00FA0497" w14:textId="77777777" w:rsidTr="00E1618A">
        <w:trPr>
          <w:trHeight w:val="20"/>
        </w:trPr>
        <w:tc>
          <w:tcPr>
            <w:tcW w:w="2357" w:type="dxa"/>
            <w:tcBorders>
              <w:top w:val="single" w:sz="4" w:space="0" w:color="auto"/>
              <w:left w:val="nil"/>
              <w:right w:val="nil"/>
            </w:tcBorders>
            <w:shd w:val="clear" w:color="auto" w:fill="auto"/>
            <w:noWrap/>
            <w:vAlign w:val="bottom"/>
            <w:hideMark/>
          </w:tcPr>
          <w:p w14:paraId="53BEE07F" w14:textId="77777777" w:rsidR="00BE369F" w:rsidRPr="00091B01" w:rsidRDefault="00BE369F" w:rsidP="00B673E2">
            <w:pPr>
              <w:spacing w:after="0" w:line="240" w:lineRule="auto"/>
              <w:rPr>
                <w:rFonts w:ascii="Times New Roman" w:eastAsia="Times New Roman" w:hAnsi="Times New Roman" w:cs="Times New Roman"/>
                <w:kern w:val="0"/>
                <w:sz w:val="18"/>
                <w:szCs w:val="18"/>
                <w14:ligatures w14:val="none"/>
              </w:rPr>
            </w:pPr>
          </w:p>
        </w:tc>
        <w:tc>
          <w:tcPr>
            <w:tcW w:w="4843" w:type="dxa"/>
            <w:gridSpan w:val="3"/>
            <w:tcBorders>
              <w:top w:val="single" w:sz="4" w:space="0" w:color="auto"/>
              <w:left w:val="nil"/>
              <w:right w:val="nil"/>
            </w:tcBorders>
            <w:shd w:val="clear" w:color="auto" w:fill="auto"/>
            <w:vAlign w:val="center"/>
            <w:hideMark/>
          </w:tcPr>
          <w:p w14:paraId="5CB745CC" w14:textId="1E9A4082" w:rsidR="00BE369F" w:rsidRPr="00091B01" w:rsidRDefault="00BE369F" w:rsidP="00B673E2">
            <w:pPr>
              <w:spacing w:after="0" w:line="240" w:lineRule="auto"/>
              <w:jc w:val="center"/>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Tested for malaria</w:t>
            </w:r>
            <w:r w:rsidR="00452C0C" w:rsidRPr="00091B01">
              <w:rPr>
                <w:rFonts w:ascii="Calibri" w:eastAsia="Times New Roman" w:hAnsi="Calibri" w:cs="Calibri"/>
                <w:color w:val="000000"/>
                <w:kern w:val="0"/>
                <w:sz w:val="18"/>
                <w:szCs w:val="18"/>
                <w14:ligatures w14:val="none"/>
              </w:rPr>
              <w:t xml:space="preserve"> as part of clinical care</w:t>
            </w:r>
          </w:p>
        </w:tc>
        <w:tc>
          <w:tcPr>
            <w:tcW w:w="1640" w:type="dxa"/>
            <w:gridSpan w:val="2"/>
            <w:tcBorders>
              <w:top w:val="single" w:sz="4" w:space="0" w:color="auto"/>
              <w:left w:val="nil"/>
              <w:right w:val="nil"/>
            </w:tcBorders>
            <w:shd w:val="clear" w:color="auto" w:fill="auto"/>
            <w:vAlign w:val="center"/>
            <w:hideMark/>
          </w:tcPr>
          <w:p w14:paraId="7DFD7EE5" w14:textId="7DDFA5B0" w:rsidR="00BE369F" w:rsidRPr="00091B01" w:rsidRDefault="00BE369F" w:rsidP="00B673E2">
            <w:pPr>
              <w:spacing w:after="0" w:line="240" w:lineRule="auto"/>
              <w:jc w:val="center"/>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Not tested</w:t>
            </w:r>
            <w:r w:rsidR="00B43F54" w:rsidRPr="00091B01">
              <w:rPr>
                <w:rFonts w:ascii="Calibri" w:eastAsia="Times New Roman" w:hAnsi="Calibri" w:cs="Calibri"/>
                <w:color w:val="000000"/>
                <w:kern w:val="0"/>
                <w:sz w:val="18"/>
                <w:szCs w:val="18"/>
                <w14:ligatures w14:val="none"/>
              </w:rPr>
              <w:t xml:space="preserve"> for malaria</w:t>
            </w:r>
          </w:p>
        </w:tc>
      </w:tr>
      <w:tr w:rsidR="00B43F54" w:rsidRPr="00D37B2D" w14:paraId="27A41177" w14:textId="77777777" w:rsidTr="00B43F54">
        <w:trPr>
          <w:trHeight w:val="20"/>
        </w:trPr>
        <w:tc>
          <w:tcPr>
            <w:tcW w:w="2357" w:type="dxa"/>
            <w:tcBorders>
              <w:top w:val="nil"/>
              <w:left w:val="nil"/>
              <w:bottom w:val="single" w:sz="4" w:space="0" w:color="auto"/>
              <w:right w:val="nil"/>
            </w:tcBorders>
            <w:shd w:val="clear" w:color="auto" w:fill="auto"/>
            <w:noWrap/>
            <w:vAlign w:val="bottom"/>
            <w:hideMark/>
          </w:tcPr>
          <w:p w14:paraId="128ECFD4" w14:textId="77777777" w:rsidR="00BE369F" w:rsidRPr="00091B01" w:rsidRDefault="00BE369F" w:rsidP="00B673E2">
            <w:pPr>
              <w:spacing w:after="0" w:line="240" w:lineRule="auto"/>
              <w:jc w:val="center"/>
              <w:rPr>
                <w:rFonts w:ascii="Calibri" w:eastAsia="Times New Roman" w:hAnsi="Calibri" w:cs="Calibri"/>
                <w:color w:val="000000"/>
                <w:kern w:val="0"/>
                <w:sz w:val="18"/>
                <w:szCs w:val="18"/>
                <w14:ligatures w14:val="none"/>
              </w:rPr>
            </w:pPr>
          </w:p>
        </w:tc>
        <w:tc>
          <w:tcPr>
            <w:tcW w:w="1620" w:type="dxa"/>
            <w:tcBorders>
              <w:top w:val="nil"/>
              <w:left w:val="nil"/>
              <w:bottom w:val="single" w:sz="4" w:space="0" w:color="auto"/>
              <w:right w:val="nil"/>
            </w:tcBorders>
            <w:shd w:val="clear" w:color="auto" w:fill="auto"/>
            <w:vAlign w:val="center"/>
            <w:hideMark/>
          </w:tcPr>
          <w:p w14:paraId="0BC7A99F" w14:textId="3350F896" w:rsidR="00BE369F" w:rsidRPr="00091B01" w:rsidRDefault="00B43F54" w:rsidP="00B673E2">
            <w:pPr>
              <w:spacing w:after="0" w:line="240" w:lineRule="auto"/>
              <w:jc w:val="center"/>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Positive</w:t>
            </w:r>
            <w:r w:rsidR="00BE369F" w:rsidRPr="00091B01">
              <w:rPr>
                <w:rFonts w:ascii="Calibri" w:eastAsia="Times New Roman" w:hAnsi="Calibri" w:cs="Calibri"/>
                <w:color w:val="000000"/>
                <w:kern w:val="0"/>
                <w:sz w:val="18"/>
                <w:szCs w:val="18"/>
                <w14:ligatures w14:val="none"/>
              </w:rPr>
              <w:t xml:space="preserve">  </w:t>
            </w:r>
            <w:r w:rsidR="00BE369F" w:rsidRPr="00091B01">
              <w:rPr>
                <w:rFonts w:ascii="Calibri" w:eastAsia="Times New Roman" w:hAnsi="Calibri" w:cs="Calibri"/>
                <w:color w:val="000000"/>
                <w:kern w:val="0"/>
                <w:sz w:val="18"/>
                <w:szCs w:val="18"/>
                <w14:ligatures w14:val="none"/>
              </w:rPr>
              <w:br/>
              <w:t>N = 2,094</w:t>
            </w:r>
          </w:p>
        </w:tc>
        <w:tc>
          <w:tcPr>
            <w:tcW w:w="1621" w:type="dxa"/>
            <w:tcBorders>
              <w:top w:val="nil"/>
              <w:left w:val="nil"/>
              <w:bottom w:val="single" w:sz="4" w:space="0" w:color="auto"/>
              <w:right w:val="nil"/>
            </w:tcBorders>
            <w:shd w:val="clear" w:color="auto" w:fill="auto"/>
            <w:vAlign w:val="center"/>
            <w:hideMark/>
          </w:tcPr>
          <w:p w14:paraId="05C3012F" w14:textId="7B575BC4" w:rsidR="00BE369F" w:rsidRPr="00091B01" w:rsidRDefault="00B43F54" w:rsidP="00B673E2">
            <w:pPr>
              <w:spacing w:after="0" w:line="240" w:lineRule="auto"/>
              <w:jc w:val="center"/>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Negative</w:t>
            </w:r>
            <w:r w:rsidR="00BE369F" w:rsidRPr="00091B01">
              <w:rPr>
                <w:rFonts w:ascii="Calibri" w:eastAsia="Times New Roman" w:hAnsi="Calibri" w:cs="Calibri"/>
                <w:color w:val="000000"/>
                <w:kern w:val="0"/>
                <w:sz w:val="18"/>
                <w:szCs w:val="18"/>
                <w14:ligatures w14:val="none"/>
              </w:rPr>
              <w:t xml:space="preserve"> </w:t>
            </w:r>
            <w:r w:rsidR="00BE369F" w:rsidRPr="00091B01">
              <w:rPr>
                <w:rFonts w:ascii="Calibri" w:eastAsia="Times New Roman" w:hAnsi="Calibri" w:cs="Calibri"/>
                <w:color w:val="000000"/>
                <w:kern w:val="0"/>
                <w:sz w:val="18"/>
                <w:szCs w:val="18"/>
                <w14:ligatures w14:val="none"/>
              </w:rPr>
              <w:br/>
              <w:t>N = 2,598</w:t>
            </w:r>
          </w:p>
        </w:tc>
        <w:tc>
          <w:tcPr>
            <w:tcW w:w="1621" w:type="dxa"/>
            <w:gridSpan w:val="2"/>
            <w:tcBorders>
              <w:top w:val="nil"/>
              <w:left w:val="nil"/>
              <w:bottom w:val="single" w:sz="4" w:space="0" w:color="auto"/>
              <w:right w:val="nil"/>
            </w:tcBorders>
            <w:shd w:val="clear" w:color="auto" w:fill="auto"/>
            <w:vAlign w:val="center"/>
            <w:hideMark/>
          </w:tcPr>
          <w:p w14:paraId="25111DB0" w14:textId="6BD39AAC" w:rsidR="00BE369F" w:rsidRPr="00091B01" w:rsidRDefault="00B43F54" w:rsidP="00B673E2">
            <w:pPr>
              <w:spacing w:after="0" w:line="240" w:lineRule="auto"/>
              <w:jc w:val="center"/>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Result not recorded</w:t>
            </w:r>
            <w:r w:rsidR="00BE369F" w:rsidRPr="00091B01">
              <w:rPr>
                <w:rFonts w:ascii="Calibri" w:eastAsia="Times New Roman" w:hAnsi="Calibri" w:cs="Calibri"/>
                <w:color w:val="000000"/>
                <w:kern w:val="0"/>
                <w:sz w:val="18"/>
                <w:szCs w:val="18"/>
                <w14:ligatures w14:val="none"/>
              </w:rPr>
              <w:t xml:space="preserve"> </w:t>
            </w:r>
            <w:r w:rsidR="00BE369F" w:rsidRPr="00091B01">
              <w:rPr>
                <w:rFonts w:ascii="Calibri" w:eastAsia="Times New Roman" w:hAnsi="Calibri" w:cs="Calibri"/>
                <w:color w:val="000000"/>
                <w:kern w:val="0"/>
                <w:sz w:val="18"/>
                <w:szCs w:val="18"/>
                <w14:ligatures w14:val="none"/>
              </w:rPr>
              <w:br/>
              <w:t>N = 224</w:t>
            </w:r>
          </w:p>
        </w:tc>
        <w:tc>
          <w:tcPr>
            <w:tcW w:w="1621" w:type="dxa"/>
            <w:tcBorders>
              <w:top w:val="nil"/>
              <w:left w:val="nil"/>
              <w:bottom w:val="single" w:sz="4" w:space="0" w:color="auto"/>
              <w:right w:val="nil"/>
            </w:tcBorders>
            <w:shd w:val="clear" w:color="auto" w:fill="auto"/>
            <w:noWrap/>
            <w:vAlign w:val="center"/>
            <w:hideMark/>
          </w:tcPr>
          <w:p w14:paraId="1CACAE36" w14:textId="02805240" w:rsidR="00BE369F" w:rsidRPr="00091B01" w:rsidRDefault="00BE369F" w:rsidP="00B673E2">
            <w:pPr>
              <w:spacing w:after="0" w:line="240" w:lineRule="auto"/>
              <w:jc w:val="center"/>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N = 3,569</w:t>
            </w:r>
          </w:p>
        </w:tc>
      </w:tr>
      <w:tr w:rsidR="00B93ADA" w:rsidRPr="00D37B2D" w14:paraId="48C27D3D" w14:textId="77777777" w:rsidTr="00B93ADA">
        <w:trPr>
          <w:trHeight w:val="20"/>
        </w:trPr>
        <w:tc>
          <w:tcPr>
            <w:tcW w:w="3977" w:type="dxa"/>
            <w:gridSpan w:val="2"/>
            <w:tcBorders>
              <w:top w:val="single" w:sz="4" w:space="0" w:color="auto"/>
              <w:left w:val="nil"/>
              <w:bottom w:val="nil"/>
              <w:right w:val="nil"/>
            </w:tcBorders>
            <w:shd w:val="clear" w:color="auto" w:fill="auto"/>
            <w:noWrap/>
            <w:hideMark/>
          </w:tcPr>
          <w:p w14:paraId="726981D3" w14:textId="00C99B96" w:rsidR="00B93ADA" w:rsidRPr="00091B01" w:rsidRDefault="00B93ADA" w:rsidP="00B673E2">
            <w:pPr>
              <w:spacing w:after="0" w:line="240" w:lineRule="auto"/>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Antimalarial medications given (n miss: 324)</w:t>
            </w:r>
          </w:p>
        </w:tc>
        <w:tc>
          <w:tcPr>
            <w:tcW w:w="1621" w:type="dxa"/>
            <w:tcBorders>
              <w:top w:val="single" w:sz="4" w:space="0" w:color="auto"/>
              <w:left w:val="nil"/>
              <w:bottom w:val="nil"/>
              <w:right w:val="nil"/>
            </w:tcBorders>
            <w:shd w:val="clear" w:color="auto" w:fill="auto"/>
            <w:noWrap/>
            <w:hideMark/>
          </w:tcPr>
          <w:p w14:paraId="54A67556" w14:textId="77777777" w:rsidR="00B93ADA" w:rsidRPr="00091B01" w:rsidRDefault="00B93ADA" w:rsidP="00B673E2">
            <w:pPr>
              <w:spacing w:after="0" w:line="240" w:lineRule="auto"/>
              <w:jc w:val="right"/>
              <w:rPr>
                <w:rFonts w:ascii="Times New Roman" w:eastAsia="Times New Roman" w:hAnsi="Times New Roman" w:cs="Times New Roman"/>
                <w:kern w:val="0"/>
                <w:sz w:val="18"/>
                <w:szCs w:val="18"/>
                <w14:ligatures w14:val="none"/>
              </w:rPr>
            </w:pPr>
          </w:p>
        </w:tc>
        <w:tc>
          <w:tcPr>
            <w:tcW w:w="1621" w:type="dxa"/>
            <w:gridSpan w:val="2"/>
            <w:tcBorders>
              <w:top w:val="single" w:sz="4" w:space="0" w:color="auto"/>
              <w:left w:val="nil"/>
              <w:bottom w:val="nil"/>
              <w:right w:val="nil"/>
            </w:tcBorders>
            <w:shd w:val="clear" w:color="auto" w:fill="auto"/>
            <w:noWrap/>
            <w:hideMark/>
          </w:tcPr>
          <w:p w14:paraId="10F03D7C" w14:textId="77777777" w:rsidR="00B93ADA" w:rsidRPr="00091B01" w:rsidRDefault="00B93ADA" w:rsidP="00B673E2">
            <w:pPr>
              <w:spacing w:after="0" w:line="240" w:lineRule="auto"/>
              <w:jc w:val="right"/>
              <w:rPr>
                <w:rFonts w:ascii="Times New Roman" w:eastAsia="Times New Roman" w:hAnsi="Times New Roman" w:cs="Times New Roman"/>
                <w:kern w:val="0"/>
                <w:sz w:val="18"/>
                <w:szCs w:val="18"/>
                <w14:ligatures w14:val="none"/>
              </w:rPr>
            </w:pPr>
          </w:p>
        </w:tc>
        <w:tc>
          <w:tcPr>
            <w:tcW w:w="1621" w:type="dxa"/>
            <w:tcBorders>
              <w:top w:val="single" w:sz="4" w:space="0" w:color="auto"/>
              <w:left w:val="nil"/>
              <w:bottom w:val="nil"/>
              <w:right w:val="nil"/>
            </w:tcBorders>
            <w:shd w:val="clear" w:color="auto" w:fill="auto"/>
            <w:noWrap/>
            <w:hideMark/>
          </w:tcPr>
          <w:p w14:paraId="6B737E55" w14:textId="77777777" w:rsidR="00B93ADA" w:rsidRPr="00091B01" w:rsidRDefault="00B93ADA" w:rsidP="00B673E2">
            <w:pPr>
              <w:spacing w:after="0" w:line="240" w:lineRule="auto"/>
              <w:jc w:val="right"/>
              <w:rPr>
                <w:rFonts w:ascii="Times New Roman" w:eastAsia="Times New Roman" w:hAnsi="Times New Roman" w:cs="Times New Roman"/>
                <w:kern w:val="0"/>
                <w:sz w:val="18"/>
                <w:szCs w:val="18"/>
                <w14:ligatures w14:val="none"/>
              </w:rPr>
            </w:pPr>
          </w:p>
        </w:tc>
      </w:tr>
      <w:tr w:rsidR="00BE369F" w:rsidRPr="00D37B2D" w14:paraId="6F4F9C27" w14:textId="77777777" w:rsidTr="00BE369F">
        <w:trPr>
          <w:trHeight w:val="20"/>
        </w:trPr>
        <w:tc>
          <w:tcPr>
            <w:tcW w:w="2357" w:type="dxa"/>
            <w:tcBorders>
              <w:top w:val="nil"/>
              <w:left w:val="nil"/>
              <w:bottom w:val="nil"/>
              <w:right w:val="nil"/>
            </w:tcBorders>
            <w:shd w:val="clear" w:color="auto" w:fill="auto"/>
            <w:noWrap/>
            <w:hideMark/>
          </w:tcPr>
          <w:p w14:paraId="684B5876" w14:textId="77777777" w:rsidR="00BE369F" w:rsidRPr="00091B01" w:rsidRDefault="00BE369F" w:rsidP="00B673E2">
            <w:pPr>
              <w:spacing w:after="0" w:line="240" w:lineRule="auto"/>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 xml:space="preserve">  No</w:t>
            </w:r>
          </w:p>
        </w:tc>
        <w:tc>
          <w:tcPr>
            <w:tcW w:w="1620" w:type="dxa"/>
            <w:tcBorders>
              <w:top w:val="nil"/>
              <w:left w:val="nil"/>
              <w:bottom w:val="nil"/>
              <w:right w:val="nil"/>
            </w:tcBorders>
            <w:shd w:val="clear" w:color="auto" w:fill="auto"/>
            <w:noWrap/>
            <w:hideMark/>
          </w:tcPr>
          <w:p w14:paraId="2D8D95C3" w14:textId="77777777" w:rsidR="00BE369F" w:rsidRPr="00091B01" w:rsidRDefault="00BE369F" w:rsidP="00B673E2">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168 (8.3%)</w:t>
            </w:r>
          </w:p>
        </w:tc>
        <w:tc>
          <w:tcPr>
            <w:tcW w:w="1621" w:type="dxa"/>
            <w:tcBorders>
              <w:top w:val="nil"/>
              <w:left w:val="nil"/>
              <w:bottom w:val="nil"/>
              <w:right w:val="nil"/>
            </w:tcBorders>
            <w:shd w:val="clear" w:color="auto" w:fill="auto"/>
            <w:noWrap/>
            <w:hideMark/>
          </w:tcPr>
          <w:p w14:paraId="2BB72D16" w14:textId="77777777" w:rsidR="00BE369F" w:rsidRPr="00091B01" w:rsidRDefault="00BE369F" w:rsidP="00B673E2">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2,039 (82.8%)</w:t>
            </w:r>
          </w:p>
        </w:tc>
        <w:tc>
          <w:tcPr>
            <w:tcW w:w="1621" w:type="dxa"/>
            <w:gridSpan w:val="2"/>
            <w:tcBorders>
              <w:top w:val="nil"/>
              <w:left w:val="nil"/>
              <w:bottom w:val="nil"/>
              <w:right w:val="nil"/>
            </w:tcBorders>
            <w:shd w:val="clear" w:color="auto" w:fill="auto"/>
            <w:noWrap/>
            <w:hideMark/>
          </w:tcPr>
          <w:p w14:paraId="2D497744" w14:textId="77777777" w:rsidR="00BE369F" w:rsidRPr="00091B01" w:rsidRDefault="00BE369F" w:rsidP="00B673E2">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96 (46.6%)</w:t>
            </w:r>
          </w:p>
        </w:tc>
        <w:tc>
          <w:tcPr>
            <w:tcW w:w="1621" w:type="dxa"/>
            <w:tcBorders>
              <w:top w:val="nil"/>
              <w:left w:val="nil"/>
              <w:bottom w:val="nil"/>
              <w:right w:val="nil"/>
            </w:tcBorders>
            <w:shd w:val="clear" w:color="auto" w:fill="auto"/>
            <w:noWrap/>
            <w:hideMark/>
          </w:tcPr>
          <w:p w14:paraId="7671301C" w14:textId="77777777" w:rsidR="00BE369F" w:rsidRPr="00091B01" w:rsidRDefault="00BE369F" w:rsidP="00B673E2">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3,216 (92.5%)</w:t>
            </w:r>
          </w:p>
        </w:tc>
      </w:tr>
      <w:tr w:rsidR="00BE369F" w:rsidRPr="00D37B2D" w14:paraId="39514E0B" w14:textId="77777777" w:rsidTr="00BE369F">
        <w:trPr>
          <w:trHeight w:val="20"/>
        </w:trPr>
        <w:tc>
          <w:tcPr>
            <w:tcW w:w="2357" w:type="dxa"/>
            <w:tcBorders>
              <w:top w:val="nil"/>
              <w:left w:val="nil"/>
              <w:bottom w:val="nil"/>
              <w:right w:val="nil"/>
            </w:tcBorders>
            <w:shd w:val="clear" w:color="auto" w:fill="auto"/>
            <w:noWrap/>
            <w:hideMark/>
          </w:tcPr>
          <w:p w14:paraId="5C267948" w14:textId="77777777" w:rsidR="00BE369F" w:rsidRPr="00091B01" w:rsidRDefault="00BE369F" w:rsidP="00B673E2">
            <w:pPr>
              <w:spacing w:after="0" w:line="240" w:lineRule="auto"/>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 xml:space="preserve">  Yes</w:t>
            </w:r>
          </w:p>
        </w:tc>
        <w:tc>
          <w:tcPr>
            <w:tcW w:w="1620" w:type="dxa"/>
            <w:tcBorders>
              <w:top w:val="nil"/>
              <w:left w:val="nil"/>
              <w:bottom w:val="nil"/>
              <w:right w:val="nil"/>
            </w:tcBorders>
            <w:shd w:val="clear" w:color="auto" w:fill="auto"/>
            <w:noWrap/>
            <w:hideMark/>
          </w:tcPr>
          <w:p w14:paraId="4B079566" w14:textId="77777777" w:rsidR="00BE369F" w:rsidRPr="00091B01" w:rsidRDefault="00BE369F" w:rsidP="00B673E2">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1,849 (91.7%)</w:t>
            </w:r>
          </w:p>
        </w:tc>
        <w:tc>
          <w:tcPr>
            <w:tcW w:w="1621" w:type="dxa"/>
            <w:tcBorders>
              <w:top w:val="nil"/>
              <w:left w:val="nil"/>
              <w:bottom w:val="nil"/>
              <w:right w:val="nil"/>
            </w:tcBorders>
            <w:shd w:val="clear" w:color="auto" w:fill="auto"/>
            <w:noWrap/>
            <w:hideMark/>
          </w:tcPr>
          <w:p w14:paraId="7CFB4683" w14:textId="77777777" w:rsidR="00BE369F" w:rsidRPr="00091B01" w:rsidRDefault="00BE369F" w:rsidP="00B673E2">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423 (17.2%)</w:t>
            </w:r>
          </w:p>
        </w:tc>
        <w:tc>
          <w:tcPr>
            <w:tcW w:w="1621" w:type="dxa"/>
            <w:gridSpan w:val="2"/>
            <w:tcBorders>
              <w:top w:val="nil"/>
              <w:left w:val="nil"/>
              <w:bottom w:val="nil"/>
              <w:right w:val="nil"/>
            </w:tcBorders>
            <w:shd w:val="clear" w:color="auto" w:fill="auto"/>
            <w:noWrap/>
            <w:hideMark/>
          </w:tcPr>
          <w:p w14:paraId="4ECD1556" w14:textId="77777777" w:rsidR="00BE369F" w:rsidRPr="00091B01" w:rsidRDefault="00BE369F" w:rsidP="00B673E2">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110 (53.4%)</w:t>
            </w:r>
          </w:p>
        </w:tc>
        <w:tc>
          <w:tcPr>
            <w:tcW w:w="1621" w:type="dxa"/>
            <w:tcBorders>
              <w:top w:val="nil"/>
              <w:left w:val="nil"/>
              <w:bottom w:val="nil"/>
              <w:right w:val="nil"/>
            </w:tcBorders>
            <w:shd w:val="clear" w:color="auto" w:fill="auto"/>
            <w:noWrap/>
            <w:hideMark/>
          </w:tcPr>
          <w:p w14:paraId="2CB866ED" w14:textId="77777777" w:rsidR="00BE369F" w:rsidRPr="00091B01" w:rsidRDefault="00BE369F" w:rsidP="00B673E2">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260 (7.5%)</w:t>
            </w:r>
          </w:p>
        </w:tc>
      </w:tr>
      <w:tr w:rsidR="00A2426E" w:rsidRPr="00D37B2D" w14:paraId="55BDFE58" w14:textId="77777777" w:rsidTr="00A2426E">
        <w:trPr>
          <w:trHeight w:val="20"/>
        </w:trPr>
        <w:tc>
          <w:tcPr>
            <w:tcW w:w="3977" w:type="dxa"/>
            <w:gridSpan w:val="2"/>
            <w:tcBorders>
              <w:top w:val="nil"/>
              <w:left w:val="nil"/>
              <w:bottom w:val="nil"/>
              <w:right w:val="nil"/>
            </w:tcBorders>
            <w:shd w:val="clear" w:color="auto" w:fill="auto"/>
            <w:noWrap/>
          </w:tcPr>
          <w:p w14:paraId="466647AD" w14:textId="42A775A0" w:rsidR="00A2426E" w:rsidRPr="00091B01" w:rsidRDefault="00A2426E" w:rsidP="00B673E2">
            <w:pPr>
              <w:spacing w:after="0" w:line="240" w:lineRule="auto"/>
              <w:rPr>
                <w:rFonts w:ascii="Calibri" w:eastAsia="Times New Roman" w:hAnsi="Calibri" w:cs="Calibri"/>
                <w:color w:val="000000"/>
                <w:kern w:val="0"/>
                <w:sz w:val="18"/>
                <w:szCs w:val="18"/>
                <w14:ligatures w14:val="none"/>
              </w:rPr>
            </w:pPr>
            <w:r w:rsidRPr="00091B01">
              <w:rPr>
                <w:sz w:val="18"/>
                <w:szCs w:val="18"/>
              </w:rPr>
              <w:t xml:space="preserve">Antibiotic </w:t>
            </w:r>
            <w:r w:rsidRPr="00091B01">
              <w:rPr>
                <w:rFonts w:ascii="Calibri" w:eastAsia="Times New Roman" w:hAnsi="Calibri" w:cs="Calibri"/>
                <w:color w:val="000000"/>
                <w:kern w:val="0"/>
                <w:sz w:val="18"/>
                <w:szCs w:val="18"/>
                <w14:ligatures w14:val="none"/>
              </w:rPr>
              <w:t>medications given (n miss: 324)</w:t>
            </w:r>
          </w:p>
        </w:tc>
        <w:tc>
          <w:tcPr>
            <w:tcW w:w="1621" w:type="dxa"/>
            <w:tcBorders>
              <w:top w:val="nil"/>
              <w:left w:val="nil"/>
              <w:bottom w:val="nil"/>
              <w:right w:val="nil"/>
            </w:tcBorders>
            <w:shd w:val="clear" w:color="auto" w:fill="auto"/>
            <w:noWrap/>
          </w:tcPr>
          <w:p w14:paraId="5CD89B5A" w14:textId="77777777" w:rsidR="00A2426E" w:rsidRPr="00091B01" w:rsidRDefault="00A2426E" w:rsidP="00B673E2">
            <w:pPr>
              <w:spacing w:after="0" w:line="240" w:lineRule="auto"/>
              <w:jc w:val="right"/>
              <w:rPr>
                <w:rFonts w:ascii="Calibri" w:eastAsia="Times New Roman" w:hAnsi="Calibri" w:cs="Calibri"/>
                <w:color w:val="000000"/>
                <w:kern w:val="0"/>
                <w:sz w:val="18"/>
                <w:szCs w:val="18"/>
                <w14:ligatures w14:val="none"/>
              </w:rPr>
            </w:pPr>
          </w:p>
        </w:tc>
        <w:tc>
          <w:tcPr>
            <w:tcW w:w="1621" w:type="dxa"/>
            <w:gridSpan w:val="2"/>
            <w:tcBorders>
              <w:top w:val="nil"/>
              <w:left w:val="nil"/>
              <w:bottom w:val="nil"/>
              <w:right w:val="nil"/>
            </w:tcBorders>
            <w:shd w:val="clear" w:color="auto" w:fill="auto"/>
            <w:noWrap/>
          </w:tcPr>
          <w:p w14:paraId="7CCCADEC" w14:textId="77777777" w:rsidR="00A2426E" w:rsidRPr="00091B01" w:rsidRDefault="00A2426E" w:rsidP="00B673E2">
            <w:pPr>
              <w:spacing w:after="0" w:line="240" w:lineRule="auto"/>
              <w:jc w:val="right"/>
              <w:rPr>
                <w:rFonts w:ascii="Calibri" w:eastAsia="Times New Roman" w:hAnsi="Calibri" w:cs="Calibri"/>
                <w:color w:val="000000"/>
                <w:kern w:val="0"/>
                <w:sz w:val="18"/>
                <w:szCs w:val="18"/>
                <w14:ligatures w14:val="none"/>
              </w:rPr>
            </w:pPr>
          </w:p>
        </w:tc>
        <w:tc>
          <w:tcPr>
            <w:tcW w:w="1621" w:type="dxa"/>
            <w:tcBorders>
              <w:top w:val="nil"/>
              <w:left w:val="nil"/>
              <w:bottom w:val="nil"/>
              <w:right w:val="nil"/>
            </w:tcBorders>
            <w:shd w:val="clear" w:color="auto" w:fill="auto"/>
            <w:noWrap/>
          </w:tcPr>
          <w:p w14:paraId="53393BF5" w14:textId="77777777" w:rsidR="00A2426E" w:rsidRPr="00091B01" w:rsidRDefault="00A2426E" w:rsidP="00B673E2">
            <w:pPr>
              <w:spacing w:after="0" w:line="240" w:lineRule="auto"/>
              <w:jc w:val="right"/>
              <w:rPr>
                <w:rFonts w:ascii="Calibri" w:eastAsia="Times New Roman" w:hAnsi="Calibri" w:cs="Calibri"/>
                <w:color w:val="000000"/>
                <w:kern w:val="0"/>
                <w:sz w:val="18"/>
                <w:szCs w:val="18"/>
                <w14:ligatures w14:val="none"/>
              </w:rPr>
            </w:pPr>
          </w:p>
        </w:tc>
      </w:tr>
      <w:tr w:rsidR="00137814" w:rsidRPr="00D37B2D" w14:paraId="5C25D174" w14:textId="77777777" w:rsidTr="00BE369F">
        <w:trPr>
          <w:trHeight w:val="20"/>
        </w:trPr>
        <w:tc>
          <w:tcPr>
            <w:tcW w:w="2357" w:type="dxa"/>
            <w:tcBorders>
              <w:top w:val="nil"/>
              <w:left w:val="nil"/>
              <w:bottom w:val="nil"/>
              <w:right w:val="nil"/>
            </w:tcBorders>
            <w:shd w:val="clear" w:color="auto" w:fill="auto"/>
            <w:noWrap/>
          </w:tcPr>
          <w:p w14:paraId="74D355B9" w14:textId="476B42E2" w:rsidR="00137814" w:rsidRPr="00091B01" w:rsidRDefault="00137814" w:rsidP="00B673E2">
            <w:pPr>
              <w:spacing w:after="0" w:line="240" w:lineRule="auto"/>
              <w:rPr>
                <w:rFonts w:ascii="Calibri" w:eastAsia="Times New Roman" w:hAnsi="Calibri" w:cs="Calibri"/>
                <w:color w:val="000000"/>
                <w:kern w:val="0"/>
                <w:sz w:val="18"/>
                <w:szCs w:val="18"/>
                <w14:ligatures w14:val="none"/>
              </w:rPr>
            </w:pPr>
            <w:r w:rsidRPr="00091B01">
              <w:rPr>
                <w:sz w:val="18"/>
                <w:szCs w:val="18"/>
              </w:rPr>
              <w:t xml:space="preserve">  No</w:t>
            </w:r>
          </w:p>
        </w:tc>
        <w:tc>
          <w:tcPr>
            <w:tcW w:w="1620" w:type="dxa"/>
            <w:tcBorders>
              <w:top w:val="nil"/>
              <w:left w:val="nil"/>
              <w:bottom w:val="nil"/>
              <w:right w:val="nil"/>
            </w:tcBorders>
            <w:shd w:val="clear" w:color="auto" w:fill="auto"/>
            <w:noWrap/>
          </w:tcPr>
          <w:p w14:paraId="6A8C9FA7" w14:textId="78F1BF76" w:rsidR="00137814" w:rsidRPr="00091B01" w:rsidRDefault="00137814" w:rsidP="00B673E2">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892 (44.2%)</w:t>
            </w:r>
          </w:p>
        </w:tc>
        <w:tc>
          <w:tcPr>
            <w:tcW w:w="1621" w:type="dxa"/>
            <w:tcBorders>
              <w:top w:val="nil"/>
              <w:left w:val="nil"/>
              <w:bottom w:val="nil"/>
              <w:right w:val="nil"/>
            </w:tcBorders>
            <w:shd w:val="clear" w:color="auto" w:fill="auto"/>
            <w:noWrap/>
          </w:tcPr>
          <w:p w14:paraId="2FD5B6D7" w14:textId="6D4B14D7" w:rsidR="00137814" w:rsidRPr="00091B01" w:rsidRDefault="00137814" w:rsidP="00B673E2">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264 (10.7%)</w:t>
            </w:r>
          </w:p>
        </w:tc>
        <w:tc>
          <w:tcPr>
            <w:tcW w:w="1621" w:type="dxa"/>
            <w:gridSpan w:val="2"/>
            <w:tcBorders>
              <w:top w:val="nil"/>
              <w:left w:val="nil"/>
              <w:bottom w:val="nil"/>
              <w:right w:val="nil"/>
            </w:tcBorders>
            <w:shd w:val="clear" w:color="auto" w:fill="auto"/>
            <w:noWrap/>
          </w:tcPr>
          <w:p w14:paraId="34D42289" w14:textId="746B696C" w:rsidR="00137814" w:rsidRPr="00091B01" w:rsidRDefault="00137814" w:rsidP="00B673E2">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58 (28.2%)</w:t>
            </w:r>
          </w:p>
        </w:tc>
        <w:tc>
          <w:tcPr>
            <w:tcW w:w="1621" w:type="dxa"/>
            <w:tcBorders>
              <w:top w:val="nil"/>
              <w:left w:val="nil"/>
              <w:bottom w:val="nil"/>
              <w:right w:val="nil"/>
            </w:tcBorders>
            <w:shd w:val="clear" w:color="auto" w:fill="auto"/>
            <w:noWrap/>
          </w:tcPr>
          <w:p w14:paraId="493D9FBC" w14:textId="57B85509" w:rsidR="00137814" w:rsidRPr="00091B01" w:rsidRDefault="00137814" w:rsidP="00B673E2">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215 (6.2%)</w:t>
            </w:r>
          </w:p>
        </w:tc>
      </w:tr>
      <w:tr w:rsidR="00137814" w:rsidRPr="00D37B2D" w14:paraId="201E84D0" w14:textId="77777777" w:rsidTr="00BE369F">
        <w:trPr>
          <w:trHeight w:val="20"/>
        </w:trPr>
        <w:tc>
          <w:tcPr>
            <w:tcW w:w="2357" w:type="dxa"/>
            <w:tcBorders>
              <w:top w:val="nil"/>
              <w:left w:val="nil"/>
              <w:bottom w:val="nil"/>
              <w:right w:val="nil"/>
            </w:tcBorders>
            <w:shd w:val="clear" w:color="auto" w:fill="auto"/>
            <w:noWrap/>
          </w:tcPr>
          <w:p w14:paraId="31E12708" w14:textId="55A31D66" w:rsidR="00137814" w:rsidRPr="00091B01" w:rsidRDefault="00137814" w:rsidP="00B673E2">
            <w:pPr>
              <w:spacing w:after="0" w:line="240" w:lineRule="auto"/>
              <w:rPr>
                <w:rFonts w:ascii="Calibri" w:eastAsia="Times New Roman" w:hAnsi="Calibri" w:cs="Calibri"/>
                <w:color w:val="000000"/>
                <w:kern w:val="0"/>
                <w:sz w:val="18"/>
                <w:szCs w:val="18"/>
                <w14:ligatures w14:val="none"/>
              </w:rPr>
            </w:pPr>
            <w:r w:rsidRPr="00091B01">
              <w:rPr>
                <w:sz w:val="18"/>
                <w:szCs w:val="18"/>
              </w:rPr>
              <w:t xml:space="preserve">  Yes</w:t>
            </w:r>
          </w:p>
        </w:tc>
        <w:tc>
          <w:tcPr>
            <w:tcW w:w="1620" w:type="dxa"/>
            <w:tcBorders>
              <w:top w:val="nil"/>
              <w:left w:val="nil"/>
              <w:bottom w:val="nil"/>
              <w:right w:val="nil"/>
            </w:tcBorders>
            <w:shd w:val="clear" w:color="auto" w:fill="auto"/>
            <w:noWrap/>
          </w:tcPr>
          <w:p w14:paraId="25A33A38" w14:textId="6DABB7CE" w:rsidR="00137814" w:rsidRPr="00091B01" w:rsidRDefault="00137814" w:rsidP="00B673E2">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1,125 (55.8%)</w:t>
            </w:r>
          </w:p>
        </w:tc>
        <w:tc>
          <w:tcPr>
            <w:tcW w:w="1621" w:type="dxa"/>
            <w:tcBorders>
              <w:top w:val="nil"/>
              <w:left w:val="nil"/>
              <w:bottom w:val="nil"/>
              <w:right w:val="nil"/>
            </w:tcBorders>
            <w:shd w:val="clear" w:color="auto" w:fill="auto"/>
            <w:noWrap/>
          </w:tcPr>
          <w:p w14:paraId="01FD47CB" w14:textId="6FB74D4C" w:rsidR="00137814" w:rsidRPr="00091B01" w:rsidRDefault="00137814" w:rsidP="00B673E2">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2,198 (89.3%)</w:t>
            </w:r>
          </w:p>
        </w:tc>
        <w:tc>
          <w:tcPr>
            <w:tcW w:w="1621" w:type="dxa"/>
            <w:gridSpan w:val="2"/>
            <w:tcBorders>
              <w:top w:val="nil"/>
              <w:left w:val="nil"/>
              <w:bottom w:val="nil"/>
              <w:right w:val="nil"/>
            </w:tcBorders>
            <w:shd w:val="clear" w:color="auto" w:fill="auto"/>
            <w:noWrap/>
          </w:tcPr>
          <w:p w14:paraId="6CB7FB3A" w14:textId="661D595D" w:rsidR="00137814" w:rsidRPr="00091B01" w:rsidRDefault="00137814" w:rsidP="00B673E2">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148 (71.8%)</w:t>
            </w:r>
          </w:p>
        </w:tc>
        <w:tc>
          <w:tcPr>
            <w:tcW w:w="1621" w:type="dxa"/>
            <w:tcBorders>
              <w:top w:val="nil"/>
              <w:left w:val="nil"/>
              <w:bottom w:val="nil"/>
              <w:right w:val="nil"/>
            </w:tcBorders>
            <w:shd w:val="clear" w:color="auto" w:fill="auto"/>
            <w:noWrap/>
          </w:tcPr>
          <w:p w14:paraId="692DE106" w14:textId="0EFA2F43" w:rsidR="00137814" w:rsidRPr="00091B01" w:rsidRDefault="00137814" w:rsidP="00B673E2">
            <w:pPr>
              <w:spacing w:after="0" w:line="240" w:lineRule="auto"/>
              <w:jc w:val="right"/>
              <w:rPr>
                <w:rFonts w:ascii="Calibri" w:eastAsia="Times New Roman" w:hAnsi="Calibri" w:cs="Calibri"/>
                <w:color w:val="000000"/>
                <w:kern w:val="0"/>
                <w:sz w:val="18"/>
                <w:szCs w:val="18"/>
                <w14:ligatures w14:val="none"/>
              </w:rPr>
            </w:pPr>
            <w:r w:rsidRPr="00091B01">
              <w:rPr>
                <w:sz w:val="18"/>
                <w:szCs w:val="18"/>
              </w:rPr>
              <w:t>3,261 (93.8%)</w:t>
            </w:r>
          </w:p>
        </w:tc>
      </w:tr>
      <w:tr w:rsidR="00BE369F" w:rsidRPr="00D37B2D" w14:paraId="74CEDDEB" w14:textId="77777777" w:rsidTr="00BE369F">
        <w:trPr>
          <w:trHeight w:val="20"/>
        </w:trPr>
        <w:tc>
          <w:tcPr>
            <w:tcW w:w="2357" w:type="dxa"/>
            <w:tcBorders>
              <w:top w:val="nil"/>
              <w:left w:val="nil"/>
              <w:bottom w:val="nil"/>
              <w:right w:val="nil"/>
            </w:tcBorders>
            <w:shd w:val="clear" w:color="auto" w:fill="auto"/>
            <w:noWrap/>
            <w:hideMark/>
          </w:tcPr>
          <w:p w14:paraId="25C04284" w14:textId="4E2928EE" w:rsidR="00BE369F" w:rsidRPr="00091B01" w:rsidRDefault="00BE369F" w:rsidP="00B673E2">
            <w:pPr>
              <w:spacing w:after="0" w:line="240" w:lineRule="auto"/>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Discharge diagnosis</w:t>
            </w:r>
          </w:p>
        </w:tc>
        <w:tc>
          <w:tcPr>
            <w:tcW w:w="1620" w:type="dxa"/>
            <w:tcBorders>
              <w:top w:val="nil"/>
              <w:left w:val="nil"/>
              <w:bottom w:val="nil"/>
              <w:right w:val="nil"/>
            </w:tcBorders>
            <w:shd w:val="clear" w:color="auto" w:fill="auto"/>
            <w:noWrap/>
            <w:hideMark/>
          </w:tcPr>
          <w:p w14:paraId="5BC482EA" w14:textId="77777777" w:rsidR="00BE369F" w:rsidRPr="00091B01" w:rsidRDefault="00BE369F" w:rsidP="00B673E2">
            <w:pPr>
              <w:spacing w:after="0" w:line="240" w:lineRule="auto"/>
              <w:jc w:val="right"/>
              <w:rPr>
                <w:rFonts w:ascii="Calibri" w:eastAsia="Times New Roman" w:hAnsi="Calibri" w:cs="Calibri"/>
                <w:color w:val="000000"/>
                <w:kern w:val="0"/>
                <w:sz w:val="18"/>
                <w:szCs w:val="18"/>
                <w14:ligatures w14:val="none"/>
              </w:rPr>
            </w:pPr>
          </w:p>
        </w:tc>
        <w:tc>
          <w:tcPr>
            <w:tcW w:w="1621" w:type="dxa"/>
            <w:tcBorders>
              <w:top w:val="nil"/>
              <w:left w:val="nil"/>
              <w:bottom w:val="nil"/>
              <w:right w:val="nil"/>
            </w:tcBorders>
            <w:shd w:val="clear" w:color="auto" w:fill="auto"/>
            <w:noWrap/>
            <w:hideMark/>
          </w:tcPr>
          <w:p w14:paraId="1CDF375B" w14:textId="77777777" w:rsidR="00BE369F" w:rsidRPr="00091B01" w:rsidRDefault="00BE369F" w:rsidP="00B673E2">
            <w:pPr>
              <w:spacing w:after="0" w:line="240" w:lineRule="auto"/>
              <w:jc w:val="right"/>
              <w:rPr>
                <w:rFonts w:ascii="Times New Roman" w:eastAsia="Times New Roman" w:hAnsi="Times New Roman" w:cs="Times New Roman"/>
                <w:kern w:val="0"/>
                <w:sz w:val="18"/>
                <w:szCs w:val="18"/>
                <w14:ligatures w14:val="none"/>
              </w:rPr>
            </w:pPr>
          </w:p>
        </w:tc>
        <w:tc>
          <w:tcPr>
            <w:tcW w:w="1621" w:type="dxa"/>
            <w:gridSpan w:val="2"/>
            <w:tcBorders>
              <w:top w:val="nil"/>
              <w:left w:val="nil"/>
              <w:bottom w:val="nil"/>
              <w:right w:val="nil"/>
            </w:tcBorders>
            <w:shd w:val="clear" w:color="auto" w:fill="auto"/>
            <w:noWrap/>
            <w:hideMark/>
          </w:tcPr>
          <w:p w14:paraId="3A5B6A90" w14:textId="77777777" w:rsidR="00BE369F" w:rsidRPr="00091B01" w:rsidRDefault="00BE369F" w:rsidP="00B673E2">
            <w:pPr>
              <w:spacing w:after="0" w:line="240" w:lineRule="auto"/>
              <w:jc w:val="right"/>
              <w:rPr>
                <w:rFonts w:ascii="Times New Roman" w:eastAsia="Times New Roman" w:hAnsi="Times New Roman" w:cs="Times New Roman"/>
                <w:kern w:val="0"/>
                <w:sz w:val="18"/>
                <w:szCs w:val="18"/>
                <w14:ligatures w14:val="none"/>
              </w:rPr>
            </w:pPr>
          </w:p>
        </w:tc>
        <w:tc>
          <w:tcPr>
            <w:tcW w:w="1621" w:type="dxa"/>
            <w:tcBorders>
              <w:top w:val="nil"/>
              <w:left w:val="nil"/>
              <w:bottom w:val="nil"/>
              <w:right w:val="nil"/>
            </w:tcBorders>
            <w:shd w:val="clear" w:color="auto" w:fill="auto"/>
            <w:noWrap/>
            <w:hideMark/>
          </w:tcPr>
          <w:p w14:paraId="6013DB3F" w14:textId="77777777" w:rsidR="00BE369F" w:rsidRPr="00091B01" w:rsidRDefault="00BE369F" w:rsidP="00B673E2">
            <w:pPr>
              <w:spacing w:after="0" w:line="240" w:lineRule="auto"/>
              <w:jc w:val="right"/>
              <w:rPr>
                <w:rFonts w:ascii="Times New Roman" w:eastAsia="Times New Roman" w:hAnsi="Times New Roman" w:cs="Times New Roman"/>
                <w:kern w:val="0"/>
                <w:sz w:val="18"/>
                <w:szCs w:val="18"/>
                <w14:ligatures w14:val="none"/>
              </w:rPr>
            </w:pPr>
          </w:p>
        </w:tc>
      </w:tr>
      <w:tr w:rsidR="00BE369F" w:rsidRPr="00D37B2D" w14:paraId="50E7F694" w14:textId="77777777" w:rsidTr="00B93ADA">
        <w:trPr>
          <w:trHeight w:val="20"/>
        </w:trPr>
        <w:tc>
          <w:tcPr>
            <w:tcW w:w="2357" w:type="dxa"/>
            <w:tcBorders>
              <w:top w:val="nil"/>
              <w:left w:val="nil"/>
              <w:right w:val="nil"/>
            </w:tcBorders>
            <w:shd w:val="clear" w:color="auto" w:fill="auto"/>
            <w:noWrap/>
            <w:hideMark/>
          </w:tcPr>
          <w:p w14:paraId="3F247F00" w14:textId="22995CD8" w:rsidR="00BE369F" w:rsidRPr="00091B01" w:rsidRDefault="00BE369F" w:rsidP="00B673E2">
            <w:pPr>
              <w:spacing w:after="0" w:line="240" w:lineRule="auto"/>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 xml:space="preserve">  Malaria</w:t>
            </w:r>
            <w:r w:rsidR="00B93ADA" w:rsidRPr="00091B01">
              <w:rPr>
                <w:rFonts w:ascii="Calibri" w:eastAsia="Times New Roman" w:hAnsi="Calibri" w:cs="Calibri"/>
                <w:color w:val="000000"/>
                <w:kern w:val="0"/>
                <w:sz w:val="18"/>
                <w:szCs w:val="18"/>
                <w14:ligatures w14:val="none"/>
              </w:rPr>
              <w:t>*</w:t>
            </w:r>
          </w:p>
        </w:tc>
        <w:tc>
          <w:tcPr>
            <w:tcW w:w="1620" w:type="dxa"/>
            <w:tcBorders>
              <w:top w:val="nil"/>
              <w:left w:val="nil"/>
              <w:right w:val="nil"/>
            </w:tcBorders>
            <w:shd w:val="clear" w:color="auto" w:fill="auto"/>
            <w:noWrap/>
            <w:hideMark/>
          </w:tcPr>
          <w:p w14:paraId="7628FBF0" w14:textId="77777777" w:rsidR="00BE369F" w:rsidRPr="00091B01" w:rsidRDefault="00BE369F" w:rsidP="00B673E2">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1,887 (90.1%)</w:t>
            </w:r>
          </w:p>
        </w:tc>
        <w:tc>
          <w:tcPr>
            <w:tcW w:w="1621" w:type="dxa"/>
            <w:tcBorders>
              <w:top w:val="nil"/>
              <w:left w:val="nil"/>
              <w:right w:val="nil"/>
            </w:tcBorders>
            <w:shd w:val="clear" w:color="auto" w:fill="auto"/>
            <w:noWrap/>
            <w:hideMark/>
          </w:tcPr>
          <w:p w14:paraId="1D561755" w14:textId="77777777" w:rsidR="00BE369F" w:rsidRPr="00091B01" w:rsidRDefault="00BE369F" w:rsidP="00B673E2">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390 (15.0%)</w:t>
            </w:r>
          </w:p>
        </w:tc>
        <w:tc>
          <w:tcPr>
            <w:tcW w:w="1621" w:type="dxa"/>
            <w:gridSpan w:val="2"/>
            <w:tcBorders>
              <w:top w:val="nil"/>
              <w:left w:val="nil"/>
              <w:right w:val="nil"/>
            </w:tcBorders>
            <w:shd w:val="clear" w:color="auto" w:fill="auto"/>
            <w:noWrap/>
            <w:hideMark/>
          </w:tcPr>
          <w:p w14:paraId="0AC9D626" w14:textId="77777777" w:rsidR="00BE369F" w:rsidRPr="00091B01" w:rsidRDefault="00BE369F" w:rsidP="00B673E2">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115 (51.3%)</w:t>
            </w:r>
          </w:p>
        </w:tc>
        <w:tc>
          <w:tcPr>
            <w:tcW w:w="1621" w:type="dxa"/>
            <w:tcBorders>
              <w:top w:val="nil"/>
              <w:left w:val="nil"/>
              <w:right w:val="nil"/>
            </w:tcBorders>
            <w:shd w:val="clear" w:color="auto" w:fill="auto"/>
            <w:noWrap/>
            <w:hideMark/>
          </w:tcPr>
          <w:p w14:paraId="7C29211B" w14:textId="77777777" w:rsidR="00BE369F" w:rsidRPr="00091B01" w:rsidRDefault="00BE369F" w:rsidP="00B673E2">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235 (6.6%)</w:t>
            </w:r>
          </w:p>
        </w:tc>
      </w:tr>
      <w:tr w:rsidR="00B93ADA" w:rsidRPr="00D37B2D" w14:paraId="1D196057" w14:textId="77777777" w:rsidTr="00B93ADA">
        <w:trPr>
          <w:trHeight w:val="20"/>
        </w:trPr>
        <w:tc>
          <w:tcPr>
            <w:tcW w:w="2357" w:type="dxa"/>
            <w:tcBorders>
              <w:top w:val="nil"/>
              <w:left w:val="nil"/>
              <w:bottom w:val="single" w:sz="4" w:space="0" w:color="auto"/>
              <w:right w:val="nil"/>
            </w:tcBorders>
            <w:shd w:val="clear" w:color="auto" w:fill="auto"/>
            <w:noWrap/>
            <w:hideMark/>
          </w:tcPr>
          <w:p w14:paraId="6DEB69A6" w14:textId="77777777" w:rsidR="00BE369F" w:rsidRPr="00091B01" w:rsidRDefault="00BE369F" w:rsidP="00B673E2">
            <w:pPr>
              <w:spacing w:after="0" w:line="240" w:lineRule="auto"/>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 xml:space="preserve">  Other diagnosis</w:t>
            </w:r>
          </w:p>
        </w:tc>
        <w:tc>
          <w:tcPr>
            <w:tcW w:w="1620" w:type="dxa"/>
            <w:tcBorders>
              <w:top w:val="nil"/>
              <w:left w:val="nil"/>
              <w:bottom w:val="single" w:sz="4" w:space="0" w:color="auto"/>
              <w:right w:val="nil"/>
            </w:tcBorders>
            <w:shd w:val="clear" w:color="auto" w:fill="auto"/>
            <w:noWrap/>
            <w:hideMark/>
          </w:tcPr>
          <w:p w14:paraId="7B40F5FE" w14:textId="77777777" w:rsidR="00BE369F" w:rsidRPr="00091B01" w:rsidRDefault="00BE369F" w:rsidP="00B673E2">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207 (9.9%)</w:t>
            </w:r>
          </w:p>
        </w:tc>
        <w:tc>
          <w:tcPr>
            <w:tcW w:w="1621" w:type="dxa"/>
            <w:tcBorders>
              <w:top w:val="nil"/>
              <w:left w:val="nil"/>
              <w:bottom w:val="single" w:sz="4" w:space="0" w:color="auto"/>
              <w:right w:val="nil"/>
            </w:tcBorders>
            <w:shd w:val="clear" w:color="auto" w:fill="auto"/>
            <w:noWrap/>
            <w:hideMark/>
          </w:tcPr>
          <w:p w14:paraId="062A18AC" w14:textId="77777777" w:rsidR="00BE369F" w:rsidRPr="00091B01" w:rsidRDefault="00BE369F" w:rsidP="00B673E2">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2,208 (85.0%)</w:t>
            </w:r>
          </w:p>
        </w:tc>
        <w:tc>
          <w:tcPr>
            <w:tcW w:w="1621" w:type="dxa"/>
            <w:gridSpan w:val="2"/>
            <w:tcBorders>
              <w:top w:val="nil"/>
              <w:left w:val="nil"/>
              <w:bottom w:val="single" w:sz="4" w:space="0" w:color="auto"/>
              <w:right w:val="nil"/>
            </w:tcBorders>
            <w:shd w:val="clear" w:color="auto" w:fill="auto"/>
            <w:noWrap/>
            <w:hideMark/>
          </w:tcPr>
          <w:p w14:paraId="18013AA8" w14:textId="77777777" w:rsidR="00BE369F" w:rsidRPr="00091B01" w:rsidRDefault="00BE369F" w:rsidP="00B673E2">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109 (48.7%)</w:t>
            </w:r>
          </w:p>
        </w:tc>
        <w:tc>
          <w:tcPr>
            <w:tcW w:w="1621" w:type="dxa"/>
            <w:tcBorders>
              <w:top w:val="nil"/>
              <w:left w:val="nil"/>
              <w:bottom w:val="single" w:sz="4" w:space="0" w:color="auto"/>
              <w:right w:val="nil"/>
            </w:tcBorders>
            <w:shd w:val="clear" w:color="auto" w:fill="auto"/>
            <w:noWrap/>
            <w:hideMark/>
          </w:tcPr>
          <w:p w14:paraId="0233ED0B" w14:textId="77777777" w:rsidR="00BE369F" w:rsidRPr="00091B01" w:rsidRDefault="00BE369F" w:rsidP="00B673E2">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3,334 (93.4%)</w:t>
            </w:r>
          </w:p>
        </w:tc>
      </w:tr>
      <w:tr w:rsidR="00B93ADA" w:rsidRPr="00D37B2D" w14:paraId="04D7E564" w14:textId="77777777">
        <w:trPr>
          <w:trHeight w:val="20"/>
        </w:trPr>
        <w:tc>
          <w:tcPr>
            <w:tcW w:w="8840" w:type="dxa"/>
            <w:gridSpan w:val="6"/>
            <w:tcBorders>
              <w:top w:val="single" w:sz="4" w:space="0" w:color="auto"/>
              <w:left w:val="nil"/>
              <w:bottom w:val="single" w:sz="4" w:space="0" w:color="auto"/>
              <w:right w:val="nil"/>
            </w:tcBorders>
            <w:shd w:val="clear" w:color="auto" w:fill="auto"/>
            <w:noWrap/>
          </w:tcPr>
          <w:p w14:paraId="06F1C9D0" w14:textId="24FD4FB3" w:rsidR="00B93ADA" w:rsidRPr="00091B01" w:rsidRDefault="00B93ADA" w:rsidP="00B673E2">
            <w:pPr>
              <w:spacing w:after="0" w:line="240" w:lineRule="auto"/>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 Could include additional diagnoses</w:t>
            </w:r>
            <w:r w:rsidR="004C5E54" w:rsidRPr="00091B01">
              <w:rPr>
                <w:rFonts w:ascii="Calibri" w:eastAsia="Times New Roman" w:hAnsi="Calibri" w:cs="Calibri"/>
                <w:color w:val="000000"/>
                <w:kern w:val="0"/>
                <w:sz w:val="18"/>
                <w:szCs w:val="18"/>
                <w14:ligatures w14:val="none"/>
              </w:rPr>
              <w:t xml:space="preserve"> such as pneumonia</w:t>
            </w:r>
            <w:r w:rsidR="00A2426E" w:rsidRPr="00091B01">
              <w:rPr>
                <w:rFonts w:ascii="Calibri" w:eastAsia="Times New Roman" w:hAnsi="Calibri" w:cs="Calibri"/>
                <w:color w:val="000000"/>
                <w:kern w:val="0"/>
                <w:sz w:val="18"/>
                <w:szCs w:val="18"/>
                <w14:ligatures w14:val="none"/>
              </w:rPr>
              <w:t>, meningitis, etc.</w:t>
            </w:r>
          </w:p>
        </w:tc>
      </w:tr>
    </w:tbl>
    <w:p w14:paraId="3B9E7B51" w14:textId="77777777" w:rsidR="009533D7" w:rsidRDefault="009533D7" w:rsidP="001407CA">
      <w:pPr>
        <w:spacing w:line="480" w:lineRule="auto"/>
        <w:ind w:firstLine="720"/>
      </w:pPr>
    </w:p>
    <w:p w14:paraId="6507138B" w14:textId="6D18EC65" w:rsidR="00E35DE9" w:rsidRDefault="0009060B" w:rsidP="001407CA">
      <w:pPr>
        <w:spacing w:line="480" w:lineRule="auto"/>
        <w:ind w:firstLine="720"/>
      </w:pPr>
      <w:r>
        <w:t xml:space="preserve">Among </w:t>
      </w:r>
      <w:r w:rsidR="003A2638">
        <w:t xml:space="preserve">those </w:t>
      </w:r>
      <w:r>
        <w:t xml:space="preserve">with a positive clinical malaria test, </w:t>
      </w:r>
      <w:r w:rsidR="00711100">
        <w:t xml:space="preserve">treatment with antimalarial medications was associated with lower odds </w:t>
      </w:r>
      <w:r w:rsidR="003829D8">
        <w:t>of severe illness</w:t>
      </w:r>
      <w:r w:rsidR="00811234">
        <w:t xml:space="preserve"> and mortality, although the latter association was not statistically significant (Table </w:t>
      </w:r>
      <w:r w:rsidR="00D457BB">
        <w:t>8</w:t>
      </w:r>
      <w:r w:rsidR="00811234">
        <w:t xml:space="preserve">). Additionally, </w:t>
      </w:r>
      <w:r>
        <w:t>t</w:t>
      </w:r>
      <w:r w:rsidR="00F9394E">
        <w:t>he odds of s</w:t>
      </w:r>
      <w:r w:rsidR="00D46321">
        <w:t>ever</w:t>
      </w:r>
      <w:r w:rsidR="00F9394E">
        <w:t>e illness</w:t>
      </w:r>
      <w:r w:rsidR="00D46321">
        <w:t xml:space="preserve"> and </w:t>
      </w:r>
      <w:r w:rsidR="002446CC">
        <w:t xml:space="preserve">mortality were higher among patients </w:t>
      </w:r>
      <w:r w:rsidR="00F9394E">
        <w:t xml:space="preserve">who had a non-malaria diagnosis </w:t>
      </w:r>
      <w:r w:rsidR="002D5B1E">
        <w:t xml:space="preserve">compared to persons only diagnosed with malaria </w:t>
      </w:r>
      <w:r w:rsidR="00922DBC">
        <w:t>at discharge</w:t>
      </w:r>
      <w:r w:rsidR="00CD7A83">
        <w:t xml:space="preserve">. </w:t>
      </w:r>
      <w:r w:rsidR="00860D46">
        <w:t>P</w:t>
      </w:r>
      <w:r w:rsidR="00922DBC">
        <w:t>atient</w:t>
      </w:r>
      <w:r w:rsidR="006B1A60">
        <w:t>s</w:t>
      </w:r>
      <w:r w:rsidR="00922DBC">
        <w:t xml:space="preserve"> with </w:t>
      </w:r>
      <w:r w:rsidR="00860D46">
        <w:t>malaria plus</w:t>
      </w:r>
      <w:r w:rsidR="002D5B1E">
        <w:t xml:space="preserve"> </w:t>
      </w:r>
      <w:r w:rsidR="00860D46">
        <w:t xml:space="preserve">another </w:t>
      </w:r>
      <w:r w:rsidR="002D5B1E">
        <w:t>discharge diagnosis</w:t>
      </w:r>
      <w:r w:rsidR="00922DBC">
        <w:t xml:space="preserve"> had greater odds of severe illness</w:t>
      </w:r>
      <w:r w:rsidR="00860D46">
        <w:t>, but not mortality,</w:t>
      </w:r>
      <w:r w:rsidR="00922DBC">
        <w:t xml:space="preserve"> than those with malaria</w:t>
      </w:r>
      <w:r w:rsidR="00860D46">
        <w:t xml:space="preserve"> only</w:t>
      </w:r>
      <w:r w:rsidR="00922DBC">
        <w:t>.</w:t>
      </w:r>
      <w:r w:rsidR="002D5B1E">
        <w:t xml:space="preserve"> </w:t>
      </w:r>
      <w:r w:rsidR="00F9394E">
        <w:t xml:space="preserve"> </w:t>
      </w:r>
    </w:p>
    <w:p w14:paraId="29662E46" w14:textId="6708397B" w:rsidR="000B56A1" w:rsidRPr="0089130F" w:rsidRDefault="000B56A1" w:rsidP="00B14B93">
      <w:pPr>
        <w:pStyle w:val="Heading2"/>
        <w:spacing w:line="240" w:lineRule="auto"/>
        <w:rPr>
          <w:b/>
          <w:bCs/>
          <w:sz w:val="22"/>
          <w:szCs w:val="22"/>
        </w:rPr>
      </w:pPr>
      <w:r w:rsidRPr="0089130F">
        <w:rPr>
          <w:b/>
          <w:bCs/>
          <w:sz w:val="22"/>
          <w:szCs w:val="22"/>
        </w:rPr>
        <w:t>Table</w:t>
      </w:r>
      <w:r w:rsidR="00D457BB">
        <w:rPr>
          <w:b/>
          <w:bCs/>
          <w:sz w:val="22"/>
          <w:szCs w:val="22"/>
        </w:rPr>
        <w:t xml:space="preserve"> 8</w:t>
      </w:r>
      <w:r w:rsidRPr="0089130F">
        <w:rPr>
          <w:b/>
          <w:bCs/>
          <w:sz w:val="22"/>
          <w:szCs w:val="22"/>
        </w:rPr>
        <w:t xml:space="preserve">: </w:t>
      </w:r>
      <w:r w:rsidR="005D4129">
        <w:rPr>
          <w:b/>
          <w:bCs/>
          <w:sz w:val="22"/>
          <w:szCs w:val="22"/>
        </w:rPr>
        <w:t>Disease severity and outcomes by a</w:t>
      </w:r>
      <w:r w:rsidR="0009060B">
        <w:rPr>
          <w:b/>
          <w:bCs/>
          <w:sz w:val="22"/>
          <w:szCs w:val="22"/>
        </w:rPr>
        <w:t>ntimalarial use and d</w:t>
      </w:r>
      <w:r w:rsidR="00F51588">
        <w:rPr>
          <w:b/>
          <w:bCs/>
          <w:sz w:val="22"/>
          <w:szCs w:val="22"/>
        </w:rPr>
        <w:t xml:space="preserve">ischarge diagnosis </w:t>
      </w:r>
      <w:r w:rsidR="005D4129">
        <w:rPr>
          <w:b/>
          <w:bCs/>
          <w:sz w:val="22"/>
          <w:szCs w:val="22"/>
        </w:rPr>
        <w:t>among</w:t>
      </w:r>
      <w:r w:rsidR="00F51588">
        <w:rPr>
          <w:b/>
          <w:bCs/>
          <w:sz w:val="22"/>
          <w:szCs w:val="22"/>
        </w:rPr>
        <w:t xml:space="preserve"> patients with </w:t>
      </w:r>
      <w:r w:rsidR="005D4129">
        <w:rPr>
          <w:b/>
          <w:bCs/>
          <w:sz w:val="22"/>
          <w:szCs w:val="22"/>
        </w:rPr>
        <w:t xml:space="preserve">acute febrile illness and </w:t>
      </w:r>
      <w:r w:rsidR="00F51588">
        <w:rPr>
          <w:b/>
          <w:bCs/>
          <w:sz w:val="22"/>
          <w:szCs w:val="22"/>
        </w:rPr>
        <w:t>a positive malaria test</w:t>
      </w:r>
      <w:r w:rsidR="005D4129">
        <w:rPr>
          <w:b/>
          <w:bCs/>
          <w:sz w:val="22"/>
          <w:szCs w:val="22"/>
        </w:rPr>
        <w:t xml:space="preserve"> during clinical care </w:t>
      </w:r>
    </w:p>
    <w:tbl>
      <w:tblPr>
        <w:tblW w:w="9072" w:type="dxa"/>
        <w:tblLayout w:type="fixed"/>
        <w:tblLook w:val="04A0" w:firstRow="1" w:lastRow="0" w:firstColumn="1" w:lastColumn="0" w:noHBand="0" w:noVBand="1"/>
      </w:tblPr>
      <w:tblGrid>
        <w:gridCol w:w="2160"/>
        <w:gridCol w:w="1152"/>
        <w:gridCol w:w="1152"/>
        <w:gridCol w:w="1152"/>
        <w:gridCol w:w="1152"/>
        <w:gridCol w:w="1152"/>
        <w:gridCol w:w="1152"/>
      </w:tblGrid>
      <w:tr w:rsidR="007B1D15" w:rsidRPr="00D37B2D" w14:paraId="28CFE301" w14:textId="77777777" w:rsidTr="00086F3F">
        <w:trPr>
          <w:trHeight w:val="20"/>
        </w:trPr>
        <w:tc>
          <w:tcPr>
            <w:tcW w:w="2160" w:type="dxa"/>
            <w:tcBorders>
              <w:top w:val="single" w:sz="4" w:space="0" w:color="auto"/>
              <w:left w:val="nil"/>
              <w:bottom w:val="single" w:sz="4" w:space="0" w:color="auto"/>
              <w:right w:val="nil"/>
            </w:tcBorders>
            <w:shd w:val="clear" w:color="auto" w:fill="auto"/>
            <w:noWrap/>
            <w:vAlign w:val="bottom"/>
            <w:hideMark/>
          </w:tcPr>
          <w:p w14:paraId="1CE3538C" w14:textId="77777777" w:rsidR="005B697A" w:rsidRPr="00091B01" w:rsidRDefault="005B697A" w:rsidP="00B14B93">
            <w:pPr>
              <w:spacing w:after="0" w:line="240" w:lineRule="auto"/>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 </w:t>
            </w:r>
          </w:p>
        </w:tc>
        <w:tc>
          <w:tcPr>
            <w:tcW w:w="1152" w:type="dxa"/>
            <w:tcBorders>
              <w:top w:val="single" w:sz="4" w:space="0" w:color="auto"/>
              <w:left w:val="nil"/>
              <w:bottom w:val="single" w:sz="4" w:space="0" w:color="auto"/>
              <w:right w:val="nil"/>
            </w:tcBorders>
            <w:shd w:val="clear" w:color="auto" w:fill="auto"/>
            <w:vAlign w:val="center"/>
            <w:hideMark/>
          </w:tcPr>
          <w:p w14:paraId="5808EAFD" w14:textId="44B0BE2F" w:rsidR="005B697A" w:rsidRPr="00091B01" w:rsidRDefault="005B697A" w:rsidP="00B14B93">
            <w:pPr>
              <w:spacing w:after="0" w:line="240" w:lineRule="auto"/>
              <w:jc w:val="center"/>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Not severe,</w:t>
            </w:r>
            <w:r w:rsidRPr="00091B01">
              <w:rPr>
                <w:rFonts w:ascii="Calibri" w:eastAsia="Times New Roman" w:hAnsi="Calibri" w:cs="Calibri"/>
                <w:color w:val="000000"/>
                <w:kern w:val="0"/>
                <w:sz w:val="18"/>
                <w:szCs w:val="18"/>
                <w14:ligatures w14:val="none"/>
              </w:rPr>
              <w:br/>
              <w:t>N = 1506</w:t>
            </w:r>
          </w:p>
        </w:tc>
        <w:tc>
          <w:tcPr>
            <w:tcW w:w="1152" w:type="dxa"/>
            <w:tcBorders>
              <w:top w:val="single" w:sz="4" w:space="0" w:color="auto"/>
              <w:left w:val="nil"/>
              <w:bottom w:val="single" w:sz="4" w:space="0" w:color="auto"/>
              <w:right w:val="nil"/>
            </w:tcBorders>
            <w:shd w:val="clear" w:color="auto" w:fill="auto"/>
            <w:vAlign w:val="center"/>
            <w:hideMark/>
          </w:tcPr>
          <w:p w14:paraId="692BD089" w14:textId="77777777" w:rsidR="005B697A" w:rsidRPr="00091B01" w:rsidRDefault="005B697A" w:rsidP="00B14B93">
            <w:pPr>
              <w:spacing w:after="0" w:line="240" w:lineRule="auto"/>
              <w:jc w:val="center"/>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Severe,</w:t>
            </w:r>
            <w:r w:rsidRPr="00091B01">
              <w:rPr>
                <w:rFonts w:ascii="Calibri" w:eastAsia="Times New Roman" w:hAnsi="Calibri" w:cs="Calibri"/>
                <w:color w:val="000000"/>
                <w:kern w:val="0"/>
                <w:sz w:val="18"/>
                <w:szCs w:val="18"/>
                <w14:ligatures w14:val="none"/>
              </w:rPr>
              <w:br/>
              <w:t>N = 588</w:t>
            </w:r>
          </w:p>
        </w:tc>
        <w:tc>
          <w:tcPr>
            <w:tcW w:w="1152" w:type="dxa"/>
            <w:tcBorders>
              <w:top w:val="single" w:sz="4" w:space="0" w:color="auto"/>
              <w:left w:val="nil"/>
              <w:bottom w:val="single" w:sz="4" w:space="0" w:color="auto"/>
              <w:right w:val="nil"/>
            </w:tcBorders>
            <w:shd w:val="clear" w:color="auto" w:fill="auto"/>
            <w:noWrap/>
            <w:vAlign w:val="center"/>
            <w:hideMark/>
          </w:tcPr>
          <w:p w14:paraId="50EC15CC" w14:textId="77777777" w:rsidR="005B697A" w:rsidRPr="00091B01" w:rsidRDefault="005B697A" w:rsidP="00B14B93">
            <w:pPr>
              <w:spacing w:after="0" w:line="240" w:lineRule="auto"/>
              <w:jc w:val="center"/>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OR (95% CI)</w:t>
            </w:r>
          </w:p>
        </w:tc>
        <w:tc>
          <w:tcPr>
            <w:tcW w:w="1152" w:type="dxa"/>
            <w:tcBorders>
              <w:top w:val="single" w:sz="4" w:space="0" w:color="auto"/>
              <w:left w:val="nil"/>
              <w:bottom w:val="single" w:sz="4" w:space="0" w:color="auto"/>
              <w:right w:val="nil"/>
            </w:tcBorders>
            <w:shd w:val="clear" w:color="auto" w:fill="auto"/>
            <w:vAlign w:val="center"/>
            <w:hideMark/>
          </w:tcPr>
          <w:p w14:paraId="0C0D20E2" w14:textId="4B7CE2BF" w:rsidR="005B697A" w:rsidRPr="00091B01" w:rsidRDefault="005B697A" w:rsidP="00B14B93">
            <w:pPr>
              <w:spacing w:after="0" w:line="240" w:lineRule="auto"/>
              <w:jc w:val="center"/>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Discharged,</w:t>
            </w:r>
            <w:r w:rsidRPr="00091B01">
              <w:rPr>
                <w:rFonts w:ascii="Calibri" w:eastAsia="Times New Roman" w:hAnsi="Calibri" w:cs="Calibri"/>
                <w:color w:val="000000"/>
                <w:kern w:val="0"/>
                <w:sz w:val="18"/>
                <w:szCs w:val="18"/>
                <w14:ligatures w14:val="none"/>
              </w:rPr>
              <w:br/>
              <w:t>N = 2012</w:t>
            </w:r>
          </w:p>
        </w:tc>
        <w:tc>
          <w:tcPr>
            <w:tcW w:w="1152" w:type="dxa"/>
            <w:tcBorders>
              <w:top w:val="single" w:sz="4" w:space="0" w:color="auto"/>
              <w:left w:val="nil"/>
              <w:bottom w:val="single" w:sz="4" w:space="0" w:color="auto"/>
              <w:right w:val="nil"/>
            </w:tcBorders>
            <w:shd w:val="clear" w:color="auto" w:fill="auto"/>
            <w:vAlign w:val="center"/>
            <w:hideMark/>
          </w:tcPr>
          <w:p w14:paraId="6EB3358C" w14:textId="77777777" w:rsidR="005B697A" w:rsidRPr="00091B01" w:rsidRDefault="005B697A" w:rsidP="00B14B93">
            <w:pPr>
              <w:spacing w:after="0" w:line="240" w:lineRule="auto"/>
              <w:jc w:val="center"/>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Dead,</w:t>
            </w:r>
            <w:r w:rsidRPr="00091B01">
              <w:rPr>
                <w:rFonts w:ascii="Calibri" w:eastAsia="Times New Roman" w:hAnsi="Calibri" w:cs="Calibri"/>
                <w:color w:val="000000"/>
                <w:kern w:val="0"/>
                <w:sz w:val="18"/>
                <w:szCs w:val="18"/>
                <w14:ligatures w14:val="none"/>
              </w:rPr>
              <w:br/>
              <w:t>N = 15</w:t>
            </w:r>
          </w:p>
        </w:tc>
        <w:tc>
          <w:tcPr>
            <w:tcW w:w="1152" w:type="dxa"/>
            <w:tcBorders>
              <w:top w:val="single" w:sz="4" w:space="0" w:color="auto"/>
              <w:left w:val="nil"/>
              <w:bottom w:val="single" w:sz="4" w:space="0" w:color="auto"/>
              <w:right w:val="nil"/>
            </w:tcBorders>
            <w:shd w:val="clear" w:color="auto" w:fill="auto"/>
            <w:noWrap/>
            <w:vAlign w:val="center"/>
            <w:hideMark/>
          </w:tcPr>
          <w:p w14:paraId="6C1A2595" w14:textId="77777777" w:rsidR="005B697A" w:rsidRPr="00091B01" w:rsidRDefault="005B697A" w:rsidP="00B14B93">
            <w:pPr>
              <w:spacing w:after="0" w:line="240" w:lineRule="auto"/>
              <w:jc w:val="center"/>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OR (95% CI)</w:t>
            </w:r>
          </w:p>
        </w:tc>
      </w:tr>
      <w:tr w:rsidR="00086F3F" w:rsidRPr="00D37B2D" w14:paraId="06CBCE27" w14:textId="77777777" w:rsidTr="00DA1D0E">
        <w:trPr>
          <w:trHeight w:val="440"/>
        </w:trPr>
        <w:tc>
          <w:tcPr>
            <w:tcW w:w="4464" w:type="dxa"/>
            <w:gridSpan w:val="3"/>
            <w:tcBorders>
              <w:top w:val="single" w:sz="4" w:space="0" w:color="auto"/>
              <w:left w:val="nil"/>
              <w:right w:val="nil"/>
            </w:tcBorders>
            <w:shd w:val="clear" w:color="auto" w:fill="auto"/>
            <w:noWrap/>
            <w:vAlign w:val="center"/>
          </w:tcPr>
          <w:p w14:paraId="14D72C56" w14:textId="6AFE85A5" w:rsidR="00086F3F" w:rsidRPr="00091B01" w:rsidRDefault="00086F3F" w:rsidP="00DA1D0E">
            <w:pPr>
              <w:spacing w:after="0" w:line="240" w:lineRule="auto"/>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Antimalarials given during hospitalization (n miss = 77)</w:t>
            </w:r>
          </w:p>
        </w:tc>
        <w:tc>
          <w:tcPr>
            <w:tcW w:w="1152" w:type="dxa"/>
            <w:tcBorders>
              <w:top w:val="single" w:sz="4" w:space="0" w:color="auto"/>
              <w:left w:val="nil"/>
              <w:right w:val="nil"/>
            </w:tcBorders>
            <w:shd w:val="clear" w:color="auto" w:fill="auto"/>
            <w:noWrap/>
            <w:vAlign w:val="center"/>
          </w:tcPr>
          <w:p w14:paraId="1DCC9C50" w14:textId="77777777" w:rsidR="00086F3F" w:rsidRPr="00091B01" w:rsidRDefault="00086F3F" w:rsidP="00A31C95">
            <w:pPr>
              <w:spacing w:after="0" w:line="240" w:lineRule="auto"/>
              <w:jc w:val="center"/>
              <w:rPr>
                <w:rFonts w:ascii="Calibri" w:eastAsia="Times New Roman" w:hAnsi="Calibri" w:cs="Calibri"/>
                <w:color w:val="000000"/>
                <w:kern w:val="0"/>
                <w:sz w:val="18"/>
                <w:szCs w:val="18"/>
                <w14:ligatures w14:val="none"/>
              </w:rPr>
            </w:pPr>
          </w:p>
        </w:tc>
        <w:tc>
          <w:tcPr>
            <w:tcW w:w="1152" w:type="dxa"/>
            <w:tcBorders>
              <w:top w:val="single" w:sz="4" w:space="0" w:color="auto"/>
              <w:left w:val="nil"/>
              <w:right w:val="nil"/>
            </w:tcBorders>
            <w:shd w:val="clear" w:color="auto" w:fill="auto"/>
            <w:vAlign w:val="center"/>
          </w:tcPr>
          <w:p w14:paraId="4D955DF6" w14:textId="77777777" w:rsidR="00086F3F" w:rsidRPr="00091B01" w:rsidRDefault="00086F3F" w:rsidP="00A31C95">
            <w:pPr>
              <w:spacing w:after="0" w:line="240" w:lineRule="auto"/>
              <w:jc w:val="center"/>
              <w:rPr>
                <w:rFonts w:ascii="Calibri" w:eastAsia="Times New Roman" w:hAnsi="Calibri" w:cs="Calibri"/>
                <w:color w:val="000000"/>
                <w:kern w:val="0"/>
                <w:sz w:val="18"/>
                <w:szCs w:val="18"/>
                <w14:ligatures w14:val="none"/>
              </w:rPr>
            </w:pPr>
          </w:p>
        </w:tc>
        <w:tc>
          <w:tcPr>
            <w:tcW w:w="1152" w:type="dxa"/>
            <w:tcBorders>
              <w:top w:val="single" w:sz="4" w:space="0" w:color="auto"/>
              <w:left w:val="nil"/>
              <w:right w:val="nil"/>
            </w:tcBorders>
            <w:shd w:val="clear" w:color="auto" w:fill="auto"/>
            <w:vAlign w:val="center"/>
          </w:tcPr>
          <w:p w14:paraId="76428958" w14:textId="77777777" w:rsidR="00086F3F" w:rsidRPr="00091B01" w:rsidRDefault="00086F3F" w:rsidP="00A31C95">
            <w:pPr>
              <w:spacing w:after="0" w:line="240" w:lineRule="auto"/>
              <w:jc w:val="center"/>
              <w:rPr>
                <w:rFonts w:ascii="Calibri" w:eastAsia="Times New Roman" w:hAnsi="Calibri" w:cs="Calibri"/>
                <w:color w:val="000000"/>
                <w:kern w:val="0"/>
                <w:sz w:val="18"/>
                <w:szCs w:val="18"/>
                <w14:ligatures w14:val="none"/>
              </w:rPr>
            </w:pPr>
          </w:p>
        </w:tc>
        <w:tc>
          <w:tcPr>
            <w:tcW w:w="1152" w:type="dxa"/>
            <w:tcBorders>
              <w:top w:val="single" w:sz="4" w:space="0" w:color="auto"/>
              <w:left w:val="nil"/>
              <w:right w:val="nil"/>
            </w:tcBorders>
            <w:shd w:val="clear" w:color="auto" w:fill="auto"/>
            <w:noWrap/>
            <w:vAlign w:val="center"/>
          </w:tcPr>
          <w:p w14:paraId="1DFAA532" w14:textId="77777777" w:rsidR="00086F3F" w:rsidRDefault="00086F3F" w:rsidP="00A31C95">
            <w:pPr>
              <w:spacing w:after="0" w:line="240" w:lineRule="auto"/>
              <w:jc w:val="center"/>
              <w:rPr>
                <w:rFonts w:ascii="Calibri" w:eastAsia="Times New Roman" w:hAnsi="Calibri" w:cs="Calibri"/>
                <w:color w:val="000000"/>
                <w:kern w:val="0"/>
                <w:sz w:val="18"/>
                <w:szCs w:val="18"/>
                <w14:ligatures w14:val="none"/>
              </w:rPr>
            </w:pPr>
          </w:p>
          <w:p w14:paraId="719BF325" w14:textId="77777777" w:rsidR="00086F3F" w:rsidRPr="00A31C95" w:rsidRDefault="00086F3F" w:rsidP="00A31C95">
            <w:pPr>
              <w:rPr>
                <w:rFonts w:ascii="Calibri" w:eastAsia="Times New Roman" w:hAnsi="Calibri" w:cs="Calibri"/>
                <w:sz w:val="18"/>
                <w:szCs w:val="18"/>
              </w:rPr>
            </w:pPr>
          </w:p>
        </w:tc>
      </w:tr>
      <w:tr w:rsidR="00A31C95" w:rsidRPr="00D37B2D" w14:paraId="4C732AF6" w14:textId="77777777" w:rsidTr="00086F3F">
        <w:trPr>
          <w:trHeight w:val="20"/>
        </w:trPr>
        <w:tc>
          <w:tcPr>
            <w:tcW w:w="2160" w:type="dxa"/>
            <w:tcBorders>
              <w:left w:val="nil"/>
              <w:bottom w:val="nil"/>
              <w:right w:val="nil"/>
            </w:tcBorders>
            <w:shd w:val="clear" w:color="auto" w:fill="auto"/>
            <w:noWrap/>
            <w:hideMark/>
          </w:tcPr>
          <w:p w14:paraId="29ECA267" w14:textId="77777777" w:rsidR="00A31C95" w:rsidRPr="00091B01" w:rsidRDefault="00A31C95" w:rsidP="00B34869">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 xml:space="preserve">   No</w:t>
            </w:r>
          </w:p>
        </w:tc>
        <w:tc>
          <w:tcPr>
            <w:tcW w:w="1152" w:type="dxa"/>
            <w:tcBorders>
              <w:left w:val="nil"/>
              <w:bottom w:val="nil"/>
              <w:right w:val="nil"/>
            </w:tcBorders>
            <w:shd w:val="clear" w:color="auto" w:fill="auto"/>
            <w:noWrap/>
            <w:hideMark/>
          </w:tcPr>
          <w:p w14:paraId="761F0223"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105 (7%)</w:t>
            </w:r>
          </w:p>
        </w:tc>
        <w:tc>
          <w:tcPr>
            <w:tcW w:w="1152" w:type="dxa"/>
            <w:tcBorders>
              <w:left w:val="nil"/>
              <w:bottom w:val="nil"/>
              <w:right w:val="nil"/>
            </w:tcBorders>
            <w:shd w:val="clear" w:color="auto" w:fill="auto"/>
            <w:noWrap/>
            <w:hideMark/>
          </w:tcPr>
          <w:p w14:paraId="1EA1E5D0"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63 (11%)</w:t>
            </w:r>
          </w:p>
        </w:tc>
        <w:tc>
          <w:tcPr>
            <w:tcW w:w="1152" w:type="dxa"/>
            <w:tcBorders>
              <w:left w:val="nil"/>
              <w:bottom w:val="nil"/>
              <w:right w:val="nil"/>
            </w:tcBorders>
            <w:shd w:val="clear" w:color="auto" w:fill="auto"/>
            <w:noWrap/>
            <w:hideMark/>
          </w:tcPr>
          <w:p w14:paraId="43FA2205"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Ref</w:t>
            </w:r>
          </w:p>
        </w:tc>
        <w:tc>
          <w:tcPr>
            <w:tcW w:w="1152" w:type="dxa"/>
            <w:tcBorders>
              <w:left w:val="nil"/>
              <w:bottom w:val="nil"/>
              <w:right w:val="nil"/>
            </w:tcBorders>
            <w:shd w:val="clear" w:color="auto" w:fill="auto"/>
            <w:noWrap/>
            <w:hideMark/>
          </w:tcPr>
          <w:p w14:paraId="6DF80244"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127 (7%)</w:t>
            </w:r>
          </w:p>
        </w:tc>
        <w:tc>
          <w:tcPr>
            <w:tcW w:w="1152" w:type="dxa"/>
            <w:tcBorders>
              <w:left w:val="nil"/>
              <w:bottom w:val="nil"/>
              <w:right w:val="nil"/>
            </w:tcBorders>
            <w:shd w:val="clear" w:color="auto" w:fill="auto"/>
            <w:noWrap/>
            <w:hideMark/>
          </w:tcPr>
          <w:p w14:paraId="5E7BCC7C"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3 (20%)</w:t>
            </w:r>
          </w:p>
        </w:tc>
        <w:tc>
          <w:tcPr>
            <w:tcW w:w="1152" w:type="dxa"/>
            <w:tcBorders>
              <w:left w:val="nil"/>
              <w:bottom w:val="nil"/>
              <w:right w:val="nil"/>
            </w:tcBorders>
            <w:shd w:val="clear" w:color="auto" w:fill="auto"/>
            <w:noWrap/>
            <w:hideMark/>
          </w:tcPr>
          <w:p w14:paraId="4E608C89"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Ref</w:t>
            </w:r>
          </w:p>
        </w:tc>
      </w:tr>
      <w:tr w:rsidR="00A31C95" w:rsidRPr="00D37B2D" w14:paraId="3D938BE2" w14:textId="77777777" w:rsidTr="00086F3F">
        <w:trPr>
          <w:trHeight w:val="20"/>
        </w:trPr>
        <w:tc>
          <w:tcPr>
            <w:tcW w:w="2160" w:type="dxa"/>
            <w:tcBorders>
              <w:top w:val="nil"/>
              <w:left w:val="nil"/>
              <w:bottom w:val="nil"/>
              <w:right w:val="nil"/>
            </w:tcBorders>
            <w:shd w:val="clear" w:color="auto" w:fill="auto"/>
            <w:noWrap/>
            <w:hideMark/>
          </w:tcPr>
          <w:p w14:paraId="2E9549B3" w14:textId="77777777" w:rsidR="00A31C95" w:rsidRPr="00091B01" w:rsidRDefault="00A31C95" w:rsidP="00B34869">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lastRenderedPageBreak/>
              <w:t xml:space="preserve">   Yes</w:t>
            </w:r>
          </w:p>
        </w:tc>
        <w:tc>
          <w:tcPr>
            <w:tcW w:w="1152" w:type="dxa"/>
            <w:tcBorders>
              <w:top w:val="nil"/>
              <w:left w:val="nil"/>
              <w:bottom w:val="nil"/>
              <w:right w:val="nil"/>
            </w:tcBorders>
            <w:shd w:val="clear" w:color="auto" w:fill="auto"/>
            <w:noWrap/>
            <w:hideMark/>
          </w:tcPr>
          <w:p w14:paraId="30392E7F" w14:textId="4AAF52DA"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1340 (93%)</w:t>
            </w:r>
          </w:p>
        </w:tc>
        <w:tc>
          <w:tcPr>
            <w:tcW w:w="1152" w:type="dxa"/>
            <w:tcBorders>
              <w:top w:val="nil"/>
              <w:left w:val="nil"/>
              <w:bottom w:val="nil"/>
              <w:right w:val="nil"/>
            </w:tcBorders>
            <w:shd w:val="clear" w:color="auto" w:fill="auto"/>
            <w:noWrap/>
            <w:hideMark/>
          </w:tcPr>
          <w:p w14:paraId="1CB98924"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509 (89%)</w:t>
            </w:r>
          </w:p>
        </w:tc>
        <w:tc>
          <w:tcPr>
            <w:tcW w:w="1152" w:type="dxa"/>
            <w:tcBorders>
              <w:top w:val="nil"/>
              <w:left w:val="nil"/>
              <w:bottom w:val="nil"/>
              <w:right w:val="nil"/>
            </w:tcBorders>
            <w:shd w:val="clear" w:color="auto" w:fill="auto"/>
            <w:noWrap/>
            <w:hideMark/>
          </w:tcPr>
          <w:p w14:paraId="14CEFD1A"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0.63 (0.46, 0.88)</w:t>
            </w:r>
          </w:p>
        </w:tc>
        <w:tc>
          <w:tcPr>
            <w:tcW w:w="1152" w:type="dxa"/>
            <w:tcBorders>
              <w:top w:val="nil"/>
              <w:left w:val="nil"/>
              <w:bottom w:val="nil"/>
              <w:right w:val="nil"/>
            </w:tcBorders>
            <w:shd w:val="clear" w:color="auto" w:fill="auto"/>
            <w:noWrap/>
            <w:hideMark/>
          </w:tcPr>
          <w:p w14:paraId="63D08BCF" w14:textId="430A47C4"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1811 (93%)</w:t>
            </w:r>
          </w:p>
        </w:tc>
        <w:tc>
          <w:tcPr>
            <w:tcW w:w="1152" w:type="dxa"/>
            <w:tcBorders>
              <w:top w:val="nil"/>
              <w:left w:val="nil"/>
              <w:bottom w:val="nil"/>
              <w:right w:val="nil"/>
            </w:tcBorders>
            <w:shd w:val="clear" w:color="auto" w:fill="auto"/>
            <w:noWrap/>
            <w:hideMark/>
          </w:tcPr>
          <w:p w14:paraId="52907B56"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12 (80%)</w:t>
            </w:r>
          </w:p>
        </w:tc>
        <w:tc>
          <w:tcPr>
            <w:tcW w:w="1152" w:type="dxa"/>
            <w:tcBorders>
              <w:top w:val="nil"/>
              <w:left w:val="nil"/>
              <w:bottom w:val="nil"/>
              <w:right w:val="nil"/>
            </w:tcBorders>
            <w:shd w:val="clear" w:color="auto" w:fill="auto"/>
            <w:noWrap/>
            <w:hideMark/>
          </w:tcPr>
          <w:p w14:paraId="0BD864BE"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0.28 (0.08, 1.01)</w:t>
            </w:r>
          </w:p>
        </w:tc>
      </w:tr>
      <w:tr w:rsidR="00A31C95" w:rsidRPr="00D37B2D" w14:paraId="1015AA8F" w14:textId="77777777" w:rsidTr="00162D41">
        <w:trPr>
          <w:trHeight w:val="378"/>
        </w:trPr>
        <w:tc>
          <w:tcPr>
            <w:tcW w:w="2160" w:type="dxa"/>
            <w:tcBorders>
              <w:top w:val="nil"/>
              <w:left w:val="nil"/>
              <w:bottom w:val="nil"/>
              <w:right w:val="nil"/>
            </w:tcBorders>
            <w:shd w:val="clear" w:color="auto" w:fill="auto"/>
            <w:noWrap/>
            <w:vAlign w:val="center"/>
            <w:hideMark/>
          </w:tcPr>
          <w:p w14:paraId="40436114" w14:textId="77777777" w:rsidR="00A31C95" w:rsidRPr="00091B01" w:rsidRDefault="00A31C95" w:rsidP="00DA1D0E">
            <w:pPr>
              <w:spacing w:after="0" w:line="240" w:lineRule="auto"/>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Discharge diagnosis</w:t>
            </w:r>
          </w:p>
        </w:tc>
        <w:tc>
          <w:tcPr>
            <w:tcW w:w="1152" w:type="dxa"/>
            <w:tcBorders>
              <w:top w:val="nil"/>
              <w:left w:val="nil"/>
              <w:bottom w:val="nil"/>
              <w:right w:val="nil"/>
            </w:tcBorders>
            <w:shd w:val="clear" w:color="auto" w:fill="auto"/>
            <w:noWrap/>
            <w:hideMark/>
          </w:tcPr>
          <w:p w14:paraId="73F00C23" w14:textId="77777777" w:rsidR="00A31C95" w:rsidRPr="00091B01" w:rsidRDefault="00A31C95" w:rsidP="00A31C95">
            <w:pPr>
              <w:spacing w:after="0" w:line="240" w:lineRule="auto"/>
              <w:rPr>
                <w:rFonts w:ascii="Calibri" w:eastAsia="Times New Roman" w:hAnsi="Calibri" w:cs="Calibri"/>
                <w:color w:val="000000"/>
                <w:kern w:val="0"/>
                <w:sz w:val="18"/>
                <w:szCs w:val="18"/>
                <w14:ligatures w14:val="none"/>
              </w:rPr>
            </w:pPr>
          </w:p>
        </w:tc>
        <w:tc>
          <w:tcPr>
            <w:tcW w:w="1152" w:type="dxa"/>
            <w:tcBorders>
              <w:top w:val="nil"/>
              <w:left w:val="nil"/>
              <w:bottom w:val="nil"/>
              <w:right w:val="nil"/>
            </w:tcBorders>
            <w:shd w:val="clear" w:color="auto" w:fill="auto"/>
            <w:noWrap/>
            <w:hideMark/>
          </w:tcPr>
          <w:p w14:paraId="5B0E8CAE" w14:textId="77777777" w:rsidR="00A31C95" w:rsidRPr="00091B01" w:rsidRDefault="00A31C95" w:rsidP="00A31C95">
            <w:pPr>
              <w:spacing w:after="0" w:line="240" w:lineRule="auto"/>
              <w:jc w:val="right"/>
              <w:rPr>
                <w:rFonts w:ascii="Times New Roman" w:eastAsia="Times New Roman" w:hAnsi="Times New Roman" w:cs="Times New Roman"/>
                <w:kern w:val="0"/>
                <w:sz w:val="18"/>
                <w:szCs w:val="18"/>
                <w14:ligatures w14:val="none"/>
              </w:rPr>
            </w:pPr>
          </w:p>
        </w:tc>
        <w:tc>
          <w:tcPr>
            <w:tcW w:w="1152" w:type="dxa"/>
            <w:tcBorders>
              <w:top w:val="nil"/>
              <w:left w:val="nil"/>
              <w:bottom w:val="nil"/>
              <w:right w:val="nil"/>
            </w:tcBorders>
            <w:shd w:val="clear" w:color="auto" w:fill="auto"/>
            <w:noWrap/>
            <w:hideMark/>
          </w:tcPr>
          <w:p w14:paraId="5837D3B0" w14:textId="77777777" w:rsidR="00A31C95" w:rsidRPr="00091B01" w:rsidRDefault="00A31C95" w:rsidP="00A31C95">
            <w:pPr>
              <w:spacing w:after="0" w:line="240" w:lineRule="auto"/>
              <w:jc w:val="right"/>
              <w:rPr>
                <w:rFonts w:ascii="Times New Roman" w:eastAsia="Times New Roman" w:hAnsi="Times New Roman" w:cs="Times New Roman"/>
                <w:kern w:val="0"/>
                <w:sz w:val="18"/>
                <w:szCs w:val="18"/>
                <w14:ligatures w14:val="none"/>
              </w:rPr>
            </w:pPr>
          </w:p>
        </w:tc>
        <w:tc>
          <w:tcPr>
            <w:tcW w:w="1152" w:type="dxa"/>
            <w:tcBorders>
              <w:top w:val="nil"/>
              <w:left w:val="nil"/>
              <w:bottom w:val="nil"/>
              <w:right w:val="nil"/>
            </w:tcBorders>
            <w:shd w:val="clear" w:color="auto" w:fill="auto"/>
            <w:noWrap/>
            <w:hideMark/>
          </w:tcPr>
          <w:p w14:paraId="70C0F707" w14:textId="77777777" w:rsidR="00A31C95" w:rsidRPr="00091B01" w:rsidRDefault="00A31C95" w:rsidP="00A31C95">
            <w:pPr>
              <w:spacing w:after="0" w:line="240" w:lineRule="auto"/>
              <w:jc w:val="right"/>
              <w:rPr>
                <w:rFonts w:ascii="Times New Roman" w:eastAsia="Times New Roman" w:hAnsi="Times New Roman" w:cs="Times New Roman"/>
                <w:kern w:val="0"/>
                <w:sz w:val="18"/>
                <w:szCs w:val="18"/>
                <w14:ligatures w14:val="none"/>
              </w:rPr>
            </w:pPr>
          </w:p>
        </w:tc>
        <w:tc>
          <w:tcPr>
            <w:tcW w:w="1152" w:type="dxa"/>
            <w:tcBorders>
              <w:top w:val="nil"/>
              <w:left w:val="nil"/>
              <w:bottom w:val="nil"/>
              <w:right w:val="nil"/>
            </w:tcBorders>
            <w:shd w:val="clear" w:color="auto" w:fill="auto"/>
            <w:noWrap/>
            <w:hideMark/>
          </w:tcPr>
          <w:p w14:paraId="35D1BD8E" w14:textId="77777777" w:rsidR="00A31C95" w:rsidRPr="00091B01" w:rsidRDefault="00A31C95" w:rsidP="00A31C95">
            <w:pPr>
              <w:spacing w:after="0" w:line="240" w:lineRule="auto"/>
              <w:jc w:val="right"/>
              <w:rPr>
                <w:rFonts w:ascii="Times New Roman" w:eastAsia="Times New Roman" w:hAnsi="Times New Roman" w:cs="Times New Roman"/>
                <w:kern w:val="0"/>
                <w:sz w:val="18"/>
                <w:szCs w:val="18"/>
                <w14:ligatures w14:val="none"/>
              </w:rPr>
            </w:pPr>
          </w:p>
        </w:tc>
        <w:tc>
          <w:tcPr>
            <w:tcW w:w="1152" w:type="dxa"/>
            <w:tcBorders>
              <w:top w:val="nil"/>
              <w:left w:val="nil"/>
              <w:bottom w:val="nil"/>
              <w:right w:val="nil"/>
            </w:tcBorders>
            <w:shd w:val="clear" w:color="auto" w:fill="auto"/>
            <w:noWrap/>
            <w:hideMark/>
          </w:tcPr>
          <w:p w14:paraId="4A61CDB9" w14:textId="77777777" w:rsidR="00A31C95" w:rsidRPr="00091B01" w:rsidRDefault="00A31C95" w:rsidP="00A31C95">
            <w:pPr>
              <w:spacing w:after="0" w:line="240" w:lineRule="auto"/>
              <w:jc w:val="right"/>
              <w:rPr>
                <w:rFonts w:ascii="Times New Roman" w:eastAsia="Times New Roman" w:hAnsi="Times New Roman" w:cs="Times New Roman"/>
                <w:kern w:val="0"/>
                <w:sz w:val="18"/>
                <w:szCs w:val="18"/>
                <w14:ligatures w14:val="none"/>
              </w:rPr>
            </w:pPr>
          </w:p>
        </w:tc>
      </w:tr>
      <w:tr w:rsidR="00A31C95" w:rsidRPr="00D37B2D" w14:paraId="609DC40B" w14:textId="77777777" w:rsidTr="00DA1D0E">
        <w:trPr>
          <w:trHeight w:val="20"/>
        </w:trPr>
        <w:tc>
          <w:tcPr>
            <w:tcW w:w="2160" w:type="dxa"/>
            <w:tcBorders>
              <w:top w:val="nil"/>
              <w:left w:val="nil"/>
              <w:bottom w:val="nil"/>
              <w:right w:val="nil"/>
            </w:tcBorders>
            <w:shd w:val="clear" w:color="auto" w:fill="auto"/>
            <w:noWrap/>
            <w:vAlign w:val="center"/>
            <w:hideMark/>
          </w:tcPr>
          <w:p w14:paraId="0B7C28A6" w14:textId="77777777" w:rsidR="00A31C95" w:rsidRPr="00091B01" w:rsidRDefault="00A31C95" w:rsidP="00DA1D0E">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 xml:space="preserve">   Malaria diagnosis only</w:t>
            </w:r>
            <w:r w:rsidRPr="00091B01">
              <w:rPr>
                <w:rFonts w:ascii="Calibri" w:eastAsia="Times New Roman" w:hAnsi="Calibri" w:cs="Calibri"/>
                <w:color w:val="000000"/>
                <w:kern w:val="0"/>
                <w:sz w:val="18"/>
                <w:szCs w:val="18"/>
                <w:vertAlign w:val="superscript"/>
                <w14:ligatures w14:val="none"/>
              </w:rPr>
              <w:t>†</w:t>
            </w:r>
          </w:p>
        </w:tc>
        <w:tc>
          <w:tcPr>
            <w:tcW w:w="1152" w:type="dxa"/>
            <w:tcBorders>
              <w:top w:val="nil"/>
              <w:left w:val="nil"/>
              <w:bottom w:val="nil"/>
              <w:right w:val="nil"/>
            </w:tcBorders>
            <w:shd w:val="clear" w:color="auto" w:fill="auto"/>
            <w:noWrap/>
            <w:hideMark/>
          </w:tcPr>
          <w:p w14:paraId="353020A7" w14:textId="7C700A7C"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1021 (68%)</w:t>
            </w:r>
          </w:p>
        </w:tc>
        <w:tc>
          <w:tcPr>
            <w:tcW w:w="1152" w:type="dxa"/>
            <w:tcBorders>
              <w:top w:val="nil"/>
              <w:left w:val="nil"/>
              <w:bottom w:val="nil"/>
              <w:right w:val="nil"/>
            </w:tcBorders>
            <w:shd w:val="clear" w:color="auto" w:fill="auto"/>
            <w:noWrap/>
            <w:hideMark/>
          </w:tcPr>
          <w:p w14:paraId="126170ED"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220 (37%)</w:t>
            </w:r>
          </w:p>
        </w:tc>
        <w:tc>
          <w:tcPr>
            <w:tcW w:w="1152" w:type="dxa"/>
            <w:tcBorders>
              <w:top w:val="nil"/>
              <w:left w:val="nil"/>
              <w:bottom w:val="nil"/>
              <w:right w:val="nil"/>
            </w:tcBorders>
            <w:shd w:val="clear" w:color="auto" w:fill="auto"/>
            <w:noWrap/>
            <w:hideMark/>
          </w:tcPr>
          <w:p w14:paraId="3F35E7CC"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Ref</w:t>
            </w:r>
          </w:p>
        </w:tc>
        <w:tc>
          <w:tcPr>
            <w:tcW w:w="1152" w:type="dxa"/>
            <w:tcBorders>
              <w:top w:val="nil"/>
              <w:left w:val="nil"/>
              <w:bottom w:val="nil"/>
              <w:right w:val="nil"/>
            </w:tcBorders>
            <w:shd w:val="clear" w:color="auto" w:fill="auto"/>
            <w:noWrap/>
            <w:hideMark/>
          </w:tcPr>
          <w:p w14:paraId="120A63B0" w14:textId="714F208B"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1228 (61%)</w:t>
            </w:r>
          </w:p>
        </w:tc>
        <w:tc>
          <w:tcPr>
            <w:tcW w:w="1152" w:type="dxa"/>
            <w:tcBorders>
              <w:top w:val="nil"/>
              <w:left w:val="nil"/>
              <w:bottom w:val="nil"/>
              <w:right w:val="nil"/>
            </w:tcBorders>
            <w:shd w:val="clear" w:color="auto" w:fill="auto"/>
            <w:noWrap/>
            <w:hideMark/>
          </w:tcPr>
          <w:p w14:paraId="339F23F7"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5 (33%)</w:t>
            </w:r>
          </w:p>
        </w:tc>
        <w:tc>
          <w:tcPr>
            <w:tcW w:w="1152" w:type="dxa"/>
            <w:tcBorders>
              <w:top w:val="nil"/>
              <w:left w:val="nil"/>
              <w:bottom w:val="nil"/>
              <w:right w:val="nil"/>
            </w:tcBorders>
            <w:shd w:val="clear" w:color="auto" w:fill="auto"/>
            <w:noWrap/>
            <w:hideMark/>
          </w:tcPr>
          <w:p w14:paraId="7B338A14"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Ref</w:t>
            </w:r>
          </w:p>
        </w:tc>
      </w:tr>
      <w:tr w:rsidR="00A31C95" w:rsidRPr="00D37B2D" w14:paraId="119548D3" w14:textId="77777777" w:rsidTr="00DA1D0E">
        <w:trPr>
          <w:trHeight w:val="20"/>
        </w:trPr>
        <w:tc>
          <w:tcPr>
            <w:tcW w:w="2160" w:type="dxa"/>
            <w:tcBorders>
              <w:top w:val="nil"/>
              <w:left w:val="nil"/>
              <w:bottom w:val="nil"/>
              <w:right w:val="nil"/>
            </w:tcBorders>
            <w:shd w:val="clear" w:color="auto" w:fill="auto"/>
            <w:noWrap/>
            <w:vAlign w:val="center"/>
            <w:hideMark/>
          </w:tcPr>
          <w:p w14:paraId="0A7014F8" w14:textId="77777777" w:rsidR="00A31C95" w:rsidRPr="00091B01" w:rsidRDefault="00A31C95" w:rsidP="00DA1D0E">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 xml:space="preserve">   Malaria plus another diagnosis</w:t>
            </w:r>
          </w:p>
        </w:tc>
        <w:tc>
          <w:tcPr>
            <w:tcW w:w="1152" w:type="dxa"/>
            <w:tcBorders>
              <w:top w:val="nil"/>
              <w:left w:val="nil"/>
              <w:bottom w:val="nil"/>
              <w:right w:val="nil"/>
            </w:tcBorders>
            <w:shd w:val="clear" w:color="auto" w:fill="auto"/>
            <w:noWrap/>
            <w:hideMark/>
          </w:tcPr>
          <w:p w14:paraId="08E115D0"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365 (24%)</w:t>
            </w:r>
          </w:p>
        </w:tc>
        <w:tc>
          <w:tcPr>
            <w:tcW w:w="1152" w:type="dxa"/>
            <w:tcBorders>
              <w:top w:val="nil"/>
              <w:left w:val="nil"/>
              <w:bottom w:val="nil"/>
              <w:right w:val="nil"/>
            </w:tcBorders>
            <w:shd w:val="clear" w:color="auto" w:fill="auto"/>
            <w:noWrap/>
            <w:hideMark/>
          </w:tcPr>
          <w:p w14:paraId="3E0E7B02"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281 (48%)</w:t>
            </w:r>
          </w:p>
        </w:tc>
        <w:tc>
          <w:tcPr>
            <w:tcW w:w="1152" w:type="dxa"/>
            <w:tcBorders>
              <w:top w:val="nil"/>
              <w:left w:val="nil"/>
              <w:bottom w:val="nil"/>
              <w:right w:val="nil"/>
            </w:tcBorders>
            <w:shd w:val="clear" w:color="auto" w:fill="auto"/>
            <w:noWrap/>
            <w:hideMark/>
          </w:tcPr>
          <w:p w14:paraId="4C91DDFC"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3.57 (2.89, 4.43)</w:t>
            </w:r>
          </w:p>
        </w:tc>
        <w:tc>
          <w:tcPr>
            <w:tcW w:w="1152" w:type="dxa"/>
            <w:tcBorders>
              <w:top w:val="nil"/>
              <w:left w:val="nil"/>
              <w:bottom w:val="nil"/>
              <w:right w:val="nil"/>
            </w:tcBorders>
            <w:shd w:val="clear" w:color="auto" w:fill="auto"/>
            <w:noWrap/>
            <w:hideMark/>
          </w:tcPr>
          <w:p w14:paraId="12FDF2D4"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625 (31%)</w:t>
            </w:r>
          </w:p>
        </w:tc>
        <w:tc>
          <w:tcPr>
            <w:tcW w:w="1152" w:type="dxa"/>
            <w:tcBorders>
              <w:top w:val="nil"/>
              <w:left w:val="nil"/>
              <w:bottom w:val="nil"/>
              <w:right w:val="nil"/>
            </w:tcBorders>
            <w:shd w:val="clear" w:color="auto" w:fill="auto"/>
            <w:noWrap/>
            <w:hideMark/>
          </w:tcPr>
          <w:p w14:paraId="3359602B"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5 (33%)</w:t>
            </w:r>
          </w:p>
        </w:tc>
        <w:tc>
          <w:tcPr>
            <w:tcW w:w="1152" w:type="dxa"/>
            <w:tcBorders>
              <w:top w:val="nil"/>
              <w:left w:val="nil"/>
              <w:bottom w:val="nil"/>
              <w:right w:val="nil"/>
            </w:tcBorders>
            <w:shd w:val="clear" w:color="auto" w:fill="auto"/>
            <w:noWrap/>
            <w:hideMark/>
          </w:tcPr>
          <w:p w14:paraId="06CB3175"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1.96 (0.57, 6.81)</w:t>
            </w:r>
          </w:p>
        </w:tc>
      </w:tr>
      <w:tr w:rsidR="00A31C95" w:rsidRPr="00D37B2D" w14:paraId="3E07E430" w14:textId="77777777" w:rsidTr="00DA1D0E">
        <w:trPr>
          <w:trHeight w:val="20"/>
        </w:trPr>
        <w:tc>
          <w:tcPr>
            <w:tcW w:w="2160" w:type="dxa"/>
            <w:tcBorders>
              <w:top w:val="nil"/>
              <w:left w:val="nil"/>
              <w:bottom w:val="nil"/>
              <w:right w:val="nil"/>
            </w:tcBorders>
            <w:shd w:val="clear" w:color="auto" w:fill="auto"/>
            <w:noWrap/>
            <w:vAlign w:val="center"/>
            <w:hideMark/>
          </w:tcPr>
          <w:p w14:paraId="5B7AE1C6" w14:textId="77777777" w:rsidR="00A31C95" w:rsidRPr="00091B01" w:rsidRDefault="00A31C95" w:rsidP="00DA1D0E">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 xml:space="preserve">   Other diagnosis</w:t>
            </w:r>
          </w:p>
        </w:tc>
        <w:tc>
          <w:tcPr>
            <w:tcW w:w="1152" w:type="dxa"/>
            <w:tcBorders>
              <w:top w:val="nil"/>
              <w:left w:val="nil"/>
              <w:bottom w:val="nil"/>
              <w:right w:val="nil"/>
            </w:tcBorders>
            <w:shd w:val="clear" w:color="auto" w:fill="auto"/>
            <w:noWrap/>
            <w:hideMark/>
          </w:tcPr>
          <w:p w14:paraId="14345521"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93 (6%)</w:t>
            </w:r>
          </w:p>
        </w:tc>
        <w:tc>
          <w:tcPr>
            <w:tcW w:w="1152" w:type="dxa"/>
            <w:tcBorders>
              <w:top w:val="nil"/>
              <w:left w:val="nil"/>
              <w:bottom w:val="nil"/>
              <w:right w:val="nil"/>
            </w:tcBorders>
            <w:shd w:val="clear" w:color="auto" w:fill="auto"/>
            <w:noWrap/>
            <w:hideMark/>
          </w:tcPr>
          <w:p w14:paraId="36B2918E"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73 (12%)</w:t>
            </w:r>
          </w:p>
        </w:tc>
        <w:tc>
          <w:tcPr>
            <w:tcW w:w="1152" w:type="dxa"/>
            <w:tcBorders>
              <w:top w:val="nil"/>
              <w:left w:val="nil"/>
              <w:bottom w:val="nil"/>
              <w:right w:val="nil"/>
            </w:tcBorders>
            <w:shd w:val="clear" w:color="auto" w:fill="auto"/>
            <w:noWrap/>
            <w:hideMark/>
          </w:tcPr>
          <w:p w14:paraId="7B86C1C2"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3.64 (2.59, 5.11)</w:t>
            </w:r>
          </w:p>
        </w:tc>
        <w:tc>
          <w:tcPr>
            <w:tcW w:w="1152" w:type="dxa"/>
            <w:tcBorders>
              <w:top w:val="nil"/>
              <w:left w:val="nil"/>
              <w:bottom w:val="nil"/>
              <w:right w:val="nil"/>
            </w:tcBorders>
            <w:shd w:val="clear" w:color="auto" w:fill="auto"/>
            <w:noWrap/>
            <w:hideMark/>
          </w:tcPr>
          <w:p w14:paraId="7BC4331F"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157 (8%)</w:t>
            </w:r>
          </w:p>
        </w:tc>
        <w:tc>
          <w:tcPr>
            <w:tcW w:w="1152" w:type="dxa"/>
            <w:tcBorders>
              <w:top w:val="nil"/>
              <w:left w:val="nil"/>
              <w:bottom w:val="nil"/>
              <w:right w:val="nil"/>
            </w:tcBorders>
            <w:shd w:val="clear" w:color="auto" w:fill="auto"/>
            <w:noWrap/>
            <w:hideMark/>
          </w:tcPr>
          <w:p w14:paraId="30EA3203"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4 (27%)</w:t>
            </w:r>
          </w:p>
        </w:tc>
        <w:tc>
          <w:tcPr>
            <w:tcW w:w="1152" w:type="dxa"/>
            <w:tcBorders>
              <w:top w:val="nil"/>
              <w:left w:val="nil"/>
              <w:bottom w:val="nil"/>
              <w:right w:val="nil"/>
            </w:tcBorders>
            <w:shd w:val="clear" w:color="auto" w:fill="auto"/>
            <w:noWrap/>
            <w:hideMark/>
          </w:tcPr>
          <w:p w14:paraId="238D5969"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6.26 (1.66, 23.55)</w:t>
            </w:r>
          </w:p>
        </w:tc>
      </w:tr>
      <w:tr w:rsidR="00A31C95" w:rsidRPr="00D37B2D" w14:paraId="4168B44D" w14:textId="77777777" w:rsidTr="00162D41">
        <w:trPr>
          <w:trHeight w:val="20"/>
        </w:trPr>
        <w:tc>
          <w:tcPr>
            <w:tcW w:w="2160" w:type="dxa"/>
            <w:tcBorders>
              <w:top w:val="nil"/>
              <w:left w:val="nil"/>
              <w:bottom w:val="single" w:sz="4" w:space="0" w:color="auto"/>
              <w:right w:val="nil"/>
            </w:tcBorders>
            <w:shd w:val="clear" w:color="auto" w:fill="auto"/>
            <w:noWrap/>
            <w:vAlign w:val="center"/>
            <w:hideMark/>
          </w:tcPr>
          <w:p w14:paraId="59E7AAD2" w14:textId="77777777" w:rsidR="00A31C95" w:rsidRPr="00091B01" w:rsidRDefault="00A31C95" w:rsidP="00162D41">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 xml:space="preserve">   Unknown diagnosis</w:t>
            </w:r>
          </w:p>
        </w:tc>
        <w:tc>
          <w:tcPr>
            <w:tcW w:w="1152" w:type="dxa"/>
            <w:tcBorders>
              <w:top w:val="nil"/>
              <w:left w:val="nil"/>
              <w:bottom w:val="single" w:sz="4" w:space="0" w:color="auto"/>
              <w:right w:val="nil"/>
            </w:tcBorders>
            <w:shd w:val="clear" w:color="auto" w:fill="auto"/>
            <w:noWrap/>
            <w:hideMark/>
          </w:tcPr>
          <w:p w14:paraId="27910E5D"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27 (2%)</w:t>
            </w:r>
          </w:p>
        </w:tc>
        <w:tc>
          <w:tcPr>
            <w:tcW w:w="1152" w:type="dxa"/>
            <w:tcBorders>
              <w:top w:val="nil"/>
              <w:left w:val="nil"/>
              <w:bottom w:val="single" w:sz="4" w:space="0" w:color="auto"/>
              <w:right w:val="nil"/>
            </w:tcBorders>
            <w:shd w:val="clear" w:color="auto" w:fill="auto"/>
            <w:noWrap/>
            <w:hideMark/>
          </w:tcPr>
          <w:p w14:paraId="02E0BD16"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14 (2%)</w:t>
            </w:r>
          </w:p>
        </w:tc>
        <w:tc>
          <w:tcPr>
            <w:tcW w:w="1152" w:type="dxa"/>
            <w:tcBorders>
              <w:top w:val="nil"/>
              <w:left w:val="nil"/>
              <w:bottom w:val="single" w:sz="4" w:space="0" w:color="auto"/>
              <w:right w:val="nil"/>
            </w:tcBorders>
            <w:shd w:val="clear" w:color="auto" w:fill="auto"/>
            <w:noWrap/>
            <w:hideMark/>
          </w:tcPr>
          <w:p w14:paraId="02C2AA6C"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2.41 (1.21, 4.59)</w:t>
            </w:r>
          </w:p>
        </w:tc>
        <w:tc>
          <w:tcPr>
            <w:tcW w:w="1152" w:type="dxa"/>
            <w:tcBorders>
              <w:top w:val="nil"/>
              <w:left w:val="nil"/>
              <w:bottom w:val="single" w:sz="4" w:space="0" w:color="auto"/>
              <w:right w:val="nil"/>
            </w:tcBorders>
            <w:shd w:val="clear" w:color="auto" w:fill="auto"/>
            <w:noWrap/>
            <w:hideMark/>
          </w:tcPr>
          <w:p w14:paraId="011091E9"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2 (0%)</w:t>
            </w:r>
          </w:p>
        </w:tc>
        <w:tc>
          <w:tcPr>
            <w:tcW w:w="1152" w:type="dxa"/>
            <w:tcBorders>
              <w:top w:val="nil"/>
              <w:left w:val="nil"/>
              <w:bottom w:val="single" w:sz="4" w:space="0" w:color="auto"/>
              <w:right w:val="nil"/>
            </w:tcBorders>
            <w:shd w:val="clear" w:color="auto" w:fill="auto"/>
            <w:noWrap/>
            <w:hideMark/>
          </w:tcPr>
          <w:p w14:paraId="73BA433F" w14:textId="77777777"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 (7%)</w:t>
            </w:r>
          </w:p>
        </w:tc>
        <w:tc>
          <w:tcPr>
            <w:tcW w:w="1152" w:type="dxa"/>
            <w:tcBorders>
              <w:top w:val="nil"/>
              <w:left w:val="nil"/>
              <w:bottom w:val="single" w:sz="4" w:space="0" w:color="auto"/>
              <w:right w:val="nil"/>
            </w:tcBorders>
            <w:shd w:val="clear" w:color="auto" w:fill="auto"/>
            <w:noWrap/>
            <w:hideMark/>
          </w:tcPr>
          <w:p w14:paraId="4BB2B586" w14:textId="03A06B1D" w:rsidR="00A31C95" w:rsidRPr="00091B01" w:rsidRDefault="00A31C95" w:rsidP="00A31C95">
            <w:pPr>
              <w:spacing w:after="0" w:line="240" w:lineRule="auto"/>
              <w:jc w:val="right"/>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112.80 (9.53, 1582.32)</w:t>
            </w:r>
          </w:p>
        </w:tc>
      </w:tr>
      <w:tr w:rsidR="00086F3F" w:rsidRPr="00D37B2D" w14:paraId="07FA9F2E" w14:textId="77777777" w:rsidTr="00086F3F">
        <w:trPr>
          <w:trHeight w:val="20"/>
        </w:trPr>
        <w:tc>
          <w:tcPr>
            <w:tcW w:w="5616" w:type="dxa"/>
            <w:gridSpan w:val="4"/>
            <w:tcBorders>
              <w:top w:val="single" w:sz="4" w:space="0" w:color="auto"/>
              <w:left w:val="nil"/>
              <w:bottom w:val="single" w:sz="4" w:space="0" w:color="auto"/>
              <w:right w:val="nil"/>
            </w:tcBorders>
            <w:shd w:val="clear" w:color="auto" w:fill="auto"/>
            <w:noWrap/>
            <w:vAlign w:val="bottom"/>
          </w:tcPr>
          <w:p w14:paraId="25DE1C2D" w14:textId="34293782" w:rsidR="00086F3F" w:rsidRPr="00091B01" w:rsidRDefault="00086F3F" w:rsidP="00086F3F">
            <w:pPr>
              <w:spacing w:after="0" w:line="240" w:lineRule="auto"/>
              <w:rPr>
                <w:rFonts w:ascii="Calibri" w:eastAsia="Times New Roman" w:hAnsi="Calibri" w:cs="Calibri"/>
                <w:color w:val="000000"/>
                <w:kern w:val="0"/>
                <w:sz w:val="18"/>
                <w:szCs w:val="18"/>
                <w14:ligatures w14:val="none"/>
              </w:rPr>
            </w:pPr>
            <w:r w:rsidRPr="00091B01">
              <w:rPr>
                <w:rFonts w:ascii="Calibri" w:eastAsia="Times New Roman" w:hAnsi="Calibri" w:cs="Calibri"/>
                <w:color w:val="000000"/>
                <w:kern w:val="0"/>
                <w:sz w:val="18"/>
                <w:szCs w:val="18"/>
                <w14:ligatures w14:val="none"/>
              </w:rPr>
              <w:t>* Outcome missing for 67 patients</w:t>
            </w:r>
            <w:r w:rsidRPr="00091B01">
              <w:rPr>
                <w:rFonts w:ascii="Calibri" w:eastAsia="Times New Roman" w:hAnsi="Calibri" w:cs="Calibri"/>
                <w:color w:val="000000"/>
                <w:kern w:val="0"/>
                <w:sz w:val="18"/>
                <w:szCs w:val="18"/>
                <w14:ligatures w14:val="none"/>
              </w:rPr>
              <w:br/>
              <w:t>CI: Confidence interval; OR: odds ratio; Ref: referent level</w:t>
            </w:r>
          </w:p>
        </w:tc>
        <w:tc>
          <w:tcPr>
            <w:tcW w:w="1152" w:type="dxa"/>
            <w:tcBorders>
              <w:top w:val="single" w:sz="4" w:space="0" w:color="auto"/>
              <w:left w:val="nil"/>
              <w:bottom w:val="single" w:sz="4" w:space="0" w:color="auto"/>
              <w:right w:val="nil"/>
            </w:tcBorders>
            <w:shd w:val="clear" w:color="auto" w:fill="auto"/>
            <w:noWrap/>
          </w:tcPr>
          <w:p w14:paraId="54EBBDBE" w14:textId="77777777" w:rsidR="00086F3F" w:rsidRPr="00091B01" w:rsidRDefault="00086F3F" w:rsidP="00A31C95">
            <w:pPr>
              <w:spacing w:after="0" w:line="240" w:lineRule="auto"/>
              <w:jc w:val="right"/>
              <w:rPr>
                <w:rFonts w:ascii="Calibri" w:eastAsia="Times New Roman" w:hAnsi="Calibri" w:cs="Calibri"/>
                <w:color w:val="000000"/>
                <w:kern w:val="0"/>
                <w:sz w:val="18"/>
                <w:szCs w:val="18"/>
                <w14:ligatures w14:val="none"/>
              </w:rPr>
            </w:pPr>
          </w:p>
        </w:tc>
        <w:tc>
          <w:tcPr>
            <w:tcW w:w="1152" w:type="dxa"/>
            <w:tcBorders>
              <w:top w:val="single" w:sz="4" w:space="0" w:color="auto"/>
              <w:left w:val="nil"/>
              <w:bottom w:val="single" w:sz="4" w:space="0" w:color="auto"/>
              <w:right w:val="nil"/>
            </w:tcBorders>
            <w:shd w:val="clear" w:color="auto" w:fill="auto"/>
            <w:noWrap/>
          </w:tcPr>
          <w:p w14:paraId="72DB023B" w14:textId="77777777" w:rsidR="00086F3F" w:rsidRPr="00091B01" w:rsidRDefault="00086F3F" w:rsidP="00A31C95">
            <w:pPr>
              <w:spacing w:after="0" w:line="240" w:lineRule="auto"/>
              <w:jc w:val="right"/>
              <w:rPr>
                <w:rFonts w:ascii="Calibri" w:eastAsia="Times New Roman" w:hAnsi="Calibri" w:cs="Calibri"/>
                <w:color w:val="000000"/>
                <w:kern w:val="0"/>
                <w:sz w:val="18"/>
                <w:szCs w:val="18"/>
                <w14:ligatures w14:val="none"/>
              </w:rPr>
            </w:pPr>
          </w:p>
        </w:tc>
        <w:tc>
          <w:tcPr>
            <w:tcW w:w="1152" w:type="dxa"/>
            <w:tcBorders>
              <w:top w:val="single" w:sz="4" w:space="0" w:color="auto"/>
              <w:left w:val="nil"/>
              <w:bottom w:val="single" w:sz="4" w:space="0" w:color="auto"/>
              <w:right w:val="nil"/>
            </w:tcBorders>
            <w:shd w:val="clear" w:color="auto" w:fill="auto"/>
            <w:noWrap/>
          </w:tcPr>
          <w:p w14:paraId="56F173F7" w14:textId="77777777" w:rsidR="00086F3F" w:rsidRPr="00091B01" w:rsidRDefault="00086F3F" w:rsidP="00A31C95">
            <w:pPr>
              <w:spacing w:after="0" w:line="240" w:lineRule="auto"/>
              <w:jc w:val="right"/>
              <w:rPr>
                <w:rFonts w:ascii="Calibri" w:eastAsia="Times New Roman" w:hAnsi="Calibri" w:cs="Calibri"/>
                <w:color w:val="000000"/>
                <w:kern w:val="0"/>
                <w:sz w:val="18"/>
                <w:szCs w:val="18"/>
                <w14:ligatures w14:val="none"/>
              </w:rPr>
            </w:pPr>
          </w:p>
        </w:tc>
      </w:tr>
    </w:tbl>
    <w:p w14:paraId="1C9DC0A8" w14:textId="77777777" w:rsidR="004E765C" w:rsidRPr="004E765C" w:rsidRDefault="004E765C" w:rsidP="001407CA">
      <w:pPr>
        <w:spacing w:line="480" w:lineRule="auto"/>
      </w:pPr>
    </w:p>
    <w:p w14:paraId="066EC369" w14:textId="645CCD0E" w:rsidR="00784356" w:rsidRDefault="00784356" w:rsidP="001407CA">
      <w:pPr>
        <w:pStyle w:val="Heading1"/>
        <w:spacing w:line="480" w:lineRule="auto"/>
      </w:pPr>
      <w:r w:rsidRPr="00784356">
        <w:t>Discussion</w:t>
      </w:r>
    </w:p>
    <w:p w14:paraId="5D4D5D53" w14:textId="53B40C9D" w:rsidR="0065449C" w:rsidRPr="0065449C" w:rsidRDefault="0065449C" w:rsidP="001407CA">
      <w:pPr>
        <w:pStyle w:val="Heading2"/>
        <w:spacing w:line="480" w:lineRule="auto"/>
      </w:pPr>
      <w:r>
        <w:t>Factors associated with severe illness and mortality</w:t>
      </w:r>
    </w:p>
    <w:p w14:paraId="2E0DF9AE" w14:textId="2E3C622F" w:rsidR="002A2DED" w:rsidRDefault="00350442" w:rsidP="001407CA">
      <w:pPr>
        <w:spacing w:line="480" w:lineRule="auto"/>
        <w:ind w:firstLine="720"/>
      </w:pPr>
      <w:r>
        <w:t>Th</w:t>
      </w:r>
      <w:r w:rsidR="009236C5">
        <w:t xml:space="preserve">e IFBS </w:t>
      </w:r>
      <w:r w:rsidR="00F70DEA">
        <w:t xml:space="preserve">platform </w:t>
      </w:r>
      <w:r w:rsidR="009236C5">
        <w:t xml:space="preserve">in </w:t>
      </w:r>
      <w:r w:rsidR="00F70DEA">
        <w:t xml:space="preserve">Kenya provides a rich </w:t>
      </w:r>
      <w:r w:rsidR="00351A90">
        <w:t xml:space="preserve">clinical data source </w:t>
      </w:r>
      <w:r w:rsidR="00B05702">
        <w:t>to characterize patients hospitalized with malaria</w:t>
      </w:r>
      <w:r w:rsidR="00D32C51">
        <w:t xml:space="preserve">. </w:t>
      </w:r>
      <w:r w:rsidR="00C2409F">
        <w:t xml:space="preserve">Using this data source, we were able to </w:t>
      </w:r>
      <w:r w:rsidR="008D21D0">
        <w:t xml:space="preserve">explore factors associated with severe disease and mortality among inpatients as well as benchmark </w:t>
      </w:r>
      <w:r w:rsidR="003C7F6E">
        <w:t xml:space="preserve">clinical management against MOH </w:t>
      </w:r>
      <w:r w:rsidR="00E63242">
        <w:t xml:space="preserve">guidelines. </w:t>
      </w:r>
    </w:p>
    <w:p w14:paraId="42EF9A02" w14:textId="7C92BA10" w:rsidR="004E765C" w:rsidRDefault="00727B12" w:rsidP="001407CA">
      <w:pPr>
        <w:spacing w:line="480" w:lineRule="auto"/>
        <w:ind w:firstLine="720"/>
      </w:pPr>
      <w:r>
        <w:t>Unsurprisingly, t</w:t>
      </w:r>
      <w:r w:rsidR="006B7968">
        <w:t>he youngest age group (</w:t>
      </w:r>
      <w:r w:rsidR="006367BC">
        <w:t>≤1</w:t>
      </w:r>
      <w:r w:rsidR="003B032D">
        <w:t xml:space="preserve"> year</w:t>
      </w:r>
      <w:r w:rsidR="006B7968">
        <w:t>) was associated</w:t>
      </w:r>
      <w:r>
        <w:t xml:space="preserve"> with increased odds of developing severe illness. </w:t>
      </w:r>
      <w:r w:rsidR="006310A7">
        <w:t>There was also a trend towards higher odds of severe illness and mortality among those with m</w:t>
      </w:r>
      <w:r w:rsidR="00D54F4D">
        <w:t xml:space="preserve">alnutrition and HIV-positive status, but </w:t>
      </w:r>
      <w:r w:rsidR="005B353F">
        <w:t xml:space="preserve">the sample sizes </w:t>
      </w:r>
      <w:r w:rsidR="00612A46">
        <w:t xml:space="preserve">were </w:t>
      </w:r>
      <w:r w:rsidR="2F5617A6">
        <w:t xml:space="preserve">too small to </w:t>
      </w:r>
      <w:r w:rsidR="790EDAC4">
        <w:t>detect</w:t>
      </w:r>
      <w:r w:rsidR="005B353F">
        <w:t xml:space="preserve"> statistically significant</w:t>
      </w:r>
      <w:r w:rsidR="6CC9FC7E">
        <w:t xml:space="preserve"> differences</w:t>
      </w:r>
      <w:r w:rsidR="2F5617A6">
        <w:t>.</w:t>
      </w:r>
      <w:r w:rsidR="005B353F">
        <w:t xml:space="preserve"> </w:t>
      </w:r>
      <w:r w:rsidR="5B46230B">
        <w:t xml:space="preserve">This is consistent with the prevailing assumption that </w:t>
      </w:r>
      <w:r w:rsidR="00EC1161">
        <w:t>a</w:t>
      </w:r>
      <w:r w:rsidR="009E706A">
        <w:t xml:space="preserve"> </w:t>
      </w:r>
      <w:r w:rsidR="5B46230B">
        <w:t xml:space="preserve">weakened immune system </w:t>
      </w:r>
      <w:r w:rsidR="53A2DD0C">
        <w:t>result</w:t>
      </w:r>
      <w:r w:rsidR="00612A46">
        <w:t>e</w:t>
      </w:r>
      <w:r w:rsidR="009E706A">
        <w:t>d</w:t>
      </w:r>
      <w:r w:rsidR="53A2DD0C">
        <w:t xml:space="preserve"> in worse clinical outcomes. </w:t>
      </w:r>
    </w:p>
    <w:p w14:paraId="0DAADF05" w14:textId="174F4092" w:rsidR="004E765C" w:rsidRDefault="00C67D96" w:rsidP="001407CA">
      <w:pPr>
        <w:spacing w:line="480" w:lineRule="auto"/>
        <w:ind w:firstLine="720"/>
      </w:pPr>
      <w:r>
        <w:t xml:space="preserve">While </w:t>
      </w:r>
      <w:r w:rsidR="003B1C31">
        <w:t>self-reporting being</w:t>
      </w:r>
      <w:r w:rsidR="002734B6">
        <w:t xml:space="preserve"> treated with an antimalarial in the previous week may be </w:t>
      </w:r>
      <w:r w:rsidR="00A378D6">
        <w:t xml:space="preserve">perceived to be </w:t>
      </w:r>
      <w:r w:rsidR="002734B6">
        <w:t>protective</w:t>
      </w:r>
      <w:r w:rsidR="00D14DE8">
        <w:t xml:space="preserve"> from having severe presentation</w:t>
      </w:r>
      <w:r w:rsidR="00184E5D">
        <w:t>,</w:t>
      </w:r>
      <w:r w:rsidR="002734B6">
        <w:t xml:space="preserve"> </w:t>
      </w:r>
      <w:r w:rsidR="004C0FB0">
        <w:t>it appeared as a</w:t>
      </w:r>
      <w:r w:rsidR="00287B2C">
        <w:t xml:space="preserve"> </w:t>
      </w:r>
      <w:r w:rsidR="00D74DD7">
        <w:t>risk factor for developing severe illness or dying</w:t>
      </w:r>
      <w:r w:rsidR="00616610">
        <w:t>.</w:t>
      </w:r>
      <w:r w:rsidR="03959948">
        <w:t xml:space="preserve"> </w:t>
      </w:r>
      <w:r w:rsidR="00616610">
        <w:t>T</w:t>
      </w:r>
      <w:r w:rsidR="03959948">
        <w:t xml:space="preserve">his could be due to inappropriate dosing, </w:t>
      </w:r>
      <w:r w:rsidR="00A378D6">
        <w:t xml:space="preserve">substandard or poor quality product, </w:t>
      </w:r>
      <w:r w:rsidR="03959948">
        <w:t xml:space="preserve">poor </w:t>
      </w:r>
      <w:r w:rsidR="00384F2C">
        <w:t xml:space="preserve">drug </w:t>
      </w:r>
      <w:r w:rsidR="03959948">
        <w:t xml:space="preserve">absorption, anti-malarial resistance or </w:t>
      </w:r>
      <w:r w:rsidR="5D65403C">
        <w:t xml:space="preserve">delays in care seeking </w:t>
      </w:r>
      <w:r w:rsidR="003B1398">
        <w:t>behaviors</w:t>
      </w:r>
      <w:r w:rsidR="00287B2C">
        <w:t xml:space="preserve">. </w:t>
      </w:r>
      <w:r w:rsidR="007569E9">
        <w:t>Similarly, history of having sought other care prior to presentation was associated with severe illn</w:t>
      </w:r>
      <w:r w:rsidR="006D3B17">
        <w:t>ess</w:t>
      </w:r>
      <w:r w:rsidR="0037386F">
        <w:t>,</w:t>
      </w:r>
      <w:r w:rsidR="006D3B17">
        <w:t xml:space="preserve"> and while not statistically </w:t>
      </w:r>
      <w:r w:rsidR="006D3B17">
        <w:lastRenderedPageBreak/>
        <w:t>significant</w:t>
      </w:r>
      <w:r w:rsidR="00661E59">
        <w:t xml:space="preserve"> due to small sample size</w:t>
      </w:r>
      <w:r w:rsidR="006D3B17">
        <w:t xml:space="preserve">, also </w:t>
      </w:r>
      <w:r w:rsidR="00661E59">
        <w:t xml:space="preserve">death. </w:t>
      </w:r>
      <w:r w:rsidR="00287B2C">
        <w:t>In Kenya, approximately 40-50% of patients seek initial care for malaria in the private sector</w:t>
      </w:r>
      <w:r w:rsidR="00D81B9F">
        <w:t>,</w:t>
      </w:r>
      <w:r w:rsidR="00362665" w:rsidRPr="00362665">
        <w:rPr>
          <w:vertAlign w:val="superscript"/>
        </w:rPr>
        <w:t>10</w:t>
      </w:r>
      <w:r w:rsidR="00D81B9F">
        <w:t xml:space="preserve"> </w:t>
      </w:r>
      <w:r w:rsidR="00287B2C">
        <w:t>especially in unregulated drug dispensaries</w:t>
      </w:r>
      <w:r w:rsidR="00C46516">
        <w:t xml:space="preserve">, where adherence to the national malaria treatment guidelines is not guaranteed and patients may receive substandard care—such as ineffective antimalarial therapy or an incomplete treatment course due to cost limitations. </w:t>
      </w:r>
      <w:r w:rsidR="00573EAD">
        <w:t xml:space="preserve">Most </w:t>
      </w:r>
      <w:r w:rsidR="001B73E8">
        <w:t xml:space="preserve">cases treated in the private sector will </w:t>
      </w:r>
      <w:r w:rsidR="00573EAD">
        <w:t xml:space="preserve">likely </w:t>
      </w:r>
      <w:r w:rsidR="001B73E8">
        <w:t>experience clinical</w:t>
      </w:r>
      <w:r w:rsidR="00452820">
        <w:t xml:space="preserve"> resolution, thus never requiring hospitalization and </w:t>
      </w:r>
      <w:r w:rsidR="000468C8">
        <w:t xml:space="preserve">potential </w:t>
      </w:r>
      <w:r w:rsidR="00D14F2A">
        <w:t xml:space="preserve">recruitment into the IFBS database. However, </w:t>
      </w:r>
      <w:r w:rsidR="00053518">
        <w:t xml:space="preserve">others </w:t>
      </w:r>
      <w:r w:rsidR="00FB5554">
        <w:t xml:space="preserve">who </w:t>
      </w:r>
      <w:r w:rsidR="006767FB">
        <w:t xml:space="preserve">develop clinical complications and severe malaria </w:t>
      </w:r>
      <w:r w:rsidR="002F4EB7">
        <w:t>may be</w:t>
      </w:r>
      <w:r w:rsidR="00D430F2">
        <w:t>come</w:t>
      </w:r>
      <w:r w:rsidR="002F4EB7">
        <w:t xml:space="preserve"> part of the</w:t>
      </w:r>
      <w:r w:rsidR="004A22DB">
        <w:t xml:space="preserve"> IFBS database, resulting in a biased result </w:t>
      </w:r>
      <w:r w:rsidR="00DB4A04">
        <w:t>where</w:t>
      </w:r>
      <w:r w:rsidR="004A22DB">
        <w:t xml:space="preserve"> </w:t>
      </w:r>
      <w:r w:rsidR="00CC104A">
        <w:t xml:space="preserve">the </w:t>
      </w:r>
      <w:r w:rsidR="00042377">
        <w:t xml:space="preserve">self-report to have </w:t>
      </w:r>
      <w:r w:rsidR="00C54CE0">
        <w:t xml:space="preserve">received care at another facility or </w:t>
      </w:r>
      <w:r w:rsidR="00042377">
        <w:t xml:space="preserve">taken antimalarials prior to admission </w:t>
      </w:r>
      <w:r w:rsidR="009263AA">
        <w:t>appear</w:t>
      </w:r>
      <w:r w:rsidR="00CC104A">
        <w:t>ed</w:t>
      </w:r>
      <w:r w:rsidR="009263AA">
        <w:t xml:space="preserve"> </w:t>
      </w:r>
      <w:r w:rsidR="00CC104A">
        <w:t>as</w:t>
      </w:r>
      <w:r w:rsidR="009263AA">
        <w:t xml:space="preserve"> a </w:t>
      </w:r>
      <w:r w:rsidR="00C54CE0">
        <w:t xml:space="preserve">potential </w:t>
      </w:r>
      <w:r w:rsidR="009263AA">
        <w:t>risk factor associated with severe illness or mortality.</w:t>
      </w:r>
      <w:r w:rsidR="00E82A8B">
        <w:t xml:space="preserve">  </w:t>
      </w:r>
    </w:p>
    <w:p w14:paraId="7C1C1D28" w14:textId="40A164CC" w:rsidR="00083874" w:rsidRDefault="00826BA8" w:rsidP="001407CA">
      <w:pPr>
        <w:spacing w:line="480" w:lineRule="auto"/>
        <w:ind w:firstLine="720"/>
      </w:pPr>
      <w:r>
        <w:t xml:space="preserve">Delays in care seeking were also </w:t>
      </w:r>
      <w:r w:rsidR="009D1A25">
        <w:t>associated with severe illness</w:t>
      </w:r>
      <w:r w:rsidR="009E7AFA">
        <w:t xml:space="preserve"> and mortality</w:t>
      </w:r>
      <w:r w:rsidR="00E45FF9">
        <w:t>, including</w:t>
      </w:r>
      <w:r w:rsidR="009D1A25">
        <w:t xml:space="preserve"> reporting longer duration of fever, </w:t>
      </w:r>
      <w:r w:rsidR="00C54CE0">
        <w:t xml:space="preserve">and </w:t>
      </w:r>
      <w:r w:rsidR="009D1A25">
        <w:t>history of being referred from a</w:t>
      </w:r>
      <w:r w:rsidR="00B87599">
        <w:t xml:space="preserve"> </w:t>
      </w:r>
      <w:r w:rsidR="00781AFF">
        <w:t>lower-level</w:t>
      </w:r>
      <w:r w:rsidR="00B87599">
        <w:t xml:space="preserve"> </w:t>
      </w:r>
      <w:r w:rsidR="009D1A25">
        <w:t>health facility</w:t>
      </w:r>
      <w:r w:rsidR="00652322">
        <w:t>.</w:t>
      </w:r>
      <w:r w:rsidR="009D1A25">
        <w:t xml:space="preserve"> </w:t>
      </w:r>
      <w:r w:rsidR="00083874">
        <w:t>The</w:t>
      </w:r>
      <w:r w:rsidR="00D95DBD">
        <w:t xml:space="preserve">se findings underscore the importance of </w:t>
      </w:r>
      <w:r w:rsidR="00401C7D">
        <w:t xml:space="preserve">behavior change strategies </w:t>
      </w:r>
      <w:r w:rsidR="004C2B3F">
        <w:t xml:space="preserve">as well as messaging in the community </w:t>
      </w:r>
      <w:r w:rsidR="00401C7D">
        <w:t>that promote timely care-seeking</w:t>
      </w:r>
      <w:r w:rsidR="006669E4">
        <w:t>, referrals and follow-up</w:t>
      </w:r>
      <w:r w:rsidR="008724F1">
        <w:t>, especially for the youngest children.</w:t>
      </w:r>
      <w:r w:rsidR="008D59F7">
        <w:t xml:space="preserve"> </w:t>
      </w:r>
      <w:r w:rsidR="00F02CDC">
        <w:t xml:space="preserve">It </w:t>
      </w:r>
      <w:r w:rsidR="001B3BF4">
        <w:t>is</w:t>
      </w:r>
      <w:r w:rsidR="00F02CDC">
        <w:t xml:space="preserve"> also </w:t>
      </w:r>
      <w:r w:rsidR="001A7ABF">
        <w:t xml:space="preserve">important to emphasize the need to complete a full 3-day course of </w:t>
      </w:r>
      <w:r w:rsidR="63693876">
        <w:t>an oral artemisinin-based combination therapy (ACT)</w:t>
      </w:r>
      <w:r w:rsidR="001A7ABF">
        <w:t>, ideally obtained at a</w:t>
      </w:r>
      <w:r w:rsidR="009101B1">
        <w:t xml:space="preserve"> regulated health facility.</w:t>
      </w:r>
      <w:r w:rsidR="00626237">
        <w:t xml:space="preserve"> For healthcare provider</w:t>
      </w:r>
      <w:r w:rsidR="00BA3C15">
        <w:t xml:space="preserve">s in malaria endemic areas, diagnosing malaria is </w:t>
      </w:r>
      <w:r w:rsidR="0060057D">
        <w:t xml:space="preserve">common, but for those in areas where malaria is less common, </w:t>
      </w:r>
      <w:r w:rsidR="00A52738">
        <w:t xml:space="preserve">malaria diagnosis may not be considered initially, </w:t>
      </w:r>
      <w:r w:rsidR="006A4111">
        <w:t xml:space="preserve">resulting in </w:t>
      </w:r>
      <w:r w:rsidR="00165B2B">
        <w:t>the</w:t>
      </w:r>
      <w:r w:rsidR="006A4111">
        <w:t xml:space="preserve"> development of severe disease. Further, patients who live in non-endemic areas do not have immunity to malaria, rendering them more susceptible to develop</w:t>
      </w:r>
      <w:r w:rsidR="00165B2B">
        <w:t>ing</w:t>
      </w:r>
      <w:r w:rsidR="006A4111">
        <w:t xml:space="preserve"> severe disease.</w:t>
      </w:r>
      <w:r w:rsidR="004562A9">
        <w:t xml:space="preserve"> </w:t>
      </w:r>
    </w:p>
    <w:p w14:paraId="63AB0BE4" w14:textId="03F38C17" w:rsidR="008C30B4" w:rsidRDefault="00675152" w:rsidP="001407CA">
      <w:pPr>
        <w:spacing w:line="480" w:lineRule="auto"/>
        <w:ind w:firstLine="720"/>
      </w:pPr>
      <w:r>
        <w:t xml:space="preserve">The TAC results </w:t>
      </w:r>
      <w:r w:rsidR="00D06CA0">
        <w:t xml:space="preserve">among those with </w:t>
      </w:r>
      <w:r w:rsidR="0063280D">
        <w:t xml:space="preserve">parasitological confirmation of malaria demonstrated that </w:t>
      </w:r>
      <w:r w:rsidR="001D3DB7" w:rsidRPr="001D3DB7">
        <w:rPr>
          <w:i/>
          <w:iCs/>
        </w:rPr>
        <w:t xml:space="preserve">non-typhoidal Salmonella </w:t>
      </w:r>
      <w:r w:rsidR="008F571F">
        <w:t>is the most common co-infection with malaria</w:t>
      </w:r>
      <w:r w:rsidR="00D06CA0">
        <w:t>,</w:t>
      </w:r>
      <w:r w:rsidR="0063280D">
        <w:t xml:space="preserve"> which has been </w:t>
      </w:r>
      <w:r w:rsidR="00DE3F49">
        <w:t xml:space="preserve">extensively </w:t>
      </w:r>
      <w:r w:rsidR="000B3FDB">
        <w:t xml:space="preserve">documented </w:t>
      </w:r>
      <w:r w:rsidR="00DE3F49">
        <w:t>in the literature</w:t>
      </w:r>
      <w:r w:rsidR="00F10D58">
        <w:t xml:space="preserve">, though at 2%, the co-infection rate </w:t>
      </w:r>
      <w:r w:rsidR="00F63041">
        <w:t xml:space="preserve">with the organism </w:t>
      </w:r>
      <w:r w:rsidR="00F10D58">
        <w:t xml:space="preserve">was </w:t>
      </w:r>
      <w:r w:rsidR="008E0B08">
        <w:t>lower than expected.</w:t>
      </w:r>
      <w:r w:rsidR="00531115">
        <w:t xml:space="preserve"> The other co-infecti</w:t>
      </w:r>
      <w:r w:rsidR="000B3FDB">
        <w:t>ng</w:t>
      </w:r>
      <w:r w:rsidR="00531115">
        <w:t xml:space="preserve"> pathogens</w:t>
      </w:r>
      <w:r w:rsidR="00F63041">
        <w:t xml:space="preserve"> of interest include </w:t>
      </w:r>
      <w:r w:rsidR="001011A9">
        <w:t xml:space="preserve">various zoonotic infections such as </w:t>
      </w:r>
      <w:r w:rsidR="00F63041" w:rsidRPr="00473C41">
        <w:rPr>
          <w:i/>
        </w:rPr>
        <w:t>Rickettsia</w:t>
      </w:r>
      <w:r w:rsidR="00F63041">
        <w:t xml:space="preserve">, </w:t>
      </w:r>
      <w:r w:rsidR="00655418" w:rsidRPr="00473C41">
        <w:rPr>
          <w:i/>
        </w:rPr>
        <w:t>Brucella</w:t>
      </w:r>
      <w:r w:rsidR="00655418">
        <w:t xml:space="preserve">, </w:t>
      </w:r>
      <w:r w:rsidR="00655418" w:rsidRPr="00473C41">
        <w:rPr>
          <w:i/>
        </w:rPr>
        <w:t>Bartonella</w:t>
      </w:r>
      <w:r w:rsidR="00655418">
        <w:t xml:space="preserve">, </w:t>
      </w:r>
      <w:r w:rsidR="00655418" w:rsidRPr="00473C41">
        <w:rPr>
          <w:i/>
        </w:rPr>
        <w:t>Leptospira</w:t>
      </w:r>
      <w:r w:rsidR="00AD083F">
        <w:t xml:space="preserve">, </w:t>
      </w:r>
      <w:r w:rsidR="00AD083F" w:rsidRPr="00473C41">
        <w:rPr>
          <w:i/>
        </w:rPr>
        <w:t>C</w:t>
      </w:r>
      <w:r w:rsidR="001011A9" w:rsidRPr="00473C41">
        <w:rPr>
          <w:i/>
        </w:rPr>
        <w:t>oxiella</w:t>
      </w:r>
      <w:r w:rsidR="00AD083F" w:rsidRPr="00473C41">
        <w:rPr>
          <w:i/>
        </w:rPr>
        <w:t xml:space="preserve"> </w:t>
      </w:r>
      <w:r w:rsidR="001011A9" w:rsidRPr="00473C41">
        <w:rPr>
          <w:i/>
        </w:rPr>
        <w:t>burnetii</w:t>
      </w:r>
      <w:r w:rsidR="000B3FDB">
        <w:rPr>
          <w:i/>
        </w:rPr>
        <w:t>,</w:t>
      </w:r>
      <w:r w:rsidR="001011A9">
        <w:t xml:space="preserve"> </w:t>
      </w:r>
      <w:r w:rsidR="00AD083F">
        <w:t>and Rift Valley Fever</w:t>
      </w:r>
      <w:r w:rsidR="001011A9">
        <w:t>.</w:t>
      </w:r>
      <w:r w:rsidR="00A511A3">
        <w:t xml:space="preserve"> Any one of these </w:t>
      </w:r>
      <w:r w:rsidR="00A511A3">
        <w:lastRenderedPageBreak/>
        <w:t xml:space="preserve">pathogens could result in </w:t>
      </w:r>
      <w:r w:rsidR="003D43F4">
        <w:t xml:space="preserve">severe illness, so a co-infection with malaria </w:t>
      </w:r>
      <w:r w:rsidR="00F27522">
        <w:t>may</w:t>
      </w:r>
      <w:r w:rsidR="004A7CB2">
        <w:t xml:space="preserve"> result in more severe disease or higher mortality. However, ou</w:t>
      </w:r>
      <w:r w:rsidR="00CD18ED">
        <w:t>r</w:t>
      </w:r>
      <w:r w:rsidR="004A7CB2">
        <w:t xml:space="preserve"> data showed c</w:t>
      </w:r>
      <w:r w:rsidR="000610A2">
        <w:t xml:space="preserve">o-infection </w:t>
      </w:r>
      <w:r w:rsidR="002A1874">
        <w:t>with another non-falciparum pathogen was not definitively associated with a more severe presentation or mortality</w:t>
      </w:r>
      <w:r w:rsidR="53ED42E9">
        <w:t xml:space="preserve">, </w:t>
      </w:r>
      <w:r w:rsidR="009200BD">
        <w:t>t</w:t>
      </w:r>
      <w:r w:rsidR="004B202F">
        <w:t>hough it</w:t>
      </w:r>
      <w:r w:rsidR="009200BD">
        <w:t xml:space="preserve"> should be noted that the odds ratio for mortality for malaria co-infections </w:t>
      </w:r>
      <w:r w:rsidR="007F57EE">
        <w:t>was 2.0, though non-significant.</w:t>
      </w:r>
      <w:r w:rsidR="009004C8">
        <w:t xml:space="preserve"> </w:t>
      </w:r>
      <w:r w:rsidR="00EE029C">
        <w:t xml:space="preserve">However, </w:t>
      </w:r>
      <w:r w:rsidR="00F93953">
        <w:t xml:space="preserve">when expanding the analysis to all patients with AFI (not limited to malaria), </w:t>
      </w:r>
      <w:r w:rsidR="00091BB3">
        <w:t xml:space="preserve">severe illness and </w:t>
      </w:r>
      <w:r w:rsidR="00F93953">
        <w:t xml:space="preserve">mortality odds were higher </w:t>
      </w:r>
      <w:r w:rsidR="00091BB3">
        <w:t xml:space="preserve">among patients who had a non-falciparum infection, </w:t>
      </w:r>
      <w:r w:rsidR="00A03E31">
        <w:t>as well as</w:t>
      </w:r>
      <w:r w:rsidR="00091BB3">
        <w:t xml:space="preserve"> among those with a negative TAC result. </w:t>
      </w:r>
      <w:r w:rsidR="00D03D6E">
        <w:t xml:space="preserve"> </w:t>
      </w:r>
    </w:p>
    <w:p w14:paraId="17872707" w14:textId="7076A787" w:rsidR="00601693" w:rsidRPr="00601693" w:rsidRDefault="0065449C" w:rsidP="009F2B6F">
      <w:pPr>
        <w:pStyle w:val="Heading2"/>
        <w:spacing w:line="480" w:lineRule="auto"/>
      </w:pPr>
      <w:r>
        <w:t>Accuracy of malaria diagnostic testing and adherence to national treatment guidelines</w:t>
      </w:r>
    </w:p>
    <w:p w14:paraId="5A743C19" w14:textId="6821F281" w:rsidR="005A21B1" w:rsidRDefault="01BF901E" w:rsidP="001407CA">
      <w:pPr>
        <w:spacing w:line="480" w:lineRule="auto"/>
        <w:ind w:firstLine="720"/>
      </w:pPr>
      <w:r>
        <w:t>T</w:t>
      </w:r>
      <w:r w:rsidR="0072725B">
        <w:t xml:space="preserve">his </w:t>
      </w:r>
      <w:r w:rsidR="3391DAC5">
        <w:t xml:space="preserve">project provided </w:t>
      </w:r>
      <w:r w:rsidR="003D618D">
        <w:t>a</w:t>
      </w:r>
      <w:r w:rsidR="3391DAC5">
        <w:t xml:space="preserve"> unique</w:t>
      </w:r>
      <w:r w:rsidR="00142CCB">
        <w:t xml:space="preserve"> </w:t>
      </w:r>
      <w:r w:rsidR="00E747AB">
        <w:t>opportunity to conduct</w:t>
      </w:r>
      <w:r w:rsidR="00142CCB">
        <w:t xml:space="preserve"> an internal validation of </w:t>
      </w:r>
      <w:r w:rsidR="00B67ED6">
        <w:t xml:space="preserve">clinical microscopy </w:t>
      </w:r>
      <w:r w:rsidR="00BB5B03">
        <w:t xml:space="preserve">smears </w:t>
      </w:r>
      <w:r w:rsidR="001E1B65">
        <w:t xml:space="preserve">and </w:t>
      </w:r>
      <w:r w:rsidR="000E0825">
        <w:t>m</w:t>
      </w:r>
      <w:r w:rsidR="001E1B65">
        <w:t xml:space="preserve">RDT </w:t>
      </w:r>
      <w:r w:rsidR="00B67ED6">
        <w:t>results</w:t>
      </w:r>
      <w:r w:rsidR="00055ACB">
        <w:t xml:space="preserve"> by comparing </w:t>
      </w:r>
      <w:r w:rsidR="00791A24">
        <w:t xml:space="preserve">them </w:t>
      </w:r>
      <w:r w:rsidR="00055ACB">
        <w:t xml:space="preserve">with </w:t>
      </w:r>
      <w:r w:rsidR="001E1B65">
        <w:t>PCR test</w:t>
      </w:r>
      <w:r w:rsidR="00791A24">
        <w:t>ing</w:t>
      </w:r>
      <w:r w:rsidR="001E1B65">
        <w:t xml:space="preserve"> as part of the surveillance project</w:t>
      </w:r>
      <w:r w:rsidR="00D32C51">
        <w:t xml:space="preserve">. </w:t>
      </w:r>
      <w:r w:rsidR="00A54E39">
        <w:t>M</w:t>
      </w:r>
      <w:r w:rsidR="00203CED">
        <w:t>icroscopy at the facility</w:t>
      </w:r>
      <w:r w:rsidR="00290B5C">
        <w:t xml:space="preserve"> level </w:t>
      </w:r>
      <w:r w:rsidR="00D37DE0">
        <w:t xml:space="preserve">suggests </w:t>
      </w:r>
      <w:r w:rsidR="00E12A59">
        <w:t xml:space="preserve">a </w:t>
      </w:r>
      <w:r w:rsidR="1CF360A5">
        <w:t>substantial</w:t>
      </w:r>
      <w:r w:rsidR="00E12A59">
        <w:t xml:space="preserve"> </w:t>
      </w:r>
      <w:r w:rsidR="6570C55F">
        <w:t xml:space="preserve">over-reading </w:t>
      </w:r>
      <w:r w:rsidR="00E12A59">
        <w:t>of smears as positive</w:t>
      </w:r>
      <w:r w:rsidR="00474C7E">
        <w:t xml:space="preserve"> (about 1 in 5 being called positive when PCR was negative) </w:t>
      </w:r>
      <w:r w:rsidR="00B8239A">
        <w:t xml:space="preserve">in the routine clinical </w:t>
      </w:r>
      <w:r w:rsidR="00E5779F">
        <w:t>setting</w:t>
      </w:r>
      <w:r w:rsidR="00D32C51">
        <w:t xml:space="preserve">. </w:t>
      </w:r>
      <w:r w:rsidR="005D0FA2">
        <w:t>Consistently higher PCR positiv</w:t>
      </w:r>
      <w:r w:rsidR="00B351BC">
        <w:t>e concordance</w:t>
      </w:r>
      <w:r w:rsidR="005D0FA2">
        <w:t xml:space="preserve"> </w:t>
      </w:r>
      <w:r w:rsidR="00B351BC">
        <w:t>with</w:t>
      </w:r>
      <w:r w:rsidR="005D0FA2">
        <w:t xml:space="preserve"> </w:t>
      </w:r>
      <w:r w:rsidR="00AC1B1D">
        <w:t>positive smears read</w:t>
      </w:r>
      <w:r w:rsidR="00440762">
        <w:t xml:space="preserve"> by surveillance staff</w:t>
      </w:r>
      <w:r w:rsidR="00B1638B">
        <w:t xml:space="preserve"> wh</w:t>
      </w:r>
      <w:r w:rsidR="00275FD3">
        <w:t xml:space="preserve">o are certified at expert level </w:t>
      </w:r>
      <w:r w:rsidR="00440762">
        <w:t>corroborates thi</w:t>
      </w:r>
      <w:r w:rsidR="009F0E67">
        <w:t>s finding</w:t>
      </w:r>
      <w:r w:rsidR="0017156F">
        <w:t xml:space="preserve">. </w:t>
      </w:r>
      <w:r w:rsidR="000A0DD8">
        <w:t>T</w:t>
      </w:r>
      <w:r w:rsidR="00613A47">
        <w:t>he quality of routine microscopy readings</w:t>
      </w:r>
      <w:r w:rsidR="000A0DD8">
        <w:t xml:space="preserve"> could be related</w:t>
      </w:r>
      <w:r w:rsidR="00613A47">
        <w:t xml:space="preserve"> to suboptimal </w:t>
      </w:r>
      <w:r w:rsidR="00614CC6">
        <w:t xml:space="preserve">equipment, reagents, </w:t>
      </w:r>
      <w:r w:rsidR="3A70365C">
        <w:t xml:space="preserve">contamination of stain and/or slides with dust or debris, </w:t>
      </w:r>
      <w:r w:rsidR="000A0DD8">
        <w:t xml:space="preserve">and </w:t>
      </w:r>
      <w:r w:rsidR="00270A0E">
        <w:t xml:space="preserve">lack of </w:t>
      </w:r>
      <w:r w:rsidR="005F18D7">
        <w:t xml:space="preserve">adequate </w:t>
      </w:r>
      <w:r w:rsidR="00573D23">
        <w:t xml:space="preserve">routine </w:t>
      </w:r>
      <w:r w:rsidR="005F18D7">
        <w:t>training of microscopist</w:t>
      </w:r>
      <w:r w:rsidR="00D81634">
        <w:t>s</w:t>
      </w:r>
      <w:r w:rsidR="00D32C51">
        <w:t xml:space="preserve">. </w:t>
      </w:r>
      <w:r w:rsidR="3B357A1F">
        <w:t xml:space="preserve"> T</w:t>
      </w:r>
      <w:r w:rsidR="003C41E6">
        <w:t xml:space="preserve">he </w:t>
      </w:r>
      <w:r w:rsidR="1F42AB46">
        <w:t>high smear false positivity</w:t>
      </w:r>
      <w:r w:rsidR="003C41E6">
        <w:t xml:space="preserve"> in the lake endemic zone</w:t>
      </w:r>
      <w:r w:rsidR="005709A0">
        <w:t xml:space="preserve"> </w:t>
      </w:r>
      <w:r w:rsidR="005709A0" w:rsidRPr="00807AA5">
        <w:t xml:space="preserve">of </w:t>
      </w:r>
      <w:r w:rsidR="00653A26" w:rsidRPr="00091B01">
        <w:t>about 20%</w:t>
      </w:r>
      <w:r w:rsidR="00B637D3">
        <w:t xml:space="preserve"> </w:t>
      </w:r>
      <w:r w:rsidR="003C41E6">
        <w:t xml:space="preserve">is concerning </w:t>
      </w:r>
      <w:r w:rsidR="00F648DE">
        <w:t>considering that th</w:t>
      </w:r>
      <w:r w:rsidR="4D4AE20B">
        <w:t xml:space="preserve">is area </w:t>
      </w:r>
      <w:r w:rsidR="00CB4493">
        <w:t>is responsible for over</w:t>
      </w:r>
      <w:r w:rsidR="00DB4170">
        <w:t xml:space="preserve"> 80% of the malaria burden in Kenya and it is where </w:t>
      </w:r>
      <w:r w:rsidR="00E3000A">
        <w:t xml:space="preserve">significant </w:t>
      </w:r>
      <w:r w:rsidR="00017306">
        <w:t xml:space="preserve">investments </w:t>
      </w:r>
      <w:r w:rsidR="00A7670E">
        <w:t>have occurred</w:t>
      </w:r>
      <w:r w:rsidR="006F3AEF">
        <w:t xml:space="preserve"> </w:t>
      </w:r>
      <w:r w:rsidR="00017306">
        <w:t xml:space="preserve">in </w:t>
      </w:r>
      <w:r w:rsidR="006610F4">
        <w:t xml:space="preserve">ensuring quality </w:t>
      </w:r>
      <w:r w:rsidR="00017306">
        <w:t>malaria diagnostics and case management</w:t>
      </w:r>
      <w:r w:rsidR="00D32C51">
        <w:t xml:space="preserve">. </w:t>
      </w:r>
      <w:r w:rsidR="005F641F">
        <w:t xml:space="preserve">Our findings suggest that </w:t>
      </w:r>
      <w:r w:rsidR="1953A2BF">
        <w:t xml:space="preserve">malaria might </w:t>
      </w:r>
      <w:r w:rsidR="005F641F">
        <w:t>be over</w:t>
      </w:r>
      <w:r w:rsidR="0060308F">
        <w:t>-diagnos</w:t>
      </w:r>
      <w:r w:rsidR="004C35FF">
        <w:t>ed</w:t>
      </w:r>
      <w:r w:rsidR="0060308F">
        <w:t xml:space="preserve"> </w:t>
      </w:r>
      <w:r w:rsidR="005411C8">
        <w:t xml:space="preserve">where diagnosis is </w:t>
      </w:r>
      <w:r w:rsidR="003531DA">
        <w:t>made</w:t>
      </w:r>
      <w:r w:rsidR="005411C8">
        <w:t xml:space="preserve"> by microscopy alone</w:t>
      </w:r>
      <w:r w:rsidR="00CC4BA1">
        <w:t>, which is the case in many of the higher</w:t>
      </w:r>
      <w:r w:rsidR="00A7670E">
        <w:t>-</w:t>
      </w:r>
      <w:r w:rsidR="00CC4BA1">
        <w:t>level health facilities</w:t>
      </w:r>
      <w:r w:rsidR="00D32C51">
        <w:t xml:space="preserve">. </w:t>
      </w:r>
      <w:r w:rsidR="003531DA">
        <w:t>The</w:t>
      </w:r>
      <w:r w:rsidR="00E42D13">
        <w:t>se findings underscore the</w:t>
      </w:r>
      <w:r w:rsidR="006928A8">
        <w:t xml:space="preserve"> need for </w:t>
      </w:r>
      <w:r w:rsidR="007763FE">
        <w:t xml:space="preserve">strengthening </w:t>
      </w:r>
      <w:r w:rsidR="006928A8">
        <w:t xml:space="preserve">quality assured microscopy programs with adequate training of microscopists </w:t>
      </w:r>
      <w:r w:rsidR="003838B9">
        <w:t xml:space="preserve">and </w:t>
      </w:r>
      <w:r w:rsidR="00E10D19">
        <w:t>properly</w:t>
      </w:r>
      <w:r w:rsidR="00A7670E">
        <w:t xml:space="preserve"> </w:t>
      </w:r>
      <w:r w:rsidR="00E10D19">
        <w:t>functioning microscopes and reagents</w:t>
      </w:r>
      <w:r w:rsidR="00C051C5">
        <w:t xml:space="preserve">, as well as </w:t>
      </w:r>
      <w:r w:rsidR="005B01EE">
        <w:t>a</w:t>
      </w:r>
      <w:r w:rsidR="00817FC9">
        <w:t xml:space="preserve">n EQA program that </w:t>
      </w:r>
      <w:r w:rsidR="00934710">
        <w:t xml:space="preserve">routinely </w:t>
      </w:r>
      <w:r w:rsidR="007819DA">
        <w:t xml:space="preserve">provide feedback on </w:t>
      </w:r>
      <w:r w:rsidR="008D7BC5">
        <w:t xml:space="preserve">performance and </w:t>
      </w:r>
      <w:r w:rsidR="00934710">
        <w:t xml:space="preserve">identify areas for improvement </w:t>
      </w:r>
      <w:r w:rsidR="00D32C51">
        <w:t xml:space="preserve"> </w:t>
      </w:r>
    </w:p>
    <w:p w14:paraId="7C87076C" w14:textId="45AD3A26" w:rsidR="00DC53E2" w:rsidRDefault="00C92C8E" w:rsidP="001407CA">
      <w:pPr>
        <w:spacing w:line="480" w:lineRule="auto"/>
        <w:ind w:firstLine="720"/>
      </w:pPr>
      <w:r>
        <w:lastRenderedPageBreak/>
        <w:t>While</w:t>
      </w:r>
      <w:r w:rsidR="00587E9E">
        <w:t xml:space="preserve"> </w:t>
      </w:r>
      <w:r w:rsidR="000F1793">
        <w:t>false positive</w:t>
      </w:r>
      <w:r w:rsidR="00316BFB">
        <w:t xml:space="preserve"> results</w:t>
      </w:r>
      <w:r w:rsidR="000F1793">
        <w:t>, or over-diagnosis</w:t>
      </w:r>
      <w:r w:rsidR="00316BFB">
        <w:t xml:space="preserve"> of malaria </w:t>
      </w:r>
      <w:r w:rsidR="00C4693E">
        <w:t xml:space="preserve">may </w:t>
      </w:r>
      <w:r w:rsidR="00756FC3">
        <w:t xml:space="preserve">be </w:t>
      </w:r>
      <w:r w:rsidR="00D37F7B">
        <w:t xml:space="preserve">arguably better than </w:t>
      </w:r>
      <w:r w:rsidR="006A13C0">
        <w:t xml:space="preserve">significant </w:t>
      </w:r>
      <w:r w:rsidR="00D37F7B">
        <w:t>under-</w:t>
      </w:r>
      <w:r w:rsidR="00145C0B">
        <w:t>diagnosi</w:t>
      </w:r>
      <w:r w:rsidR="006A13C0">
        <w:t>ng of</w:t>
      </w:r>
      <w:r w:rsidR="00D37F7B">
        <w:t xml:space="preserve"> patients who need malaria treatment, </w:t>
      </w:r>
      <w:r w:rsidR="000B71AB">
        <w:t xml:space="preserve">it still results in </w:t>
      </w:r>
      <w:r w:rsidR="006D06CB">
        <w:t>wasted resources</w:t>
      </w:r>
      <w:r w:rsidR="00903E40">
        <w:t xml:space="preserve"> </w:t>
      </w:r>
      <w:r w:rsidR="00252E72">
        <w:t xml:space="preserve">and may </w:t>
      </w:r>
      <w:r w:rsidR="008B7DBB">
        <w:t>result in masking of other diagnoses that would benefit from different therapies</w:t>
      </w:r>
      <w:r w:rsidR="00D32C51">
        <w:t xml:space="preserve">. </w:t>
      </w:r>
      <w:r w:rsidR="00396748">
        <w:t>The</w:t>
      </w:r>
      <w:r w:rsidR="00E2673D">
        <w:t xml:space="preserve"> TAC PCR </w:t>
      </w:r>
      <w:r w:rsidR="00396748">
        <w:t xml:space="preserve">findings of </w:t>
      </w:r>
      <w:r w:rsidR="00CF4044">
        <w:t>higher odds of severe</w:t>
      </w:r>
      <w:r w:rsidR="00E93989">
        <w:t xml:space="preserve"> </w:t>
      </w:r>
      <w:r w:rsidR="00CF4044">
        <w:t>illness</w:t>
      </w:r>
      <w:r w:rsidR="00E93989">
        <w:t xml:space="preserve"> and mortality for </w:t>
      </w:r>
      <w:r w:rsidR="00880BC0">
        <w:t>non-falciparum</w:t>
      </w:r>
      <w:r w:rsidR="006965F9">
        <w:t xml:space="preserve"> (or unknown) infections</w:t>
      </w:r>
      <w:r w:rsidR="007A315E">
        <w:t xml:space="preserve"> </w:t>
      </w:r>
      <w:r w:rsidR="00613450">
        <w:t xml:space="preserve">demonstrates the </w:t>
      </w:r>
      <w:r w:rsidR="009B2A79">
        <w:t xml:space="preserve">potential risk of </w:t>
      </w:r>
      <w:r w:rsidR="00BF2FA7">
        <w:t xml:space="preserve">false positive </w:t>
      </w:r>
      <w:r w:rsidR="00127EEE">
        <w:t xml:space="preserve">microscopy </w:t>
      </w:r>
      <w:r w:rsidR="000E0ED9">
        <w:t>or mRDT</w:t>
      </w:r>
      <w:r w:rsidR="00BF2FA7">
        <w:t xml:space="preserve"> result</w:t>
      </w:r>
      <w:r w:rsidR="000E0ED9">
        <w:t>s</w:t>
      </w:r>
      <w:r w:rsidR="00BF2FA7">
        <w:t xml:space="preserve"> </w:t>
      </w:r>
      <w:r w:rsidR="002C575E">
        <w:t xml:space="preserve">if additional </w:t>
      </w:r>
      <w:r w:rsidR="00DD47A7">
        <w:t xml:space="preserve">diagnostics and </w:t>
      </w:r>
      <w:r w:rsidR="002C575E">
        <w:t>therap</w:t>
      </w:r>
      <w:r w:rsidR="00DD47A7">
        <w:t>eutics</w:t>
      </w:r>
      <w:r w:rsidR="002C575E">
        <w:t xml:space="preserve"> are delayed until the patient deteriorates</w:t>
      </w:r>
      <w:r w:rsidR="00217413">
        <w:t xml:space="preserve">.    </w:t>
      </w:r>
      <w:r w:rsidR="00CF4044">
        <w:t xml:space="preserve"> </w:t>
      </w:r>
    </w:p>
    <w:p w14:paraId="643766AF" w14:textId="352C330C" w:rsidR="00B105FF" w:rsidRDefault="00C5798A" w:rsidP="001407CA">
      <w:pPr>
        <w:pStyle w:val="NoSpacing"/>
        <w:spacing w:before="240" w:line="480" w:lineRule="auto"/>
        <w:ind w:firstLine="720"/>
      </w:pPr>
      <w:r>
        <w:t xml:space="preserve">In terms of adherence to </w:t>
      </w:r>
      <w:r w:rsidR="009309FB">
        <w:t xml:space="preserve">the national malaria treatment guidelines in Kenya, the findings were both encouraging and </w:t>
      </w:r>
      <w:r w:rsidR="006B5DFD">
        <w:t xml:space="preserve">revealing to </w:t>
      </w:r>
      <w:r w:rsidR="006B5DFD" w:rsidDel="009758CB">
        <w:t xml:space="preserve">inform </w:t>
      </w:r>
      <w:r w:rsidR="009758CB">
        <w:t xml:space="preserve">improvements in </w:t>
      </w:r>
      <w:r w:rsidR="006B5DFD">
        <w:t>malaria programming</w:t>
      </w:r>
      <w:r w:rsidR="009309FB">
        <w:t>.  A</w:t>
      </w:r>
      <w:r w:rsidR="009A16FD">
        <w:t xml:space="preserve"> </w:t>
      </w:r>
      <w:r w:rsidR="001F6937">
        <w:t>key advantage</w:t>
      </w:r>
      <w:r w:rsidR="00DC53E2">
        <w:t xml:space="preserve"> of this study was the </w:t>
      </w:r>
      <w:r w:rsidR="009A16FD">
        <w:t>opportunity to assess the</w:t>
      </w:r>
      <w:r w:rsidR="00D27224">
        <w:t xml:space="preserve"> </w:t>
      </w:r>
      <w:r w:rsidR="00062780">
        <w:t>level of adherence to the national treatment guidelines</w:t>
      </w:r>
      <w:r w:rsidR="00D27224">
        <w:t xml:space="preserve"> for treatment of patients hospitalized with malaria</w:t>
      </w:r>
      <w:r w:rsidR="003C509A">
        <w:t>.</w:t>
      </w:r>
      <w:r w:rsidR="00F94289">
        <w:t xml:space="preserve"> </w:t>
      </w:r>
      <w:r w:rsidR="00DD704E">
        <w:t xml:space="preserve">The Kenya National Malaria Control Program (NMCP) conducts annual </w:t>
      </w:r>
      <w:r w:rsidR="00B163FF">
        <w:t xml:space="preserve">Health Facility Assessments (HFAs) </w:t>
      </w:r>
      <w:r w:rsidR="00DD704E">
        <w:t xml:space="preserve">to </w:t>
      </w:r>
      <w:r w:rsidR="00B163FF">
        <w:t>examine the level of adherence to malaria clinical guidelines by clinicians in both outpatient and inpatient settings. Th</w:t>
      </w:r>
      <w:r w:rsidR="00572E9A">
        <w:t>e most recent HFA in</w:t>
      </w:r>
      <w:r w:rsidR="00B163FF">
        <w:t xml:space="preserve"> 2023 evaluated </w:t>
      </w:r>
      <w:r w:rsidR="00212AAC">
        <w:t>2</w:t>
      </w:r>
      <w:r w:rsidR="00B163FF">
        <w:t>,</w:t>
      </w:r>
      <w:r w:rsidR="00212AAC">
        <w:t xml:space="preserve">073 </w:t>
      </w:r>
      <w:r w:rsidR="00700869">
        <w:t>files of patient</w:t>
      </w:r>
      <w:r w:rsidR="008940EC">
        <w:t>s</w:t>
      </w:r>
      <w:r w:rsidR="00700869">
        <w:t xml:space="preserve"> admitted for </w:t>
      </w:r>
      <w:r w:rsidR="00B163FF">
        <w:t xml:space="preserve">suspected malaria </w:t>
      </w:r>
      <w:r w:rsidR="00700869">
        <w:t xml:space="preserve">and evaluated </w:t>
      </w:r>
      <w:r w:rsidR="00D329EC">
        <w:t xml:space="preserve">them </w:t>
      </w:r>
      <w:r w:rsidR="00B163FF">
        <w:t xml:space="preserve">for the following: 1) testing </w:t>
      </w:r>
      <w:r w:rsidR="002560FD">
        <w:t>for malaria</w:t>
      </w:r>
      <w:r w:rsidR="00B163FF">
        <w:t>, 2) prescribing of recommended treatment based on severity criteria and malaria test results, (defined as either injectable artesunate for severe test positive patients, artemether-lumefantrine (AL) for non-severe test positive patients, or no antimalarial treatment for test negative patients). The composite score for adherence to guidelines was 5</w:t>
      </w:r>
      <w:r w:rsidR="00E15604">
        <w:t>5</w:t>
      </w:r>
      <w:r w:rsidR="00B163FF">
        <w:t>%</w:t>
      </w:r>
      <w:r w:rsidR="00454E26">
        <w:t>, with 83% of patients tested for malaria on admission</w:t>
      </w:r>
      <w:r w:rsidR="005C18AD">
        <w:t xml:space="preserve">, </w:t>
      </w:r>
      <w:r w:rsidR="00454E26">
        <w:t xml:space="preserve">94% of test positive patients with severe malaria </w:t>
      </w:r>
      <w:r w:rsidR="005C18AD">
        <w:t xml:space="preserve">criteria </w:t>
      </w:r>
      <w:r w:rsidR="00454E26">
        <w:t>receiving IV artesunate</w:t>
      </w:r>
      <w:r w:rsidR="005C18AD">
        <w:t xml:space="preserve"> and</w:t>
      </w:r>
      <w:r w:rsidR="00454E26">
        <w:t xml:space="preserve"> </w:t>
      </w:r>
      <w:r w:rsidR="00825AE6">
        <w:t xml:space="preserve">only </w:t>
      </w:r>
      <w:r w:rsidR="00454E26">
        <w:t>4% of test positive patients without any severe malaria criteria treated with AL</w:t>
      </w:r>
      <w:r w:rsidR="00825AE6">
        <w:t>.</w:t>
      </w:r>
      <w:r w:rsidR="00454E26">
        <w:t xml:space="preserve"> </w:t>
      </w:r>
      <w:r w:rsidR="00825AE6">
        <w:t xml:space="preserve">For test negative patients with </w:t>
      </w:r>
      <w:r w:rsidR="00E463FB">
        <w:t xml:space="preserve">or without </w:t>
      </w:r>
      <w:r w:rsidR="00825AE6">
        <w:t xml:space="preserve">clinical criteria for severe disease, </w:t>
      </w:r>
      <w:r w:rsidR="007C2B2A">
        <w:t xml:space="preserve">46% </w:t>
      </w:r>
      <w:r w:rsidR="00E463FB">
        <w:t>and 33% still received IV artesunate, respectively.</w:t>
      </w:r>
      <w:r w:rsidR="00DB6F16">
        <w:t xml:space="preserve"> </w:t>
      </w:r>
      <w:r w:rsidR="00B163FF">
        <w:t xml:space="preserve">The composite performance in the HFA was </w:t>
      </w:r>
      <w:r w:rsidR="00DB6F16">
        <w:t>higher in high-risk areas compared to low-risk areas (60% vs. 52%)</w:t>
      </w:r>
      <w:r w:rsidR="004C3CF3">
        <w:t xml:space="preserve">.  However, </w:t>
      </w:r>
      <w:r w:rsidR="00E02308">
        <w:t xml:space="preserve">there were major differences in the treatment of test negative patients, where in low-risk areas antimalarial treatments were less commonly prescribed for test negative patients, both for </w:t>
      </w:r>
      <w:r w:rsidR="00E02308">
        <w:lastRenderedPageBreak/>
        <w:t xml:space="preserve">those with </w:t>
      </w:r>
      <w:r w:rsidR="00C260ED">
        <w:t>s</w:t>
      </w:r>
      <w:r w:rsidR="00E02308">
        <w:t>evere (34% vs. 57%)</w:t>
      </w:r>
      <w:r w:rsidR="00C260ED">
        <w:t xml:space="preserve"> or non-severe criteria (14% vs. 31%).</w:t>
      </w:r>
      <w:r w:rsidR="00B52D67" w:rsidRPr="00B52D67">
        <w:rPr>
          <w:vertAlign w:val="superscript"/>
        </w:rPr>
        <w:t>11</w:t>
      </w:r>
      <w:r w:rsidR="00C260ED">
        <w:t xml:space="preserve">  </w:t>
      </w:r>
      <w:r w:rsidR="00D7413E">
        <w:t xml:space="preserve">Unfortunately, the HFA did not look at whether patients received a course of AL following IV artesunate.  </w:t>
      </w:r>
    </w:p>
    <w:p w14:paraId="7FC6D526" w14:textId="3F9ADB25" w:rsidR="00E37D2E" w:rsidRDefault="008C7435" w:rsidP="001407CA">
      <w:pPr>
        <w:spacing w:line="480" w:lineRule="auto"/>
        <w:ind w:firstLine="720"/>
      </w:pPr>
      <w:r>
        <w:t xml:space="preserve">While </w:t>
      </w:r>
      <w:r w:rsidR="00F30D21">
        <w:t xml:space="preserve">our analysis of IFBS data cannot provide a direct comparison to the HFA results, it provides a </w:t>
      </w:r>
      <w:r w:rsidR="00B105FF">
        <w:t xml:space="preserve">sense of the critical gaps in adhering to treatment guidelines. </w:t>
      </w:r>
      <w:r w:rsidR="00193870">
        <w:t xml:space="preserve">First, </w:t>
      </w:r>
      <w:r w:rsidR="00237C1A">
        <w:t xml:space="preserve">the IFBS data showed only 58% of patients with AFI were tested clinically for malaria, </w:t>
      </w:r>
      <w:r w:rsidR="00755E16">
        <w:t xml:space="preserve">which was much lower than 83% observed in the 2023 HFA. </w:t>
      </w:r>
      <w:r w:rsidR="00B01F1E">
        <w:t>Further, IFBS showed</w:t>
      </w:r>
      <w:r w:rsidR="00290361">
        <w:t xml:space="preserve"> </w:t>
      </w:r>
      <w:r w:rsidR="002E701E">
        <w:t>92% of those with a positive test were</w:t>
      </w:r>
      <w:r w:rsidR="00B105FF">
        <w:t xml:space="preserve"> </w:t>
      </w:r>
      <w:r w:rsidR="002E701E">
        <w:t xml:space="preserve">documented to have received </w:t>
      </w:r>
      <w:r w:rsidR="00AE4FFF">
        <w:t>an antimalarial, whereas 17% of those with a documented negative test</w:t>
      </w:r>
      <w:r w:rsidR="003878E2">
        <w:t xml:space="preserve"> and 10% of those who did not have a clinical malaria test documented</w:t>
      </w:r>
      <w:r w:rsidR="00C44C99">
        <w:t xml:space="preserve"> nonetheless received an antimalarial.</w:t>
      </w:r>
      <w:r w:rsidR="004971E9">
        <w:t xml:space="preserve"> The </w:t>
      </w:r>
      <w:r w:rsidR="005E4EB3">
        <w:t>Kenya clinical guidelines for management of severe malaria make it clear that the first line therapy should be IV artesunate, followed by a course of artemether-lumefantrine</w:t>
      </w:r>
      <w:r w:rsidR="008A0249">
        <w:t xml:space="preserve"> (AL)</w:t>
      </w:r>
      <w:r w:rsidR="005E4EB3">
        <w:t xml:space="preserve">. However, only </w:t>
      </w:r>
      <w:r w:rsidR="001B0E30">
        <w:t xml:space="preserve">15.4% of those with a positive test who received antimalarials </w:t>
      </w:r>
      <w:r w:rsidR="00BC6D19">
        <w:t xml:space="preserve">were documented to have received both artesunate and </w:t>
      </w:r>
      <w:r w:rsidR="008A0249">
        <w:t>AL</w:t>
      </w:r>
      <w:r w:rsidR="00BC6D19">
        <w:t>.</w:t>
      </w:r>
      <w:r w:rsidR="0044672A">
        <w:t xml:space="preserve"> In fact, when </w:t>
      </w:r>
      <w:r w:rsidR="00521236">
        <w:t xml:space="preserve">assessed by epidemic zone whether patients received </w:t>
      </w:r>
      <w:r w:rsidR="008A0249">
        <w:t>AL</w:t>
      </w:r>
      <w:r w:rsidR="00521236">
        <w:t>, the highest proportion of patients who received it was only 4</w:t>
      </w:r>
      <w:r w:rsidR="00F31F25">
        <w:t>7.0</w:t>
      </w:r>
      <w:r w:rsidR="00521236">
        <w:t xml:space="preserve">% in the </w:t>
      </w:r>
      <w:r w:rsidR="00E67D58">
        <w:t>s</w:t>
      </w:r>
      <w:r w:rsidR="00521236">
        <w:t xml:space="preserve">easonal epidemic zone, </w:t>
      </w:r>
      <w:r w:rsidR="00E816C3">
        <w:t xml:space="preserve">and only </w:t>
      </w:r>
      <w:r w:rsidR="00854ABF">
        <w:t xml:space="preserve">a minority </w:t>
      </w:r>
      <w:r w:rsidR="00E816C3">
        <w:t xml:space="preserve">were documented to have received </w:t>
      </w:r>
      <w:r w:rsidR="008A0249">
        <w:t xml:space="preserve">AL </w:t>
      </w:r>
      <w:r w:rsidR="00E816C3">
        <w:t xml:space="preserve">in lake </w:t>
      </w:r>
      <w:r w:rsidR="005418C8">
        <w:t xml:space="preserve">(9.9%) </w:t>
      </w:r>
      <w:r w:rsidR="00E816C3">
        <w:t xml:space="preserve">and coast endemic </w:t>
      </w:r>
      <w:r w:rsidR="005418C8">
        <w:t>(</w:t>
      </w:r>
      <w:r w:rsidR="00FE711F">
        <w:t xml:space="preserve">27.9%) </w:t>
      </w:r>
      <w:r w:rsidR="00E816C3">
        <w:t xml:space="preserve">areas. </w:t>
      </w:r>
      <w:r w:rsidR="006669E4">
        <w:t xml:space="preserve">Patients receiving artesunate alone is </w:t>
      </w:r>
      <w:r w:rsidR="00917216">
        <w:t>concerning</w:t>
      </w:r>
      <w:r w:rsidR="008820EE">
        <w:t xml:space="preserve"> </w:t>
      </w:r>
      <w:r w:rsidR="00BC6D19">
        <w:t>considering monotherap</w:t>
      </w:r>
      <w:r w:rsidR="00B66BE5">
        <w:t xml:space="preserve">y goes against </w:t>
      </w:r>
      <w:r w:rsidR="002E75F3">
        <w:t>standard treatment guidelines and could give rise to artemisinin resistance</w:t>
      </w:r>
      <w:r w:rsidR="008820EE">
        <w:t>, a major emerging threat for global malaria control</w:t>
      </w:r>
      <w:r w:rsidR="002E75F3">
        <w:t>.</w:t>
      </w:r>
      <w:r w:rsidR="00B52D67" w:rsidRPr="00B52D67">
        <w:rPr>
          <w:vertAlign w:val="superscript"/>
        </w:rPr>
        <w:t>12</w:t>
      </w:r>
      <w:r w:rsidR="000A4139">
        <w:t xml:space="preserve"> </w:t>
      </w:r>
      <w:r w:rsidR="009403CB">
        <w:t xml:space="preserve">Also of note is that </w:t>
      </w:r>
      <w:r w:rsidR="00395B76">
        <w:t xml:space="preserve">in the seasonal epidemic zone, there was a significant </w:t>
      </w:r>
      <w:r w:rsidR="00CD5189">
        <w:t>number</w:t>
      </w:r>
      <w:r w:rsidR="00395B76">
        <w:t xml:space="preserve"> of patients who received IV quinine instead of IV artesunate. </w:t>
      </w:r>
      <w:r w:rsidR="00F06D2C">
        <w:t xml:space="preserve">The majority of these </w:t>
      </w:r>
      <w:r w:rsidR="002534E1">
        <w:t xml:space="preserve">cases </w:t>
      </w:r>
      <w:r w:rsidR="00CA6843">
        <w:t>were from</w:t>
      </w:r>
      <w:r w:rsidR="002534E1">
        <w:t xml:space="preserve"> an IFBS site in Kakuma, which is home to a large refugee camp. </w:t>
      </w:r>
      <w:r w:rsidR="00A239E6">
        <w:t>Presumably</w:t>
      </w:r>
      <w:r w:rsidR="002534E1">
        <w:t>,</w:t>
      </w:r>
      <w:r w:rsidR="00A239E6">
        <w:t xml:space="preserve"> </w:t>
      </w:r>
      <w:r w:rsidR="000D5F96">
        <w:t>the Kakuma facility</w:t>
      </w:r>
      <w:r w:rsidR="00A239E6">
        <w:t xml:space="preserve"> did not have IV artesunate in stock and had to rely on use of quinine</w:t>
      </w:r>
      <w:r w:rsidR="00CA6843">
        <w:t xml:space="preserve">, </w:t>
      </w:r>
      <w:r w:rsidR="00A323F1">
        <w:t>the</w:t>
      </w:r>
      <w:r w:rsidR="00CA6843">
        <w:t xml:space="preserve"> second line drug for treatment of severe malaria</w:t>
      </w:r>
      <w:r w:rsidR="00A400C7">
        <w:t>.</w:t>
      </w:r>
      <w:r w:rsidR="00A323F1">
        <w:t xml:space="preserve"> T</w:t>
      </w:r>
      <w:r w:rsidR="00D57156">
        <w:t xml:space="preserve">hese commodity stock challenges </w:t>
      </w:r>
      <w:r w:rsidR="00264116">
        <w:t>highlight the importance of monitoring health facility readiness to provide life-saving treatments, especially where malaria is not endemic, as</w:t>
      </w:r>
      <w:r w:rsidR="00CF1873">
        <w:t xml:space="preserve"> these are the areas where patients with malaria are </w:t>
      </w:r>
      <w:r w:rsidR="000A2E8A">
        <w:t xml:space="preserve">more likely to develop severe disease </w:t>
      </w:r>
      <w:r w:rsidR="00155832">
        <w:t xml:space="preserve">because of their lower immunity to malaria </w:t>
      </w:r>
      <w:r w:rsidR="000A2E8A">
        <w:t xml:space="preserve">and thus will require access to IV artesunate. </w:t>
      </w:r>
    </w:p>
    <w:p w14:paraId="4E75F445" w14:textId="26302C91" w:rsidR="00AD101C" w:rsidRDefault="00275373" w:rsidP="001407CA">
      <w:pPr>
        <w:spacing w:line="480" w:lineRule="auto"/>
        <w:ind w:firstLine="720"/>
      </w:pPr>
      <w:r>
        <w:lastRenderedPageBreak/>
        <w:t>While we recognize that t</w:t>
      </w:r>
      <w:r w:rsidR="00352046">
        <w:t xml:space="preserve">his analysis </w:t>
      </w:r>
      <w:r w:rsidR="00540841">
        <w:t xml:space="preserve">depends on </w:t>
      </w:r>
      <w:r w:rsidR="00E458C8">
        <w:t>complete</w:t>
      </w:r>
      <w:r w:rsidR="00A66103">
        <w:t>ness of</w:t>
      </w:r>
      <w:r w:rsidR="00E458C8">
        <w:t xml:space="preserve"> </w:t>
      </w:r>
      <w:r w:rsidR="00540841">
        <w:t>documentation in patients’ medical records</w:t>
      </w:r>
      <w:r w:rsidR="00F055E9">
        <w:t xml:space="preserve">, </w:t>
      </w:r>
      <w:r w:rsidR="00352046">
        <w:t xml:space="preserve">these findings on specific antimalarials received (or not received) </w:t>
      </w:r>
      <w:r w:rsidR="009403CB">
        <w:t xml:space="preserve">in an inpatient setting is </w:t>
      </w:r>
      <w:r w:rsidR="00295D4D">
        <w:t>concerning</w:t>
      </w:r>
      <w:r w:rsidR="00023296">
        <w:t xml:space="preserve"> because only a minority of patients appear to be receiving care per </w:t>
      </w:r>
      <w:r w:rsidR="00802D34">
        <w:t>guidelines</w:t>
      </w:r>
      <w:r w:rsidR="00F3367B">
        <w:t xml:space="preserve">. </w:t>
      </w:r>
      <w:r w:rsidR="00393114">
        <w:t xml:space="preserve">It is </w:t>
      </w:r>
      <w:r w:rsidR="00A926CC">
        <w:t xml:space="preserve">plausible that patients were discharged on a 3-day course of AL and therefore did not have documentation of having received it. </w:t>
      </w:r>
      <w:r w:rsidR="00F3367B">
        <w:t>Training of healthcare workers who manage severe malaria in the inpatient setting</w:t>
      </w:r>
      <w:r w:rsidR="001A7EE8">
        <w:t xml:space="preserve"> to emphasize the need for ACTs after IV artesunate </w:t>
      </w:r>
      <w:r w:rsidR="00295D4D">
        <w:t>to ensure parasite clearance</w:t>
      </w:r>
      <w:r w:rsidR="00F3367B">
        <w:t xml:space="preserve">, as well as improving </w:t>
      </w:r>
      <w:r w:rsidR="00806D74">
        <w:t xml:space="preserve">stock availability of IV artesunate, </w:t>
      </w:r>
      <w:r w:rsidR="00295D4D">
        <w:t>are</w:t>
      </w:r>
      <w:r w:rsidR="00806D74">
        <w:t xml:space="preserve"> critical to improve the quality of care and improve outcomes. </w:t>
      </w:r>
    </w:p>
    <w:p w14:paraId="2D7F2B45" w14:textId="7C2DD339" w:rsidR="00CF69A4" w:rsidRDefault="00CF69A4" w:rsidP="001407CA">
      <w:pPr>
        <w:spacing w:line="480" w:lineRule="auto"/>
      </w:pPr>
      <w:r>
        <w:tab/>
        <w:t xml:space="preserve">Lastly, initiation of broad-spectrum antibiotics </w:t>
      </w:r>
      <w:r w:rsidR="00132353">
        <w:t xml:space="preserve">is part of the WHO recommendations </w:t>
      </w:r>
      <w:r w:rsidR="00D707EF">
        <w:t>in the management of severe malaria, especially in</w:t>
      </w:r>
      <w:r w:rsidR="00211560">
        <w:t xml:space="preserve"> high to moderate transmission settings.  </w:t>
      </w:r>
      <w:r w:rsidR="005946E1">
        <w:t>In our data,</w:t>
      </w:r>
      <w:r w:rsidR="00484C55">
        <w:t xml:space="preserve"> antibiotics were widely used </w:t>
      </w:r>
      <w:r w:rsidR="00A27914">
        <w:t xml:space="preserve">(82%) </w:t>
      </w:r>
      <w:r w:rsidR="00484C55">
        <w:t xml:space="preserve">for patients </w:t>
      </w:r>
      <w:r w:rsidR="00A27914">
        <w:t xml:space="preserve">admitted </w:t>
      </w:r>
      <w:r w:rsidR="00484C55">
        <w:t xml:space="preserve">with AFI, although </w:t>
      </w:r>
      <w:r w:rsidR="005946E1">
        <w:t xml:space="preserve">those who had a positive malaria </w:t>
      </w:r>
      <w:r w:rsidR="007E7CC8">
        <w:t xml:space="preserve">test </w:t>
      </w:r>
      <w:r w:rsidR="00947293">
        <w:t xml:space="preserve">were less likely to </w:t>
      </w:r>
      <w:r w:rsidR="007E7CC8">
        <w:t>receive antibiotics</w:t>
      </w:r>
      <w:r w:rsidR="00484C55">
        <w:t xml:space="preserve"> than</w:t>
      </w:r>
      <w:r w:rsidR="007E7CC8">
        <w:t xml:space="preserve"> those who had a negative test </w:t>
      </w:r>
      <w:r w:rsidR="00D7003B">
        <w:t>or no malaria test.</w:t>
      </w:r>
      <w:r w:rsidR="00B95C12">
        <w:t xml:space="preserve"> This makes sense from a clinical </w:t>
      </w:r>
      <w:r w:rsidR="00E416F1">
        <w:t>decision-making</w:t>
      </w:r>
      <w:r w:rsidR="00B95C12">
        <w:t xml:space="preserve"> standpoint, where patients with a diagnosis of malaria were less likely to receive empiric antibiotics compared to those lacking a clear diagnosis. </w:t>
      </w:r>
      <w:r w:rsidR="002C084D">
        <w:t>Also expected is th</w:t>
      </w:r>
      <w:r w:rsidR="0054766C">
        <w:t xml:space="preserve">at antibiotics were more likely initiated among those </w:t>
      </w:r>
      <w:r w:rsidR="006E18ED">
        <w:t xml:space="preserve">who developed </w:t>
      </w:r>
      <w:r w:rsidR="0054766C">
        <w:t>severe illness or died</w:t>
      </w:r>
      <w:r w:rsidR="00E93D62">
        <w:t>, presumably because of clinical deterioration</w:t>
      </w:r>
      <w:r w:rsidR="00D064AF">
        <w:t xml:space="preserve">. </w:t>
      </w:r>
    </w:p>
    <w:p w14:paraId="7C38EB30" w14:textId="0001EBD0" w:rsidR="00C012D0" w:rsidRDefault="00C012D0" w:rsidP="001407CA">
      <w:pPr>
        <w:spacing w:line="480" w:lineRule="auto"/>
        <w:ind w:firstLine="720"/>
      </w:pPr>
      <w:r>
        <w:t>This project had several limitations. Using data extracted from patient records, we categorized patients as having severe presentation of malaria if they had any signs and symptoms suggestive of severe respiratory or neurologic involvement, as well as severe anemia based on hemoglobin level of &lt;7g/dL. Other laboratory values typically used to diagnose severe malaria, such as lactate levels and chemistry panels were typically unavailable. As such, this approach may have resulted in underestimation of the number of patients with severe illness. Further, the number of deaths among those diagnosed with malaria was relatively small during the reporting period</w:t>
      </w:r>
      <w:r w:rsidR="00147FB3">
        <w:t>, making it difficult</w:t>
      </w:r>
      <w:r>
        <w:t xml:space="preserve"> to draw statistically meaningful conclusions about risk factors of mortality. This could result from patients </w:t>
      </w:r>
      <w:r w:rsidR="0A27E046">
        <w:t xml:space="preserve">usually </w:t>
      </w:r>
      <w:r>
        <w:lastRenderedPageBreak/>
        <w:t xml:space="preserve">being recruited the day following </w:t>
      </w:r>
      <w:r w:rsidR="00D76766">
        <w:t xml:space="preserve">admission, meaning those who died within the first hours of </w:t>
      </w:r>
      <w:r w:rsidR="00B20112">
        <w:t xml:space="preserve">presentation were not </w:t>
      </w:r>
      <w:r w:rsidR="3BA30C46">
        <w:t>enroll</w:t>
      </w:r>
      <w:r w:rsidR="0071269B">
        <w:t>ed</w:t>
      </w:r>
      <w:r w:rsidR="00B20112">
        <w:t xml:space="preserve">. </w:t>
      </w:r>
      <w:r w:rsidR="549CC700">
        <w:t>In the analysis of association between patient and clinical characteristics and disease severity and mortal</w:t>
      </w:r>
      <w:r w:rsidR="1370B4EC">
        <w:t>i</w:t>
      </w:r>
      <w:r w:rsidR="549CC700">
        <w:t>ty, we did not account for clustering by surveillance site</w:t>
      </w:r>
      <w:r w:rsidR="324C09A7">
        <w:t xml:space="preserve"> due to the low counts of some clusters.</w:t>
      </w:r>
      <w:r w:rsidR="00C62132">
        <w:t xml:space="preserve"> </w:t>
      </w:r>
      <w:r w:rsidR="00EE4789">
        <w:t>Lastly,</w:t>
      </w:r>
      <w:r w:rsidR="006011F0">
        <w:t xml:space="preserve"> our analysis </w:t>
      </w:r>
      <w:r w:rsidR="00AD23B8">
        <w:t>took the</w:t>
      </w:r>
      <w:r w:rsidR="006011F0">
        <w:t xml:space="preserve"> </w:t>
      </w:r>
      <w:r w:rsidR="007F62AF">
        <w:t xml:space="preserve">abstracted </w:t>
      </w:r>
      <w:r w:rsidR="009878EF">
        <w:t>data</w:t>
      </w:r>
      <w:r w:rsidR="007F62AF">
        <w:t xml:space="preserve"> (e.g., antimalarial medication)</w:t>
      </w:r>
      <w:r w:rsidR="00AD23B8">
        <w:t xml:space="preserve"> at face value and</w:t>
      </w:r>
      <w:r w:rsidR="007F62AF">
        <w:t xml:space="preserve"> </w:t>
      </w:r>
      <w:r w:rsidR="008212CE">
        <w:t xml:space="preserve">assumed that it </w:t>
      </w:r>
      <w:r w:rsidR="007F62AF">
        <w:t>reflected the actual care received</w:t>
      </w:r>
      <w:r w:rsidR="006177BE">
        <w:t xml:space="preserve">—thus any incomplete data </w:t>
      </w:r>
      <w:r w:rsidR="008C56BD">
        <w:t xml:space="preserve">in </w:t>
      </w:r>
      <w:r w:rsidR="00CD7347">
        <w:t>medical records or errors</w:t>
      </w:r>
      <w:r w:rsidR="008873B8">
        <w:t xml:space="preserve"> </w:t>
      </w:r>
      <w:r w:rsidR="00E13241">
        <w:t xml:space="preserve">during data extraction would impact </w:t>
      </w:r>
      <w:r w:rsidR="00A60999">
        <w:t xml:space="preserve">the accuracy of </w:t>
      </w:r>
      <w:r w:rsidR="00E13241">
        <w:t>our findings.</w:t>
      </w:r>
    </w:p>
    <w:p w14:paraId="287D7E2F" w14:textId="712D6F14" w:rsidR="00093B25" w:rsidRDefault="000D7789" w:rsidP="001407CA">
      <w:pPr>
        <w:spacing w:line="480" w:lineRule="auto"/>
      </w:pPr>
      <w:r>
        <w:tab/>
      </w:r>
      <w:r w:rsidR="001F672A">
        <w:t xml:space="preserve">Overall, </w:t>
      </w:r>
      <w:r w:rsidR="00D20B1B">
        <w:t>the</w:t>
      </w:r>
      <w:r w:rsidR="00EC0F1F">
        <w:t>re are</w:t>
      </w:r>
      <w:r w:rsidR="00D20B1B">
        <w:t xml:space="preserve"> </w:t>
      </w:r>
      <w:r w:rsidR="00314EA5">
        <w:t xml:space="preserve">key </w:t>
      </w:r>
      <w:r w:rsidR="00EC0F1F">
        <w:t>findings</w:t>
      </w:r>
      <w:r w:rsidR="00314EA5">
        <w:t xml:space="preserve"> that inform malaria programming </w:t>
      </w:r>
      <w:r w:rsidR="00EC0F1F">
        <w:t xml:space="preserve">from </w:t>
      </w:r>
      <w:r w:rsidR="00A0424F">
        <w:t xml:space="preserve">care-seeking, </w:t>
      </w:r>
      <w:r w:rsidR="00EC0F1F">
        <w:t>diagnosis to treatment of severe malaria.</w:t>
      </w:r>
      <w:r w:rsidR="002F3F2D">
        <w:t xml:space="preserve"> </w:t>
      </w:r>
      <w:r w:rsidR="005E399F">
        <w:t xml:space="preserve">Delays in seeking higher level of care may be contributing to severe illness and mortality, underscoring the need to encourage early care-seeking behavior in formal healthcare settings. </w:t>
      </w:r>
      <w:r w:rsidR="00C87272">
        <w:t>T</w:t>
      </w:r>
      <w:r w:rsidR="002F3F2D">
        <w:t xml:space="preserve">here </w:t>
      </w:r>
      <w:r w:rsidR="009250E4">
        <w:t xml:space="preserve">might </w:t>
      </w:r>
      <w:r w:rsidR="00C87272">
        <w:t xml:space="preserve">also </w:t>
      </w:r>
      <w:r w:rsidR="009250E4">
        <w:t>be</w:t>
      </w:r>
      <w:r w:rsidR="002F3F2D">
        <w:t xml:space="preserve"> significant over-diagnosis of malaria by microscopy, requiring strengthening of microscopy training and external quality assessment programs</w:t>
      </w:r>
      <w:r w:rsidR="00C92814">
        <w:t xml:space="preserve">. The AFI cases that are potentially misdiagnosed as malaria may </w:t>
      </w:r>
      <w:r w:rsidR="007A1C1A">
        <w:t>result in higher mortality if not treated appropriately</w:t>
      </w:r>
      <w:r w:rsidR="00A2738B">
        <w:t>—</w:t>
      </w:r>
      <w:r w:rsidR="00165469">
        <w:t xml:space="preserve">for example, failure to </w:t>
      </w:r>
      <w:r w:rsidR="007A1C1A">
        <w:t>initiat</w:t>
      </w:r>
      <w:r w:rsidR="00165469">
        <w:t>e</w:t>
      </w:r>
      <w:r w:rsidR="007A1C1A">
        <w:t xml:space="preserve"> broad-spectrum antibiotics</w:t>
      </w:r>
      <w:r w:rsidR="00A2738B">
        <w:t>—</w:t>
      </w:r>
      <w:r w:rsidR="007A1C1A">
        <w:t xml:space="preserve">since our data show that antibiotic initiation rates are lower among those with diagnosis of malaria. Once diagnosed, there are also concerning gaps in the antimalarials used for treatment of severe malaria, specifically the need to follow with a course of </w:t>
      </w:r>
      <w:r w:rsidR="00C375A9">
        <w:t xml:space="preserve">AL </w:t>
      </w:r>
      <w:r w:rsidR="007A1C1A">
        <w:t xml:space="preserve">once the patient receives IV artesunate.  </w:t>
      </w:r>
      <w:r w:rsidR="00843961">
        <w:t>T</w:t>
      </w:r>
      <w:r w:rsidR="007A1C1A">
        <w:t>here is a</w:t>
      </w:r>
      <w:r w:rsidR="00D43BA6">
        <w:t>lso a</w:t>
      </w:r>
      <w:r w:rsidR="007A1C1A">
        <w:t xml:space="preserve"> need to ensure availability of IV artesunate for treatment of severe malaria, as IV quinine is still being widely</w:t>
      </w:r>
      <w:r w:rsidR="007B6AF9">
        <w:t xml:space="preserve"> used</w:t>
      </w:r>
      <w:r w:rsidR="00843961">
        <w:t xml:space="preserve">, particularly in seasonal epidemic zones. </w:t>
      </w:r>
    </w:p>
    <w:p w14:paraId="0014F6D5" w14:textId="06177D86" w:rsidR="003E2A7A" w:rsidRDefault="00F825F2" w:rsidP="001407CA">
      <w:pPr>
        <w:spacing w:line="480" w:lineRule="auto"/>
        <w:ind w:firstLine="720"/>
      </w:pPr>
      <w:r>
        <w:t xml:space="preserve">This analysis highlights the value of an integrated disease surveillance platform, even when implemented at a limited number of facilities, in identifying malaria-specific programmatic challenges.  To enhance representativeness and long-term sustainability, routine inpatient data collected through electronic medical records should ideally be capable of capturing malaria case information to support both clinical and programmatic decision-making.  </w:t>
      </w:r>
    </w:p>
    <w:p w14:paraId="5F3D4243" w14:textId="77777777" w:rsidR="00B80953" w:rsidRDefault="00B80953" w:rsidP="001407CA">
      <w:pPr>
        <w:spacing w:line="480" w:lineRule="auto"/>
        <w:ind w:firstLine="720"/>
      </w:pPr>
    </w:p>
    <w:p w14:paraId="57E818C7" w14:textId="5F3BE65F" w:rsidR="00A755EB" w:rsidRDefault="00A755EB" w:rsidP="001407CA">
      <w:pPr>
        <w:pBdr>
          <w:top w:val="nil"/>
          <w:left w:val="nil"/>
          <w:bottom w:val="nil"/>
          <w:right w:val="nil"/>
          <w:between w:val="nil"/>
        </w:pBdr>
        <w:spacing w:after="0" w:line="480" w:lineRule="auto"/>
        <w:rPr>
          <w:color w:val="000000"/>
        </w:rPr>
      </w:pPr>
      <w:r>
        <w:rPr>
          <w:b/>
          <w:color w:val="000000"/>
        </w:rPr>
        <w:t>Disclaimer</w:t>
      </w:r>
      <w:r>
        <w:rPr>
          <w:color w:val="000000"/>
        </w:rPr>
        <w:t>:  The findings and conclusions in this report are those of the authors and do not necessarily represent the official position of the U.S. Centers for Disease Control and Prevention.</w:t>
      </w:r>
    </w:p>
    <w:p w14:paraId="7B925C79" w14:textId="78C53C7F" w:rsidR="008450E5" w:rsidRPr="008450E5" w:rsidRDefault="0000654F" w:rsidP="001407CA">
      <w:pPr>
        <w:spacing w:line="480" w:lineRule="auto"/>
      </w:pPr>
      <w:r>
        <w:t>MI</w:t>
      </w:r>
      <w:r w:rsidR="00D76E59">
        <w:t xml:space="preserve">, VS and </w:t>
      </w:r>
      <w:r w:rsidR="00EE2E09">
        <w:t>MS’s</w:t>
      </w:r>
      <w:r>
        <w:t xml:space="preserve"> salar</w:t>
      </w:r>
      <w:r w:rsidR="00EE2E09">
        <w:t>ies</w:t>
      </w:r>
      <w:r w:rsidR="008450E5">
        <w:t xml:space="preserve"> w</w:t>
      </w:r>
      <w:r w:rsidR="00EE2E09">
        <w:t xml:space="preserve">ere </w:t>
      </w:r>
      <w:r w:rsidR="008450E5">
        <w:t>provided by the U.S. President’s Malaria Initiative</w:t>
      </w:r>
      <w:r w:rsidR="009D07E4">
        <w:t xml:space="preserve"> </w:t>
      </w:r>
      <w:r w:rsidR="008450E5">
        <w:t>at the time this work was conducted.”</w:t>
      </w:r>
    </w:p>
    <w:p w14:paraId="339A75D9" w14:textId="01D56ABF" w:rsidR="003A3C45" w:rsidRDefault="003A3C45" w:rsidP="001407CA">
      <w:pPr>
        <w:pStyle w:val="Heading1"/>
        <w:spacing w:line="480" w:lineRule="auto"/>
      </w:pPr>
    </w:p>
    <w:p w14:paraId="0E322F87" w14:textId="2AABA14F" w:rsidR="003A3C45" w:rsidRDefault="003A3C45" w:rsidP="001407CA">
      <w:pPr>
        <w:spacing w:line="480" w:lineRule="auto"/>
      </w:pPr>
      <w:r w:rsidRPr="275D6B32">
        <w:rPr>
          <w:rStyle w:val="Heading1Char"/>
        </w:rPr>
        <w:t>References</w:t>
      </w:r>
      <w:r>
        <w:t>:</w:t>
      </w:r>
    </w:p>
    <w:p w14:paraId="009BF378" w14:textId="348047F0" w:rsidR="00DC4C5D" w:rsidRPr="000C3D5D" w:rsidRDefault="00DC4C5D" w:rsidP="00AD50A1">
      <w:pPr>
        <w:pStyle w:val="EndnoteText"/>
        <w:numPr>
          <w:ilvl w:val="0"/>
          <w:numId w:val="7"/>
        </w:numPr>
        <w:spacing w:line="360" w:lineRule="auto"/>
        <w:rPr>
          <w:sz w:val="22"/>
          <w:szCs w:val="22"/>
        </w:rPr>
      </w:pPr>
      <w:r w:rsidRPr="000C3D5D">
        <w:rPr>
          <w:sz w:val="22"/>
          <w:szCs w:val="22"/>
        </w:rPr>
        <w:t>Kenya Malaria Indicator Survey, 2010</w:t>
      </w:r>
      <w:r w:rsidR="00F03D23">
        <w:rPr>
          <w:sz w:val="22"/>
          <w:szCs w:val="22"/>
        </w:rPr>
        <w:t>.</w:t>
      </w:r>
      <w:r w:rsidRPr="000C3D5D">
        <w:rPr>
          <w:sz w:val="22"/>
          <w:szCs w:val="22"/>
        </w:rPr>
        <w:t xml:space="preserve"> </w:t>
      </w:r>
      <w:hyperlink r:id="rId9" w:history="1">
        <w:r w:rsidR="00F03D23" w:rsidRPr="00A54D7F">
          <w:rPr>
            <w:rStyle w:val="Hyperlink"/>
            <w:sz w:val="22"/>
            <w:szCs w:val="22"/>
          </w:rPr>
          <w:t>https://dhsprogram.com/pubs/pdf/mis7/mis7.pdf</w:t>
        </w:r>
      </w:hyperlink>
      <w:r w:rsidR="00F03D23">
        <w:rPr>
          <w:sz w:val="22"/>
          <w:szCs w:val="22"/>
        </w:rPr>
        <w:t>.</w:t>
      </w:r>
      <w:r w:rsidR="00B2442E">
        <w:rPr>
          <w:sz w:val="22"/>
          <w:szCs w:val="22"/>
        </w:rPr>
        <w:t xml:space="preserve"> Accessed </w:t>
      </w:r>
      <w:r w:rsidR="0018162A">
        <w:rPr>
          <w:sz w:val="22"/>
          <w:szCs w:val="22"/>
        </w:rPr>
        <w:t>22 July 2025.</w:t>
      </w:r>
    </w:p>
    <w:p w14:paraId="11AD7364" w14:textId="4BAEFDB1" w:rsidR="00DC4C5D" w:rsidRPr="000C3D5D" w:rsidRDefault="00DC4C5D" w:rsidP="00AD50A1">
      <w:pPr>
        <w:pStyle w:val="EndnoteText"/>
        <w:spacing w:line="360" w:lineRule="auto"/>
        <w:ind w:left="360"/>
        <w:rPr>
          <w:sz w:val="22"/>
          <w:szCs w:val="22"/>
        </w:rPr>
      </w:pPr>
    </w:p>
    <w:p w14:paraId="79D7E8E1" w14:textId="5E68A7BC" w:rsidR="00DC4C5D" w:rsidRPr="000C3D5D" w:rsidRDefault="00DC4C5D" w:rsidP="00AD50A1">
      <w:pPr>
        <w:pStyle w:val="EndnoteText"/>
        <w:numPr>
          <w:ilvl w:val="0"/>
          <w:numId w:val="7"/>
        </w:numPr>
        <w:spacing w:line="360" w:lineRule="auto"/>
        <w:rPr>
          <w:sz w:val="22"/>
          <w:szCs w:val="22"/>
        </w:rPr>
      </w:pPr>
      <w:r w:rsidRPr="000C3D5D">
        <w:rPr>
          <w:sz w:val="22"/>
          <w:szCs w:val="22"/>
        </w:rPr>
        <w:t>Kenya Malaria Indicator Survey, 2020</w:t>
      </w:r>
      <w:r w:rsidR="00F03D23">
        <w:rPr>
          <w:sz w:val="22"/>
          <w:szCs w:val="22"/>
        </w:rPr>
        <w:t>.</w:t>
      </w:r>
      <w:r w:rsidRPr="000C3D5D">
        <w:rPr>
          <w:sz w:val="22"/>
          <w:szCs w:val="22"/>
        </w:rPr>
        <w:t xml:space="preserve"> </w:t>
      </w:r>
      <w:hyperlink r:id="rId10" w:history="1">
        <w:r w:rsidR="00F03D23" w:rsidRPr="00A54D7F">
          <w:rPr>
            <w:rStyle w:val="Hyperlink"/>
            <w:sz w:val="22"/>
            <w:szCs w:val="22"/>
          </w:rPr>
          <w:t>https://dhsprogram.com/pubs/pdf/MIS36/MIS36.pdf</w:t>
        </w:r>
      </w:hyperlink>
      <w:r w:rsidR="00F03D23">
        <w:rPr>
          <w:sz w:val="22"/>
          <w:szCs w:val="22"/>
        </w:rPr>
        <w:t xml:space="preserve">. </w:t>
      </w:r>
      <w:r w:rsidR="0018162A">
        <w:rPr>
          <w:sz w:val="22"/>
          <w:szCs w:val="22"/>
        </w:rPr>
        <w:t>Accessed 22 July 2025.</w:t>
      </w:r>
    </w:p>
    <w:p w14:paraId="0A55DC26" w14:textId="77777777" w:rsidR="00DC4C5D" w:rsidRPr="000C3D5D" w:rsidRDefault="00DC4C5D" w:rsidP="00AD50A1">
      <w:pPr>
        <w:pStyle w:val="EndnoteText"/>
        <w:spacing w:line="360" w:lineRule="auto"/>
        <w:ind w:left="360"/>
        <w:rPr>
          <w:sz w:val="22"/>
          <w:szCs w:val="22"/>
        </w:rPr>
      </w:pPr>
    </w:p>
    <w:p w14:paraId="6B0DF8F9" w14:textId="570CA470" w:rsidR="00DC4C5D" w:rsidRPr="000C3D5D" w:rsidRDefault="00DC4C5D" w:rsidP="00AD50A1">
      <w:pPr>
        <w:pStyle w:val="EndnoteText"/>
        <w:numPr>
          <w:ilvl w:val="0"/>
          <w:numId w:val="7"/>
        </w:numPr>
        <w:spacing w:line="360" w:lineRule="auto"/>
        <w:rPr>
          <w:sz w:val="22"/>
          <w:szCs w:val="22"/>
        </w:rPr>
      </w:pPr>
      <w:r w:rsidRPr="000C3D5D">
        <w:rPr>
          <w:sz w:val="22"/>
          <w:szCs w:val="22"/>
        </w:rPr>
        <w:t>Church, J., Maitland, K. Invasive bacterial co-infection in African children with</w:t>
      </w:r>
      <w:r w:rsidRPr="000C3D5D">
        <w:rPr>
          <w:i/>
          <w:sz w:val="22"/>
          <w:szCs w:val="22"/>
        </w:rPr>
        <w:t xml:space="preserve"> Plasmodium falciparum</w:t>
      </w:r>
      <w:r w:rsidRPr="000C3D5D">
        <w:rPr>
          <w:sz w:val="22"/>
          <w:szCs w:val="22"/>
        </w:rPr>
        <w:t xml:space="preserve"> malaria: a systematic review</w:t>
      </w:r>
      <w:r w:rsidRPr="005F2102">
        <w:rPr>
          <w:i/>
          <w:iCs/>
          <w:sz w:val="22"/>
          <w:szCs w:val="22"/>
        </w:rPr>
        <w:t>. </w:t>
      </w:r>
      <w:r w:rsidRPr="005F2102">
        <w:rPr>
          <w:sz w:val="22"/>
          <w:szCs w:val="22"/>
        </w:rPr>
        <w:t>BMC Med</w:t>
      </w:r>
      <w:r w:rsidR="008C12D9">
        <w:rPr>
          <w:sz w:val="22"/>
          <w:szCs w:val="22"/>
        </w:rPr>
        <w:t xml:space="preserve">. </w:t>
      </w:r>
      <w:r w:rsidRPr="000C3D5D">
        <w:rPr>
          <w:sz w:val="22"/>
          <w:szCs w:val="22"/>
        </w:rPr>
        <w:t>2014</w:t>
      </w:r>
      <w:r w:rsidR="008C12D9">
        <w:rPr>
          <w:sz w:val="22"/>
          <w:szCs w:val="22"/>
        </w:rPr>
        <w:t>;</w:t>
      </w:r>
      <w:r w:rsidRPr="000C3D5D">
        <w:rPr>
          <w:sz w:val="22"/>
          <w:szCs w:val="22"/>
        </w:rPr>
        <w:t xml:space="preserve"> doi</w:t>
      </w:r>
      <w:r w:rsidR="00B2442E">
        <w:rPr>
          <w:sz w:val="22"/>
          <w:szCs w:val="22"/>
        </w:rPr>
        <w:t>:</w:t>
      </w:r>
      <w:r w:rsidRPr="000C3D5D">
        <w:rPr>
          <w:sz w:val="22"/>
          <w:szCs w:val="22"/>
        </w:rPr>
        <w:t>10.1186/1741-7015-12-31</w:t>
      </w:r>
      <w:r w:rsidR="00660EA9">
        <w:rPr>
          <w:sz w:val="22"/>
          <w:szCs w:val="22"/>
        </w:rPr>
        <w:t>.</w:t>
      </w:r>
    </w:p>
    <w:p w14:paraId="0ADEA1D1" w14:textId="77777777" w:rsidR="00DC4C5D" w:rsidRPr="000C3D5D" w:rsidRDefault="00DC4C5D" w:rsidP="00AD50A1">
      <w:pPr>
        <w:pStyle w:val="EndnoteText"/>
        <w:spacing w:line="360" w:lineRule="auto"/>
        <w:ind w:left="360"/>
        <w:rPr>
          <w:sz w:val="22"/>
          <w:szCs w:val="22"/>
        </w:rPr>
      </w:pPr>
    </w:p>
    <w:p w14:paraId="121549CB" w14:textId="6A41A813" w:rsidR="00DC4C5D" w:rsidRPr="000C3D5D" w:rsidRDefault="00DC4C5D" w:rsidP="00AD50A1">
      <w:pPr>
        <w:pStyle w:val="EndnoteText"/>
        <w:numPr>
          <w:ilvl w:val="0"/>
          <w:numId w:val="7"/>
        </w:numPr>
        <w:spacing w:line="360" w:lineRule="auto"/>
        <w:rPr>
          <w:sz w:val="22"/>
          <w:szCs w:val="22"/>
        </w:rPr>
      </w:pPr>
      <w:r w:rsidRPr="000C3D5D">
        <w:rPr>
          <w:sz w:val="22"/>
          <w:szCs w:val="22"/>
        </w:rPr>
        <w:t>Nguyen Hoan Phu, Nicholas P J Day, Phung Quoc Tuan, Nguyen Thi Hoang Mai, Tran Thi Hong Chau, Ly Van Chuong, et al. Concomitant Bacteremia in Adults With Severe Falciparum Malaria</w:t>
      </w:r>
      <w:r w:rsidR="003D1223">
        <w:rPr>
          <w:sz w:val="22"/>
          <w:szCs w:val="22"/>
        </w:rPr>
        <w:t>.</w:t>
      </w:r>
      <w:r w:rsidRPr="000C3D5D">
        <w:rPr>
          <w:sz w:val="22"/>
          <w:szCs w:val="22"/>
        </w:rPr>
        <w:t> </w:t>
      </w:r>
      <w:r w:rsidRPr="003D1223">
        <w:rPr>
          <w:sz w:val="22"/>
          <w:szCs w:val="22"/>
        </w:rPr>
        <w:t>Clinical Infectious Diseases</w:t>
      </w:r>
      <w:r w:rsidR="003D1223">
        <w:rPr>
          <w:sz w:val="22"/>
          <w:szCs w:val="22"/>
        </w:rPr>
        <w:t>.</w:t>
      </w:r>
      <w:r w:rsidRPr="000C3D5D">
        <w:rPr>
          <w:sz w:val="22"/>
          <w:szCs w:val="22"/>
        </w:rPr>
        <w:t xml:space="preserve"> </w:t>
      </w:r>
      <w:r w:rsidR="00BE6393">
        <w:rPr>
          <w:sz w:val="22"/>
          <w:szCs w:val="22"/>
        </w:rPr>
        <w:t xml:space="preserve">2020; </w:t>
      </w:r>
      <w:hyperlink r:id="rId11" w:history="1">
        <w:r w:rsidRPr="000C3D5D">
          <w:rPr>
            <w:rStyle w:val="Hyperlink"/>
            <w:sz w:val="22"/>
            <w:szCs w:val="22"/>
          </w:rPr>
          <w:t>doi</w:t>
        </w:r>
        <w:r w:rsidR="009425F7">
          <w:rPr>
            <w:rStyle w:val="Hyperlink"/>
            <w:sz w:val="22"/>
            <w:szCs w:val="22"/>
          </w:rPr>
          <w:t>:</w:t>
        </w:r>
        <w:r w:rsidR="009425F7" w:rsidRPr="000C3D5D">
          <w:rPr>
            <w:rStyle w:val="Hyperlink"/>
            <w:sz w:val="22"/>
            <w:szCs w:val="22"/>
          </w:rPr>
          <w:t xml:space="preserve"> </w:t>
        </w:r>
        <w:r w:rsidRPr="000C3D5D">
          <w:rPr>
            <w:rStyle w:val="Hyperlink"/>
            <w:sz w:val="22"/>
            <w:szCs w:val="22"/>
          </w:rPr>
          <w:t>10.1093/cid/ciaa191</w:t>
        </w:r>
      </w:hyperlink>
      <w:r w:rsidR="00660EA9">
        <w:t>.</w:t>
      </w:r>
    </w:p>
    <w:p w14:paraId="4F0CCD11" w14:textId="77777777" w:rsidR="00DC4C5D" w:rsidRPr="000C3D5D" w:rsidRDefault="00DC4C5D" w:rsidP="00AD50A1">
      <w:pPr>
        <w:pStyle w:val="EndnoteText"/>
        <w:spacing w:line="360" w:lineRule="auto"/>
        <w:ind w:left="360"/>
        <w:rPr>
          <w:sz w:val="22"/>
          <w:szCs w:val="22"/>
        </w:rPr>
      </w:pPr>
    </w:p>
    <w:p w14:paraId="40AFF37C" w14:textId="1034A825" w:rsidR="00DC4C5D" w:rsidRPr="000C3D5D" w:rsidRDefault="00DC4C5D" w:rsidP="00AD50A1">
      <w:pPr>
        <w:pStyle w:val="EndnoteText"/>
        <w:numPr>
          <w:ilvl w:val="0"/>
          <w:numId w:val="7"/>
        </w:numPr>
        <w:spacing w:line="360" w:lineRule="auto"/>
        <w:rPr>
          <w:sz w:val="22"/>
          <w:szCs w:val="22"/>
        </w:rPr>
      </w:pPr>
      <w:r w:rsidRPr="000C3D5D">
        <w:rPr>
          <w:sz w:val="22"/>
          <w:szCs w:val="22"/>
        </w:rPr>
        <w:t>J Anthony G Scott, James A Berkley, Isaiah Mwangi, Lucy Ochola, Sophie Uyoga, et al. Relation between falciparum malaria and bacteraemia in Kenyan children: a population-based, case-control study and a longitudinal study</w:t>
      </w:r>
      <w:r w:rsidR="00FD6FAB">
        <w:rPr>
          <w:sz w:val="22"/>
          <w:szCs w:val="22"/>
        </w:rPr>
        <w:t>.</w:t>
      </w:r>
      <w:r w:rsidR="00FB358F" w:rsidRPr="000C3D5D">
        <w:rPr>
          <w:sz w:val="22"/>
          <w:szCs w:val="22"/>
        </w:rPr>
        <w:t xml:space="preserve"> </w:t>
      </w:r>
      <w:r w:rsidRPr="00FD6FAB">
        <w:rPr>
          <w:sz w:val="22"/>
          <w:szCs w:val="22"/>
        </w:rPr>
        <w:t>The Lancet</w:t>
      </w:r>
      <w:r w:rsidR="00FD6FAB">
        <w:rPr>
          <w:sz w:val="22"/>
          <w:szCs w:val="22"/>
        </w:rPr>
        <w:t>.</w:t>
      </w:r>
      <w:r w:rsidRPr="000C3D5D">
        <w:rPr>
          <w:sz w:val="22"/>
          <w:szCs w:val="22"/>
        </w:rPr>
        <w:t xml:space="preserve"> 2011</w:t>
      </w:r>
      <w:r w:rsidR="00461A57">
        <w:rPr>
          <w:sz w:val="22"/>
          <w:szCs w:val="22"/>
        </w:rPr>
        <w:t>;</w:t>
      </w:r>
      <w:r w:rsidRPr="000C3D5D">
        <w:rPr>
          <w:sz w:val="22"/>
          <w:szCs w:val="22"/>
        </w:rPr>
        <w:t xml:space="preserve"> doi</w:t>
      </w:r>
      <w:r w:rsidR="00461A57">
        <w:rPr>
          <w:sz w:val="22"/>
          <w:szCs w:val="22"/>
        </w:rPr>
        <w:t>:</w:t>
      </w:r>
      <w:r w:rsidRPr="000C3D5D">
        <w:rPr>
          <w:sz w:val="22"/>
          <w:szCs w:val="22"/>
        </w:rPr>
        <w:t>10.1016/S0140-6736(11)60888-X.</w:t>
      </w:r>
    </w:p>
    <w:p w14:paraId="3931E15D" w14:textId="77777777" w:rsidR="00DC4C5D" w:rsidRPr="000C3D5D" w:rsidRDefault="00DC4C5D" w:rsidP="00AD50A1">
      <w:pPr>
        <w:pStyle w:val="EndnoteText"/>
        <w:spacing w:line="360" w:lineRule="auto"/>
        <w:ind w:left="360"/>
        <w:rPr>
          <w:sz w:val="22"/>
          <w:szCs w:val="22"/>
        </w:rPr>
      </w:pPr>
    </w:p>
    <w:p w14:paraId="391CA541" w14:textId="4AA31B5E" w:rsidR="00DC4C5D" w:rsidRPr="000C3D5D" w:rsidRDefault="00DC4C5D" w:rsidP="00AD50A1">
      <w:pPr>
        <w:pStyle w:val="EndnoteText"/>
        <w:numPr>
          <w:ilvl w:val="0"/>
          <w:numId w:val="7"/>
        </w:numPr>
        <w:spacing w:line="360" w:lineRule="auto"/>
        <w:rPr>
          <w:sz w:val="22"/>
          <w:szCs w:val="22"/>
        </w:rPr>
      </w:pPr>
      <w:r w:rsidRPr="000C3D5D">
        <w:rPr>
          <w:sz w:val="22"/>
          <w:szCs w:val="22"/>
        </w:rPr>
        <w:t xml:space="preserve">World Health Organization. </w:t>
      </w:r>
      <w:r w:rsidRPr="00CC5E89">
        <w:rPr>
          <w:sz w:val="22"/>
          <w:szCs w:val="22"/>
        </w:rPr>
        <w:t>WHO guidelines for malaria.</w:t>
      </w:r>
      <w:r w:rsidR="006A449E" w:rsidRPr="00CC5E89">
        <w:rPr>
          <w:sz w:val="22"/>
          <w:szCs w:val="22"/>
        </w:rPr>
        <w:t xml:space="preserve"> 2</w:t>
      </w:r>
      <w:r w:rsidR="006A449E">
        <w:rPr>
          <w:sz w:val="22"/>
          <w:szCs w:val="22"/>
        </w:rPr>
        <w:t>024</w:t>
      </w:r>
      <w:r w:rsidR="00CC5E89">
        <w:rPr>
          <w:sz w:val="22"/>
          <w:szCs w:val="22"/>
        </w:rPr>
        <w:t>.</w:t>
      </w:r>
      <w:r w:rsidRPr="000C3D5D">
        <w:rPr>
          <w:sz w:val="22"/>
          <w:szCs w:val="22"/>
        </w:rPr>
        <w:t xml:space="preserve"> </w:t>
      </w:r>
      <w:hyperlink r:id="rId12" w:tgtFrame="_new" w:history="1">
        <w:r w:rsidRPr="000C3D5D">
          <w:rPr>
            <w:rStyle w:val="Hyperlink"/>
            <w:sz w:val="22"/>
            <w:szCs w:val="22"/>
          </w:rPr>
          <w:t>https://www.who.int/publications</w:t>
        </w:r>
      </w:hyperlink>
      <w:r w:rsidR="00CC5E89">
        <w:t xml:space="preserve">. </w:t>
      </w:r>
      <w:r w:rsidR="00CC5E89" w:rsidRPr="00CC5E89">
        <w:rPr>
          <w:sz w:val="22"/>
          <w:szCs w:val="22"/>
        </w:rPr>
        <w:t>Accessed 23 July 2025</w:t>
      </w:r>
      <w:r w:rsidR="00660EA9">
        <w:rPr>
          <w:sz w:val="22"/>
          <w:szCs w:val="22"/>
        </w:rPr>
        <w:t>.</w:t>
      </w:r>
    </w:p>
    <w:p w14:paraId="0AD50BC1" w14:textId="77777777" w:rsidR="00DC4C5D" w:rsidRPr="000C3D5D" w:rsidRDefault="00DC4C5D" w:rsidP="00AD50A1">
      <w:pPr>
        <w:pStyle w:val="EndnoteText"/>
        <w:spacing w:line="360" w:lineRule="auto"/>
        <w:ind w:left="360"/>
        <w:rPr>
          <w:sz w:val="22"/>
          <w:szCs w:val="22"/>
        </w:rPr>
      </w:pPr>
    </w:p>
    <w:p w14:paraId="7252D9E1" w14:textId="4A9B7E1D" w:rsidR="002D4ED3" w:rsidRPr="00EB1E23" w:rsidRDefault="002D4ED3" w:rsidP="00EB1E23">
      <w:pPr>
        <w:pStyle w:val="EndnoteText"/>
        <w:numPr>
          <w:ilvl w:val="0"/>
          <w:numId w:val="7"/>
        </w:numPr>
        <w:spacing w:line="360" w:lineRule="auto"/>
        <w:rPr>
          <w:sz w:val="22"/>
          <w:szCs w:val="22"/>
        </w:rPr>
      </w:pPr>
      <w:r w:rsidRPr="000C3D5D">
        <w:rPr>
          <w:sz w:val="22"/>
          <w:szCs w:val="22"/>
        </w:rPr>
        <w:lastRenderedPageBreak/>
        <w:t xml:space="preserve">World Health Organization. </w:t>
      </w:r>
      <w:r w:rsidRPr="00CC5E89">
        <w:rPr>
          <w:sz w:val="22"/>
          <w:szCs w:val="22"/>
        </w:rPr>
        <w:t>Malaria microscopy quality assurance manual: version 2.</w:t>
      </w:r>
      <w:r w:rsidR="00CC5E89">
        <w:rPr>
          <w:sz w:val="22"/>
          <w:szCs w:val="22"/>
        </w:rPr>
        <w:t xml:space="preserve"> 2016.</w:t>
      </w:r>
      <w:r w:rsidR="00EB1E23">
        <w:rPr>
          <w:sz w:val="22"/>
          <w:szCs w:val="22"/>
        </w:rPr>
        <w:t xml:space="preserve"> </w:t>
      </w:r>
      <w:r w:rsidRPr="00CC5E89">
        <w:rPr>
          <w:sz w:val="22"/>
          <w:szCs w:val="22"/>
        </w:rPr>
        <w:t xml:space="preserve"> </w:t>
      </w:r>
      <w:hyperlink r:id="rId13" w:tgtFrame="_new" w:history="1">
        <w:r w:rsidRPr="000C3D5D">
          <w:rPr>
            <w:rStyle w:val="Hyperlink"/>
            <w:sz w:val="22"/>
            <w:szCs w:val="22"/>
          </w:rPr>
          <w:t>https://apps.who.int/iris/handle/10665/204266</w:t>
        </w:r>
      </w:hyperlink>
      <w:r w:rsidRPr="000C3D5D">
        <w:rPr>
          <w:vanish/>
          <w:sz w:val="22"/>
          <w:szCs w:val="22"/>
        </w:rPr>
        <w:t>Top of FormBottom of Form</w:t>
      </w:r>
      <w:r w:rsidR="00660EA9">
        <w:rPr>
          <w:sz w:val="22"/>
          <w:szCs w:val="22"/>
        </w:rPr>
        <w:t>.</w:t>
      </w:r>
      <w:r w:rsidR="00EB1E23">
        <w:rPr>
          <w:sz w:val="22"/>
          <w:szCs w:val="22"/>
        </w:rPr>
        <w:t xml:space="preserve"> </w:t>
      </w:r>
      <w:r w:rsidR="00EB1E23" w:rsidRPr="00CC5E89">
        <w:rPr>
          <w:sz w:val="22"/>
          <w:szCs w:val="22"/>
        </w:rPr>
        <w:t>Accessed 23 July 2025</w:t>
      </w:r>
    </w:p>
    <w:p w14:paraId="53943D3F" w14:textId="77777777" w:rsidR="002D4ED3" w:rsidRPr="000C3D5D" w:rsidRDefault="002D4ED3" w:rsidP="00AD50A1">
      <w:pPr>
        <w:pStyle w:val="EndnoteText"/>
        <w:spacing w:line="360" w:lineRule="auto"/>
        <w:rPr>
          <w:sz w:val="22"/>
          <w:szCs w:val="22"/>
        </w:rPr>
      </w:pPr>
    </w:p>
    <w:p w14:paraId="1AFC73DA" w14:textId="382E4068" w:rsidR="00DC4C5D" w:rsidRPr="000C3D5D" w:rsidRDefault="00DC4C5D" w:rsidP="00AD50A1">
      <w:pPr>
        <w:pStyle w:val="EndnoteText"/>
        <w:numPr>
          <w:ilvl w:val="0"/>
          <w:numId w:val="7"/>
        </w:numPr>
        <w:spacing w:line="360" w:lineRule="auto"/>
        <w:rPr>
          <w:sz w:val="22"/>
          <w:szCs w:val="22"/>
        </w:rPr>
      </w:pPr>
      <w:r w:rsidRPr="00DD3E94">
        <w:rPr>
          <w:sz w:val="22"/>
          <w:szCs w:val="22"/>
          <w:lang w:val="pt-PT"/>
        </w:rPr>
        <w:t xml:space="preserve">Verani JR, Eno EN, Hunsperger EA, Munyua P, Osoro E, Marwanga D, et al. </w:t>
      </w:r>
      <w:r w:rsidRPr="000C3D5D">
        <w:rPr>
          <w:sz w:val="22"/>
          <w:szCs w:val="22"/>
        </w:rPr>
        <w:t xml:space="preserve">(2024) Acute febrile illness in Kenya: Clinical characteristics and pathogens detected among patients hospitalized with fever, 2017–2019. </w:t>
      </w:r>
      <w:r w:rsidRPr="00D95F9B">
        <w:rPr>
          <w:sz w:val="22"/>
          <w:szCs w:val="22"/>
        </w:rPr>
        <w:t>PLoS ONE</w:t>
      </w:r>
      <w:r w:rsidR="00CA34B8">
        <w:rPr>
          <w:sz w:val="22"/>
          <w:szCs w:val="22"/>
        </w:rPr>
        <w:t xml:space="preserve">. 2024; </w:t>
      </w:r>
      <w:hyperlink r:id="rId14" w:history="1">
        <w:r w:rsidRPr="000C3D5D">
          <w:rPr>
            <w:rStyle w:val="Hyperlink"/>
            <w:sz w:val="22"/>
            <w:szCs w:val="22"/>
          </w:rPr>
          <w:t>doi</w:t>
        </w:r>
        <w:r w:rsidR="00CA34B8">
          <w:rPr>
            <w:rStyle w:val="Hyperlink"/>
            <w:sz w:val="22"/>
            <w:szCs w:val="22"/>
          </w:rPr>
          <w:t>:</w:t>
        </w:r>
        <w:r w:rsidRPr="000C3D5D">
          <w:rPr>
            <w:rStyle w:val="Hyperlink"/>
            <w:sz w:val="22"/>
            <w:szCs w:val="22"/>
          </w:rPr>
          <w:t>10.1371/journal.pone.0305700</w:t>
        </w:r>
      </w:hyperlink>
      <w:r w:rsidR="00660EA9">
        <w:t>.</w:t>
      </w:r>
    </w:p>
    <w:p w14:paraId="4BB69DC8" w14:textId="019E43AA" w:rsidR="00DC4C5D" w:rsidRPr="000C3D5D" w:rsidRDefault="00DC4C5D" w:rsidP="00AD50A1">
      <w:pPr>
        <w:pStyle w:val="EndnoteText"/>
        <w:spacing w:line="360" w:lineRule="auto"/>
        <w:rPr>
          <w:sz w:val="22"/>
          <w:szCs w:val="22"/>
        </w:rPr>
      </w:pPr>
    </w:p>
    <w:p w14:paraId="6CE79741" w14:textId="4E52F847" w:rsidR="00FA60AE" w:rsidRPr="00660EA9" w:rsidRDefault="00FA60AE" w:rsidP="00660EA9">
      <w:pPr>
        <w:pStyle w:val="EndnoteText"/>
        <w:numPr>
          <w:ilvl w:val="0"/>
          <w:numId w:val="7"/>
        </w:numPr>
        <w:spacing w:line="360" w:lineRule="auto"/>
        <w:rPr>
          <w:sz w:val="22"/>
          <w:szCs w:val="22"/>
        </w:rPr>
      </w:pPr>
      <w:r w:rsidRPr="000C3D5D">
        <w:rPr>
          <w:sz w:val="22"/>
          <w:szCs w:val="22"/>
        </w:rPr>
        <w:t>World Health Organization</w:t>
      </w:r>
      <w:r w:rsidRPr="00FF6C87">
        <w:rPr>
          <w:sz w:val="22"/>
          <w:szCs w:val="22"/>
        </w:rPr>
        <w:t>. Giemsa Staining of Malaria Blood Films: SOP.</w:t>
      </w:r>
      <w:r w:rsidR="00FF6C87" w:rsidRPr="00FF6C87">
        <w:rPr>
          <w:sz w:val="22"/>
          <w:szCs w:val="22"/>
        </w:rPr>
        <w:t xml:space="preserve"> </w:t>
      </w:r>
      <w:r w:rsidR="00FF6C87">
        <w:rPr>
          <w:sz w:val="22"/>
          <w:szCs w:val="22"/>
        </w:rPr>
        <w:t xml:space="preserve">2016. </w:t>
      </w:r>
      <w:r w:rsidRPr="000C3D5D">
        <w:rPr>
          <w:sz w:val="22"/>
          <w:szCs w:val="22"/>
        </w:rPr>
        <w:t xml:space="preserve"> </w:t>
      </w:r>
      <w:hyperlink r:id="rId15" w:tgtFrame="_new" w:history="1">
        <w:r w:rsidRPr="000C3D5D">
          <w:rPr>
            <w:rStyle w:val="Hyperlink"/>
            <w:sz w:val="22"/>
            <w:szCs w:val="22"/>
          </w:rPr>
          <w:t>https://apps.who.int/iris/handle/10665/204458</w:t>
        </w:r>
      </w:hyperlink>
      <w:r w:rsidR="00660EA9">
        <w:t xml:space="preserve">. </w:t>
      </w:r>
      <w:r w:rsidR="00660EA9" w:rsidRPr="00CC5E89">
        <w:rPr>
          <w:sz w:val="22"/>
          <w:szCs w:val="22"/>
        </w:rPr>
        <w:t>Accessed 23 July 2025</w:t>
      </w:r>
      <w:r w:rsidR="00660EA9">
        <w:rPr>
          <w:sz w:val="22"/>
          <w:szCs w:val="22"/>
        </w:rPr>
        <w:t>.</w:t>
      </w:r>
    </w:p>
    <w:p w14:paraId="660382A4" w14:textId="77777777" w:rsidR="00FA60AE" w:rsidRPr="000C3D5D" w:rsidRDefault="00FA60AE" w:rsidP="00AD50A1">
      <w:pPr>
        <w:pStyle w:val="EndnoteText"/>
        <w:spacing w:line="360" w:lineRule="auto"/>
        <w:rPr>
          <w:sz w:val="22"/>
          <w:szCs w:val="22"/>
        </w:rPr>
      </w:pPr>
    </w:p>
    <w:p w14:paraId="61F51F60" w14:textId="752EDC7D" w:rsidR="00DC4C5D" w:rsidRPr="000C3D5D" w:rsidRDefault="00DC4C5D" w:rsidP="00AD50A1">
      <w:pPr>
        <w:pStyle w:val="EndnoteText"/>
        <w:numPr>
          <w:ilvl w:val="0"/>
          <w:numId w:val="7"/>
        </w:numPr>
        <w:spacing w:line="360" w:lineRule="auto"/>
        <w:rPr>
          <w:sz w:val="22"/>
          <w:szCs w:val="22"/>
        </w:rPr>
      </w:pPr>
      <w:r w:rsidRPr="000C3D5D">
        <w:rPr>
          <w:sz w:val="22"/>
          <w:szCs w:val="22"/>
        </w:rPr>
        <w:t xml:space="preserve">Odhiambo FO, O'Meara WP, Abade A, Owiny M, Odhiambo F, Oyugi EO. Adherence to national malaria treatment guidelines in private drug outlets: a cross-sectional survey in the malaria-endemic Kisumu County, Kenya. </w:t>
      </w:r>
      <w:r w:rsidRPr="00294975">
        <w:rPr>
          <w:sz w:val="22"/>
          <w:szCs w:val="22"/>
        </w:rPr>
        <w:t>Malar J. 2</w:t>
      </w:r>
      <w:r w:rsidRPr="000C3D5D">
        <w:rPr>
          <w:sz w:val="22"/>
          <w:szCs w:val="22"/>
        </w:rPr>
        <w:t>023</w:t>
      </w:r>
      <w:r w:rsidR="00294975">
        <w:rPr>
          <w:sz w:val="22"/>
          <w:szCs w:val="22"/>
        </w:rPr>
        <w:t>;</w:t>
      </w:r>
      <w:r w:rsidRPr="000C3D5D">
        <w:rPr>
          <w:sz w:val="22"/>
          <w:szCs w:val="22"/>
        </w:rPr>
        <w:t xml:space="preserve"> doi: 10.1186/s12936-023-04744-7. </w:t>
      </w:r>
    </w:p>
    <w:p w14:paraId="66673BD3" w14:textId="77777777" w:rsidR="004578C5" w:rsidRPr="000C3D5D" w:rsidRDefault="004578C5" w:rsidP="00AD50A1">
      <w:pPr>
        <w:pStyle w:val="ListParagraph"/>
        <w:spacing w:line="360" w:lineRule="auto"/>
        <w:rPr>
          <w:sz w:val="24"/>
          <w:szCs w:val="24"/>
        </w:rPr>
      </w:pPr>
    </w:p>
    <w:p w14:paraId="38043AAB" w14:textId="532F49EA" w:rsidR="00FB358F" w:rsidRPr="000C3D5D" w:rsidRDefault="004578C5" w:rsidP="00AD50A1">
      <w:pPr>
        <w:pStyle w:val="EndnoteText"/>
        <w:numPr>
          <w:ilvl w:val="0"/>
          <w:numId w:val="7"/>
        </w:numPr>
        <w:spacing w:line="360" w:lineRule="auto"/>
        <w:rPr>
          <w:sz w:val="22"/>
          <w:szCs w:val="22"/>
        </w:rPr>
      </w:pPr>
      <w:r w:rsidRPr="000C3D5D">
        <w:rPr>
          <w:sz w:val="22"/>
          <w:szCs w:val="22"/>
        </w:rPr>
        <w:t>Kenya Ministry of Health Division of National Malaria Program</w:t>
      </w:r>
      <w:r w:rsidR="009001D7" w:rsidRPr="000C3D5D">
        <w:rPr>
          <w:sz w:val="22"/>
          <w:szCs w:val="22"/>
        </w:rPr>
        <w:t>,</w:t>
      </w:r>
      <w:r w:rsidRPr="000C3D5D">
        <w:rPr>
          <w:sz w:val="22"/>
          <w:szCs w:val="22"/>
        </w:rPr>
        <w:t xml:space="preserve"> Malaria Health Facility Assessment</w:t>
      </w:r>
      <w:r w:rsidR="00660EA9">
        <w:rPr>
          <w:sz w:val="22"/>
          <w:szCs w:val="22"/>
        </w:rPr>
        <w:t xml:space="preserve">. </w:t>
      </w:r>
      <w:r w:rsidRPr="000C3D5D">
        <w:rPr>
          <w:sz w:val="22"/>
          <w:szCs w:val="22"/>
        </w:rPr>
        <w:t>2023</w:t>
      </w:r>
      <w:r w:rsidR="004E70BC" w:rsidRPr="000C3D5D">
        <w:rPr>
          <w:sz w:val="22"/>
          <w:szCs w:val="22"/>
        </w:rPr>
        <w:t>.  Final report, Nairobi, Kenya (Unpublished)</w:t>
      </w:r>
    </w:p>
    <w:p w14:paraId="3B944645" w14:textId="77777777" w:rsidR="004578C5" w:rsidRPr="000C3D5D" w:rsidRDefault="004578C5" w:rsidP="00AD50A1">
      <w:pPr>
        <w:pStyle w:val="EndnoteText"/>
        <w:spacing w:line="360" w:lineRule="auto"/>
        <w:rPr>
          <w:sz w:val="22"/>
          <w:szCs w:val="22"/>
        </w:rPr>
      </w:pPr>
    </w:p>
    <w:p w14:paraId="0EF1C140" w14:textId="31CB9523" w:rsidR="00FB358F" w:rsidRPr="00D121AB" w:rsidRDefault="00FB358F" w:rsidP="00D121AB">
      <w:pPr>
        <w:pStyle w:val="EndnoteText"/>
        <w:numPr>
          <w:ilvl w:val="0"/>
          <w:numId w:val="7"/>
        </w:numPr>
        <w:spacing w:line="360" w:lineRule="auto"/>
        <w:rPr>
          <w:sz w:val="22"/>
          <w:szCs w:val="22"/>
        </w:rPr>
      </w:pPr>
      <w:r w:rsidRPr="000C3D5D">
        <w:rPr>
          <w:sz w:val="22"/>
          <w:szCs w:val="22"/>
        </w:rPr>
        <w:t xml:space="preserve">World Health Organization. </w:t>
      </w:r>
      <w:r w:rsidRPr="00294975">
        <w:rPr>
          <w:sz w:val="22"/>
          <w:szCs w:val="22"/>
        </w:rPr>
        <w:t>Artemisinin resistance and artemisinin-based combination therapy efficacy: Status report.</w:t>
      </w:r>
      <w:r w:rsidR="00294975">
        <w:rPr>
          <w:sz w:val="22"/>
          <w:szCs w:val="22"/>
        </w:rPr>
        <w:t xml:space="preserve"> (2018)</w:t>
      </w:r>
      <w:r w:rsidRPr="000C3D5D">
        <w:rPr>
          <w:sz w:val="22"/>
          <w:szCs w:val="22"/>
        </w:rPr>
        <w:t xml:space="preserve"> </w:t>
      </w:r>
      <w:hyperlink r:id="rId16" w:tgtFrame="_new" w:history="1">
        <w:r w:rsidRPr="000C3D5D">
          <w:rPr>
            <w:rStyle w:val="Hyperlink"/>
            <w:color w:val="auto"/>
            <w:sz w:val="22"/>
            <w:szCs w:val="22"/>
          </w:rPr>
          <w:t>https://www.who.int/docs/default-source/documents/publications/gmp/who-cds-gmp-2018-26-eng.pdf</w:t>
        </w:r>
      </w:hyperlink>
      <w:r w:rsidR="00D121AB">
        <w:t xml:space="preserve">. </w:t>
      </w:r>
      <w:r w:rsidR="00D121AB" w:rsidRPr="00CC5E89">
        <w:rPr>
          <w:sz w:val="22"/>
          <w:szCs w:val="22"/>
        </w:rPr>
        <w:t>Accessed 2</w:t>
      </w:r>
      <w:r w:rsidR="00D121AB">
        <w:rPr>
          <w:sz w:val="22"/>
          <w:szCs w:val="22"/>
        </w:rPr>
        <w:t>4</w:t>
      </w:r>
      <w:r w:rsidR="00D121AB" w:rsidRPr="00CC5E89">
        <w:rPr>
          <w:sz w:val="22"/>
          <w:szCs w:val="22"/>
        </w:rPr>
        <w:t xml:space="preserve"> July 2025</w:t>
      </w:r>
      <w:r w:rsidR="00D121AB">
        <w:rPr>
          <w:sz w:val="22"/>
          <w:szCs w:val="22"/>
        </w:rPr>
        <w:t>.</w:t>
      </w:r>
    </w:p>
    <w:p w14:paraId="360BFC99" w14:textId="77777777" w:rsidR="002D22B7" w:rsidRDefault="002D22B7" w:rsidP="001407CA">
      <w:pPr>
        <w:spacing w:line="480" w:lineRule="auto"/>
      </w:pPr>
    </w:p>
    <w:p w14:paraId="7D3930F4" w14:textId="77777777" w:rsidR="00A60407" w:rsidRDefault="00A60407" w:rsidP="001407CA">
      <w:pPr>
        <w:spacing w:line="480" w:lineRule="auto"/>
      </w:pPr>
    </w:p>
    <w:p w14:paraId="784AF6CF" w14:textId="77777777" w:rsidR="00A60407" w:rsidRDefault="00A60407" w:rsidP="001407CA">
      <w:pPr>
        <w:spacing w:line="480" w:lineRule="auto"/>
      </w:pPr>
    </w:p>
    <w:p w14:paraId="1D4011B1" w14:textId="77777777" w:rsidR="00A60407" w:rsidRDefault="00A60407" w:rsidP="001407CA">
      <w:pPr>
        <w:spacing w:line="480" w:lineRule="auto"/>
      </w:pPr>
    </w:p>
    <w:p w14:paraId="60EF5071" w14:textId="77777777" w:rsidR="00AB1453" w:rsidRDefault="00AB1453" w:rsidP="001407CA">
      <w:pPr>
        <w:spacing w:line="480" w:lineRule="auto"/>
      </w:pPr>
    </w:p>
    <w:p w14:paraId="7E00C93B" w14:textId="77777777" w:rsidR="00A60407" w:rsidRDefault="00A60407" w:rsidP="001407CA">
      <w:pPr>
        <w:spacing w:line="480" w:lineRule="auto"/>
      </w:pPr>
    </w:p>
    <w:p w14:paraId="28C28402" w14:textId="628BC48A" w:rsidR="002D22B7" w:rsidRPr="00A60407" w:rsidRDefault="002D22B7" w:rsidP="00A60407">
      <w:pPr>
        <w:pStyle w:val="Heading1"/>
        <w:spacing w:line="240" w:lineRule="auto"/>
        <w:rPr>
          <w:b/>
          <w:bCs/>
          <w:sz w:val="24"/>
          <w:szCs w:val="24"/>
        </w:rPr>
      </w:pPr>
      <w:bookmarkStart w:id="1" w:name="_Hlk207026418"/>
      <w:r w:rsidRPr="00A60407">
        <w:rPr>
          <w:b/>
          <w:bCs/>
          <w:sz w:val="24"/>
          <w:szCs w:val="24"/>
        </w:rPr>
        <w:lastRenderedPageBreak/>
        <w:t>Supplemental table 1. Sample size of acute febrile illness patients by surveillance site</w:t>
      </w:r>
    </w:p>
    <w:tbl>
      <w:tblPr>
        <w:tblW w:w="9985" w:type="dxa"/>
        <w:tblLayout w:type="fixed"/>
        <w:tblLook w:val="04A0" w:firstRow="1" w:lastRow="0" w:firstColumn="1" w:lastColumn="0" w:noHBand="0" w:noVBand="1"/>
      </w:tblPr>
      <w:tblGrid>
        <w:gridCol w:w="1435"/>
        <w:gridCol w:w="905"/>
        <w:gridCol w:w="540"/>
        <w:gridCol w:w="1260"/>
        <w:gridCol w:w="900"/>
        <w:gridCol w:w="1145"/>
        <w:gridCol w:w="920"/>
        <w:gridCol w:w="980"/>
        <w:gridCol w:w="825"/>
        <w:gridCol w:w="1075"/>
      </w:tblGrid>
      <w:tr w:rsidR="000E26F4" w:rsidRPr="00AC3D66" w14:paraId="57EC285D" w14:textId="77777777" w:rsidTr="00A60407">
        <w:trPr>
          <w:trHeight w:val="300"/>
        </w:trPr>
        <w:tc>
          <w:tcPr>
            <w:tcW w:w="1435" w:type="dxa"/>
            <w:vMerge w:val="restart"/>
            <w:tcBorders>
              <w:top w:val="single" w:sz="4" w:space="0" w:color="auto"/>
            </w:tcBorders>
            <w:shd w:val="clear" w:color="auto" w:fill="auto"/>
            <w:noWrap/>
            <w:vAlign w:val="center"/>
            <w:hideMark/>
          </w:tcPr>
          <w:p w14:paraId="77DAE99A" w14:textId="3ECC15F4" w:rsidR="000E26F4" w:rsidRPr="00AC3D66" w:rsidRDefault="000E26F4" w:rsidP="00A60407">
            <w:pPr>
              <w:spacing w:after="0" w:line="240" w:lineRule="auto"/>
              <w:rPr>
                <w:rFonts w:eastAsia="Times New Roman"/>
                <w:kern w:val="0"/>
                <w:sz w:val="18"/>
                <w:szCs w:val="18"/>
                <w14:ligatures w14:val="none"/>
              </w:rPr>
            </w:pPr>
            <w:r w:rsidRPr="00AC3D66">
              <w:rPr>
                <w:sz w:val="18"/>
                <w:szCs w:val="18"/>
              </w:rPr>
              <w:br w:type="page"/>
            </w:r>
            <w:r w:rsidRPr="00AC3D66">
              <w:rPr>
                <w:rFonts w:eastAsia="Times New Roman"/>
                <w:color w:val="000000"/>
                <w:kern w:val="0"/>
                <w:sz w:val="18"/>
                <w:szCs w:val="18"/>
                <w14:ligatures w14:val="none"/>
              </w:rPr>
              <w:t>Surveillance site</w:t>
            </w:r>
          </w:p>
        </w:tc>
        <w:tc>
          <w:tcPr>
            <w:tcW w:w="905" w:type="dxa"/>
            <w:vMerge w:val="restart"/>
            <w:tcBorders>
              <w:top w:val="single" w:sz="4" w:space="0" w:color="auto"/>
            </w:tcBorders>
            <w:shd w:val="clear" w:color="auto" w:fill="auto"/>
            <w:noWrap/>
            <w:vAlign w:val="center"/>
            <w:hideMark/>
          </w:tcPr>
          <w:p w14:paraId="2440A72B" w14:textId="39D50B78" w:rsidR="000E26F4" w:rsidRPr="00AC3D66" w:rsidRDefault="000E26F4" w:rsidP="00A60407">
            <w:pPr>
              <w:spacing w:after="0" w:line="240" w:lineRule="auto"/>
              <w:rPr>
                <w:rFonts w:eastAsia="Times New Roman" w:cstheme="minorHAnsi"/>
                <w:kern w:val="0"/>
                <w:sz w:val="18"/>
                <w:szCs w:val="18"/>
                <w14:ligatures w14:val="none"/>
              </w:rPr>
            </w:pPr>
            <w:r w:rsidRPr="00AC3D66">
              <w:rPr>
                <w:rFonts w:eastAsia="Times New Roman" w:cstheme="minorHAnsi"/>
                <w:color w:val="000000"/>
                <w:kern w:val="0"/>
                <w:sz w:val="18"/>
                <w:szCs w:val="18"/>
                <w14:ligatures w14:val="none"/>
              </w:rPr>
              <w:t>Start year</w:t>
            </w:r>
          </w:p>
        </w:tc>
        <w:tc>
          <w:tcPr>
            <w:tcW w:w="540" w:type="dxa"/>
            <w:vMerge w:val="restart"/>
            <w:tcBorders>
              <w:top w:val="single" w:sz="4" w:space="0" w:color="auto"/>
            </w:tcBorders>
            <w:shd w:val="clear" w:color="auto" w:fill="auto"/>
            <w:noWrap/>
            <w:vAlign w:val="center"/>
            <w:hideMark/>
          </w:tcPr>
          <w:p w14:paraId="5F59D797" w14:textId="3DF2AFAF" w:rsidR="000E26F4" w:rsidRPr="00AC3D66" w:rsidRDefault="000E26F4" w:rsidP="00A60407">
            <w:pPr>
              <w:spacing w:after="0" w:line="240" w:lineRule="auto"/>
              <w:rPr>
                <w:rFonts w:eastAsia="Times New Roman" w:cstheme="minorHAnsi"/>
                <w:kern w:val="0"/>
                <w:sz w:val="18"/>
                <w:szCs w:val="18"/>
                <w14:ligatures w14:val="none"/>
              </w:rPr>
            </w:pPr>
            <w:r w:rsidRPr="00AC3D66">
              <w:rPr>
                <w:rFonts w:eastAsia="Times New Roman" w:cstheme="minorHAnsi"/>
                <w:color w:val="000000"/>
                <w:kern w:val="0"/>
                <w:sz w:val="18"/>
                <w:szCs w:val="18"/>
                <w14:ligatures w14:val="none"/>
              </w:rPr>
              <w:t>End year</w:t>
            </w:r>
          </w:p>
        </w:tc>
        <w:tc>
          <w:tcPr>
            <w:tcW w:w="4225" w:type="dxa"/>
            <w:gridSpan w:val="4"/>
            <w:tcBorders>
              <w:top w:val="single" w:sz="4" w:space="0" w:color="auto"/>
            </w:tcBorders>
            <w:shd w:val="clear" w:color="auto" w:fill="auto"/>
            <w:noWrap/>
            <w:vAlign w:val="center"/>
            <w:hideMark/>
          </w:tcPr>
          <w:p w14:paraId="14B093D3" w14:textId="77777777" w:rsidR="000E26F4" w:rsidRPr="00AC3D66" w:rsidRDefault="000E26F4" w:rsidP="00A60407">
            <w:pPr>
              <w:spacing w:after="0" w:line="240" w:lineRule="auto"/>
              <w:jc w:val="center"/>
              <w:rPr>
                <w:rFonts w:eastAsia="Times New Roman" w:cstheme="minorHAnsi"/>
                <w:kern w:val="0"/>
                <w:sz w:val="18"/>
                <w:szCs w:val="18"/>
                <w14:ligatures w14:val="none"/>
              </w:rPr>
            </w:pPr>
            <w:r w:rsidRPr="00AC3D66">
              <w:rPr>
                <w:rFonts w:eastAsia="Times New Roman" w:cstheme="minorHAnsi"/>
                <w:color w:val="000000"/>
                <w:kern w:val="0"/>
                <w:sz w:val="18"/>
                <w:szCs w:val="18"/>
                <w14:ligatures w14:val="none"/>
              </w:rPr>
              <w:t>All patients with AFI, n</w:t>
            </w:r>
          </w:p>
        </w:tc>
        <w:tc>
          <w:tcPr>
            <w:tcW w:w="2880" w:type="dxa"/>
            <w:gridSpan w:val="3"/>
            <w:tcBorders>
              <w:top w:val="single" w:sz="4" w:space="0" w:color="auto"/>
            </w:tcBorders>
            <w:shd w:val="clear" w:color="auto" w:fill="auto"/>
            <w:noWrap/>
            <w:vAlign w:val="center"/>
            <w:hideMark/>
          </w:tcPr>
          <w:p w14:paraId="5523C291" w14:textId="6BB78AE8" w:rsidR="000E26F4" w:rsidRPr="00AC3D66" w:rsidRDefault="000E26F4" w:rsidP="00A60407">
            <w:pPr>
              <w:spacing w:after="0" w:line="240" w:lineRule="auto"/>
              <w:jc w:val="center"/>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 xml:space="preserve">Patients with positive </w:t>
            </w:r>
            <w:r w:rsidR="000E0825" w:rsidRPr="00AC3D66">
              <w:rPr>
                <w:rFonts w:eastAsia="Times New Roman" w:cstheme="minorHAnsi"/>
                <w:color w:val="000000"/>
                <w:kern w:val="0"/>
                <w:sz w:val="18"/>
                <w:szCs w:val="18"/>
                <w14:ligatures w14:val="none"/>
              </w:rPr>
              <w:t>m</w:t>
            </w:r>
            <w:r w:rsidRPr="00AC3D66">
              <w:rPr>
                <w:rFonts w:eastAsia="Times New Roman" w:cstheme="minorHAnsi"/>
                <w:color w:val="000000"/>
                <w:kern w:val="0"/>
                <w:sz w:val="18"/>
                <w:szCs w:val="18"/>
                <w14:ligatures w14:val="none"/>
              </w:rPr>
              <w:t>RDT ± microscopy, n (%)</w:t>
            </w:r>
          </w:p>
        </w:tc>
      </w:tr>
      <w:tr w:rsidR="000E26F4" w:rsidRPr="00AC3D66" w14:paraId="4F254F09" w14:textId="77777777" w:rsidTr="00AD5979">
        <w:trPr>
          <w:trHeight w:val="300"/>
        </w:trPr>
        <w:tc>
          <w:tcPr>
            <w:tcW w:w="1435" w:type="dxa"/>
            <w:vMerge/>
            <w:noWrap/>
            <w:vAlign w:val="center"/>
            <w:hideMark/>
          </w:tcPr>
          <w:p w14:paraId="19D56303" w14:textId="22E43C11" w:rsidR="000E26F4" w:rsidRPr="00AC3D66" w:rsidRDefault="000E26F4" w:rsidP="00A60407">
            <w:pPr>
              <w:spacing w:after="0" w:line="240" w:lineRule="auto"/>
              <w:jc w:val="center"/>
              <w:rPr>
                <w:rFonts w:eastAsia="Times New Roman" w:cstheme="minorHAnsi"/>
                <w:color w:val="000000"/>
                <w:kern w:val="0"/>
                <w:sz w:val="18"/>
                <w:szCs w:val="18"/>
                <w14:ligatures w14:val="none"/>
              </w:rPr>
            </w:pPr>
          </w:p>
        </w:tc>
        <w:tc>
          <w:tcPr>
            <w:tcW w:w="905" w:type="dxa"/>
            <w:vMerge/>
            <w:noWrap/>
            <w:vAlign w:val="center"/>
            <w:hideMark/>
          </w:tcPr>
          <w:p w14:paraId="2A441ACB" w14:textId="58531E0B" w:rsidR="000E26F4" w:rsidRPr="00AC3D66" w:rsidRDefault="000E26F4" w:rsidP="00A60407">
            <w:pPr>
              <w:spacing w:after="0" w:line="240" w:lineRule="auto"/>
              <w:jc w:val="center"/>
              <w:rPr>
                <w:rFonts w:eastAsia="Times New Roman" w:cstheme="minorHAnsi"/>
                <w:color w:val="000000"/>
                <w:kern w:val="0"/>
                <w:sz w:val="18"/>
                <w:szCs w:val="18"/>
                <w14:ligatures w14:val="none"/>
              </w:rPr>
            </w:pPr>
          </w:p>
        </w:tc>
        <w:tc>
          <w:tcPr>
            <w:tcW w:w="540" w:type="dxa"/>
            <w:vMerge/>
            <w:noWrap/>
            <w:vAlign w:val="center"/>
            <w:hideMark/>
          </w:tcPr>
          <w:p w14:paraId="11C4BA23" w14:textId="423ACFB0" w:rsidR="000E26F4" w:rsidRPr="00AC3D66" w:rsidRDefault="000E26F4" w:rsidP="00A60407">
            <w:pPr>
              <w:spacing w:after="0" w:line="240" w:lineRule="auto"/>
              <w:jc w:val="center"/>
              <w:rPr>
                <w:rFonts w:eastAsia="Times New Roman" w:cstheme="minorHAnsi"/>
                <w:color w:val="000000"/>
                <w:kern w:val="0"/>
                <w:sz w:val="18"/>
                <w:szCs w:val="18"/>
                <w14:ligatures w14:val="none"/>
              </w:rPr>
            </w:pPr>
          </w:p>
        </w:tc>
        <w:tc>
          <w:tcPr>
            <w:tcW w:w="1260" w:type="dxa"/>
            <w:tcBorders>
              <w:bottom w:val="single" w:sz="4" w:space="0" w:color="auto"/>
            </w:tcBorders>
            <w:shd w:val="clear" w:color="auto" w:fill="auto"/>
            <w:noWrap/>
            <w:vAlign w:val="center"/>
            <w:hideMark/>
          </w:tcPr>
          <w:p w14:paraId="432582C4" w14:textId="77777777" w:rsidR="000E26F4" w:rsidRPr="00AC3D66" w:rsidRDefault="000E26F4" w:rsidP="00A60407">
            <w:pPr>
              <w:spacing w:after="0" w:line="240" w:lineRule="auto"/>
              <w:jc w:val="center"/>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Total</w:t>
            </w:r>
          </w:p>
        </w:tc>
        <w:tc>
          <w:tcPr>
            <w:tcW w:w="900" w:type="dxa"/>
            <w:tcBorders>
              <w:bottom w:val="single" w:sz="4" w:space="0" w:color="auto"/>
            </w:tcBorders>
            <w:shd w:val="clear" w:color="auto" w:fill="auto"/>
            <w:noWrap/>
            <w:vAlign w:val="center"/>
            <w:hideMark/>
          </w:tcPr>
          <w:p w14:paraId="11167FEF" w14:textId="3B46611D" w:rsidR="000E26F4" w:rsidRPr="00AC3D66" w:rsidRDefault="000E0825" w:rsidP="00A60407">
            <w:pPr>
              <w:spacing w:after="0" w:line="240" w:lineRule="auto"/>
              <w:jc w:val="center"/>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m</w:t>
            </w:r>
            <w:r w:rsidR="000E26F4" w:rsidRPr="00AC3D66">
              <w:rPr>
                <w:rFonts w:eastAsia="Times New Roman" w:cstheme="minorHAnsi"/>
                <w:color w:val="000000"/>
                <w:kern w:val="0"/>
                <w:sz w:val="18"/>
                <w:szCs w:val="18"/>
                <w14:ligatures w14:val="none"/>
              </w:rPr>
              <w:t>RDT</w:t>
            </w:r>
          </w:p>
        </w:tc>
        <w:tc>
          <w:tcPr>
            <w:tcW w:w="1145" w:type="dxa"/>
            <w:tcBorders>
              <w:bottom w:val="single" w:sz="4" w:space="0" w:color="auto"/>
            </w:tcBorders>
            <w:shd w:val="clear" w:color="auto" w:fill="auto"/>
            <w:noWrap/>
            <w:vAlign w:val="center"/>
            <w:hideMark/>
          </w:tcPr>
          <w:p w14:paraId="2736A86D" w14:textId="77777777" w:rsidR="000E26F4" w:rsidRPr="00AC3D66" w:rsidRDefault="000E26F4" w:rsidP="00A60407">
            <w:pPr>
              <w:spacing w:after="0" w:line="240" w:lineRule="auto"/>
              <w:jc w:val="center"/>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Microscopy</w:t>
            </w:r>
          </w:p>
        </w:tc>
        <w:tc>
          <w:tcPr>
            <w:tcW w:w="920" w:type="dxa"/>
            <w:tcBorders>
              <w:bottom w:val="single" w:sz="4" w:space="0" w:color="auto"/>
            </w:tcBorders>
            <w:shd w:val="clear" w:color="auto" w:fill="auto"/>
            <w:noWrap/>
            <w:vAlign w:val="center"/>
            <w:hideMark/>
          </w:tcPr>
          <w:p w14:paraId="76E824B4" w14:textId="77777777" w:rsidR="000E26F4" w:rsidRPr="00AC3D66" w:rsidRDefault="000E26F4" w:rsidP="00A60407">
            <w:pPr>
              <w:spacing w:after="0" w:line="240" w:lineRule="auto"/>
              <w:jc w:val="center"/>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PCR</w:t>
            </w:r>
          </w:p>
        </w:tc>
        <w:tc>
          <w:tcPr>
            <w:tcW w:w="980" w:type="dxa"/>
            <w:tcBorders>
              <w:bottom w:val="single" w:sz="4" w:space="0" w:color="auto"/>
            </w:tcBorders>
            <w:shd w:val="clear" w:color="auto" w:fill="auto"/>
            <w:noWrap/>
            <w:vAlign w:val="center"/>
            <w:hideMark/>
          </w:tcPr>
          <w:p w14:paraId="42D4F5B1" w14:textId="77777777" w:rsidR="000E26F4" w:rsidRPr="00AC3D66" w:rsidRDefault="000E26F4" w:rsidP="00A60407">
            <w:pPr>
              <w:spacing w:after="0" w:line="240" w:lineRule="auto"/>
              <w:jc w:val="center"/>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 xml:space="preserve">Total </w:t>
            </w:r>
          </w:p>
        </w:tc>
        <w:tc>
          <w:tcPr>
            <w:tcW w:w="825" w:type="dxa"/>
            <w:tcBorders>
              <w:bottom w:val="single" w:sz="4" w:space="0" w:color="auto"/>
            </w:tcBorders>
            <w:shd w:val="clear" w:color="auto" w:fill="auto"/>
            <w:noWrap/>
            <w:vAlign w:val="center"/>
            <w:hideMark/>
          </w:tcPr>
          <w:p w14:paraId="7EE25B24" w14:textId="6141FE4A" w:rsidR="000E26F4" w:rsidRPr="00AC3D66" w:rsidRDefault="000E0825" w:rsidP="00A60407">
            <w:pPr>
              <w:spacing w:after="0" w:line="240" w:lineRule="auto"/>
              <w:jc w:val="center"/>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m</w:t>
            </w:r>
            <w:r w:rsidR="000E26F4" w:rsidRPr="00AC3D66">
              <w:rPr>
                <w:rFonts w:eastAsia="Times New Roman" w:cstheme="minorHAnsi"/>
                <w:color w:val="000000"/>
                <w:kern w:val="0"/>
                <w:sz w:val="18"/>
                <w:szCs w:val="18"/>
                <w14:ligatures w14:val="none"/>
              </w:rPr>
              <w:t>RDT</w:t>
            </w:r>
          </w:p>
        </w:tc>
        <w:tc>
          <w:tcPr>
            <w:tcW w:w="1075" w:type="dxa"/>
            <w:tcBorders>
              <w:bottom w:val="single" w:sz="4" w:space="0" w:color="auto"/>
            </w:tcBorders>
            <w:shd w:val="clear" w:color="auto" w:fill="auto"/>
            <w:noWrap/>
            <w:vAlign w:val="center"/>
            <w:hideMark/>
          </w:tcPr>
          <w:p w14:paraId="4CCF7E18" w14:textId="77777777" w:rsidR="000E26F4" w:rsidRPr="00AC3D66" w:rsidRDefault="000E26F4" w:rsidP="00A60407">
            <w:pPr>
              <w:spacing w:after="0" w:line="240" w:lineRule="auto"/>
              <w:jc w:val="center"/>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Microscopy</w:t>
            </w:r>
          </w:p>
        </w:tc>
      </w:tr>
      <w:tr w:rsidR="000E26F4" w:rsidRPr="00AC3D66" w14:paraId="6EE06216" w14:textId="77777777" w:rsidTr="00AD5979">
        <w:trPr>
          <w:trHeight w:val="300"/>
        </w:trPr>
        <w:tc>
          <w:tcPr>
            <w:tcW w:w="1435" w:type="dxa"/>
            <w:tcBorders>
              <w:top w:val="single" w:sz="4" w:space="0" w:color="auto"/>
            </w:tcBorders>
            <w:shd w:val="clear" w:color="auto" w:fill="auto"/>
            <w:noWrap/>
            <w:hideMark/>
          </w:tcPr>
          <w:p w14:paraId="6555F0D2" w14:textId="77777777" w:rsidR="002D22B7" w:rsidRPr="00AC3D66" w:rsidRDefault="002D22B7" w:rsidP="00A60407">
            <w:pPr>
              <w:spacing w:after="0" w:line="240" w:lineRule="auto"/>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Busia CRH</w:t>
            </w:r>
          </w:p>
        </w:tc>
        <w:tc>
          <w:tcPr>
            <w:tcW w:w="905" w:type="dxa"/>
            <w:tcBorders>
              <w:top w:val="single" w:sz="4" w:space="0" w:color="auto"/>
            </w:tcBorders>
            <w:shd w:val="clear" w:color="auto" w:fill="auto"/>
            <w:noWrap/>
            <w:hideMark/>
          </w:tcPr>
          <w:p w14:paraId="2D049F5A"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2021</w:t>
            </w:r>
          </w:p>
        </w:tc>
        <w:tc>
          <w:tcPr>
            <w:tcW w:w="540" w:type="dxa"/>
            <w:tcBorders>
              <w:top w:val="single" w:sz="4" w:space="0" w:color="auto"/>
            </w:tcBorders>
            <w:shd w:val="clear" w:color="auto" w:fill="auto"/>
            <w:noWrap/>
            <w:hideMark/>
          </w:tcPr>
          <w:p w14:paraId="25620B3A"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NA</w:t>
            </w:r>
          </w:p>
        </w:tc>
        <w:tc>
          <w:tcPr>
            <w:tcW w:w="1260" w:type="dxa"/>
            <w:tcBorders>
              <w:top w:val="single" w:sz="4" w:space="0" w:color="auto"/>
            </w:tcBorders>
            <w:shd w:val="clear" w:color="auto" w:fill="auto"/>
            <w:noWrap/>
            <w:hideMark/>
          </w:tcPr>
          <w:p w14:paraId="3D556725"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1131</w:t>
            </w:r>
          </w:p>
        </w:tc>
        <w:tc>
          <w:tcPr>
            <w:tcW w:w="900" w:type="dxa"/>
            <w:tcBorders>
              <w:top w:val="single" w:sz="4" w:space="0" w:color="auto"/>
            </w:tcBorders>
            <w:shd w:val="clear" w:color="auto" w:fill="auto"/>
            <w:noWrap/>
            <w:hideMark/>
          </w:tcPr>
          <w:p w14:paraId="1062BD54"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1131</w:t>
            </w:r>
          </w:p>
        </w:tc>
        <w:tc>
          <w:tcPr>
            <w:tcW w:w="1145" w:type="dxa"/>
            <w:tcBorders>
              <w:top w:val="single" w:sz="4" w:space="0" w:color="auto"/>
            </w:tcBorders>
            <w:shd w:val="clear" w:color="auto" w:fill="auto"/>
            <w:noWrap/>
            <w:hideMark/>
          </w:tcPr>
          <w:p w14:paraId="3705EC8C"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1123</w:t>
            </w:r>
          </w:p>
        </w:tc>
        <w:tc>
          <w:tcPr>
            <w:tcW w:w="920" w:type="dxa"/>
            <w:tcBorders>
              <w:top w:val="single" w:sz="4" w:space="0" w:color="auto"/>
            </w:tcBorders>
            <w:shd w:val="clear" w:color="auto" w:fill="auto"/>
            <w:noWrap/>
            <w:hideMark/>
          </w:tcPr>
          <w:p w14:paraId="79509710"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455</w:t>
            </w:r>
          </w:p>
        </w:tc>
        <w:tc>
          <w:tcPr>
            <w:tcW w:w="980" w:type="dxa"/>
            <w:tcBorders>
              <w:top w:val="single" w:sz="4" w:space="0" w:color="auto"/>
            </w:tcBorders>
            <w:shd w:val="clear" w:color="auto" w:fill="auto"/>
            <w:noWrap/>
            <w:hideMark/>
          </w:tcPr>
          <w:p w14:paraId="23C049B5"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509 (0.45)</w:t>
            </w:r>
          </w:p>
        </w:tc>
        <w:tc>
          <w:tcPr>
            <w:tcW w:w="825" w:type="dxa"/>
            <w:tcBorders>
              <w:top w:val="single" w:sz="4" w:space="0" w:color="auto"/>
            </w:tcBorders>
            <w:shd w:val="clear" w:color="auto" w:fill="auto"/>
            <w:noWrap/>
            <w:hideMark/>
          </w:tcPr>
          <w:p w14:paraId="22D87933"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509 (0.45)</w:t>
            </w:r>
          </w:p>
        </w:tc>
        <w:tc>
          <w:tcPr>
            <w:tcW w:w="1075" w:type="dxa"/>
            <w:tcBorders>
              <w:top w:val="single" w:sz="4" w:space="0" w:color="auto"/>
            </w:tcBorders>
            <w:shd w:val="clear" w:color="auto" w:fill="auto"/>
            <w:noWrap/>
            <w:hideMark/>
          </w:tcPr>
          <w:p w14:paraId="65AE6833"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505 (0.45)</w:t>
            </w:r>
          </w:p>
        </w:tc>
      </w:tr>
      <w:tr w:rsidR="000E26F4" w:rsidRPr="00AC3D66" w14:paraId="40502054" w14:textId="77777777" w:rsidTr="00AD5979">
        <w:trPr>
          <w:trHeight w:val="300"/>
        </w:trPr>
        <w:tc>
          <w:tcPr>
            <w:tcW w:w="1435" w:type="dxa"/>
            <w:shd w:val="clear" w:color="auto" w:fill="auto"/>
            <w:noWrap/>
            <w:hideMark/>
          </w:tcPr>
          <w:p w14:paraId="311FE5F9" w14:textId="7FAE32FE" w:rsidR="002D22B7" w:rsidRPr="00AC3D66" w:rsidRDefault="002D22B7" w:rsidP="00A60407">
            <w:pPr>
              <w:spacing w:after="0" w:line="240" w:lineRule="auto"/>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Coast G</w:t>
            </w:r>
            <w:r w:rsidR="00BA0A65" w:rsidRPr="00AC3D66">
              <w:rPr>
                <w:rFonts w:eastAsia="Times New Roman" w:cstheme="minorHAnsi"/>
                <w:color w:val="000000"/>
                <w:kern w:val="0"/>
                <w:sz w:val="18"/>
                <w:szCs w:val="18"/>
                <w14:ligatures w14:val="none"/>
              </w:rPr>
              <w:t xml:space="preserve">eneral </w:t>
            </w:r>
            <w:r w:rsidRPr="00AC3D66">
              <w:rPr>
                <w:rFonts w:eastAsia="Times New Roman" w:cstheme="minorHAnsi"/>
                <w:color w:val="000000"/>
                <w:kern w:val="0"/>
                <w:sz w:val="18"/>
                <w:szCs w:val="18"/>
                <w14:ligatures w14:val="none"/>
              </w:rPr>
              <w:t>TRH</w:t>
            </w:r>
            <w:r w:rsidR="00B52BFE" w:rsidRPr="00AC3D66">
              <w:rPr>
                <w:rFonts w:eastAsia="Times New Roman" w:cstheme="minorHAnsi"/>
                <w:color w:val="000000"/>
                <w:kern w:val="0"/>
                <w:sz w:val="18"/>
                <w:szCs w:val="18"/>
                <w14:ligatures w14:val="none"/>
              </w:rPr>
              <w:t xml:space="preserve"> (Mombasa)</w:t>
            </w:r>
          </w:p>
        </w:tc>
        <w:tc>
          <w:tcPr>
            <w:tcW w:w="905" w:type="dxa"/>
            <w:shd w:val="clear" w:color="auto" w:fill="auto"/>
            <w:noWrap/>
            <w:hideMark/>
          </w:tcPr>
          <w:p w14:paraId="2FC63E3A"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2018</w:t>
            </w:r>
          </w:p>
        </w:tc>
        <w:tc>
          <w:tcPr>
            <w:tcW w:w="540" w:type="dxa"/>
            <w:shd w:val="clear" w:color="auto" w:fill="auto"/>
            <w:noWrap/>
            <w:hideMark/>
          </w:tcPr>
          <w:p w14:paraId="634DF675"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NA</w:t>
            </w:r>
          </w:p>
        </w:tc>
        <w:tc>
          <w:tcPr>
            <w:tcW w:w="1260" w:type="dxa"/>
            <w:shd w:val="clear" w:color="auto" w:fill="auto"/>
            <w:noWrap/>
            <w:hideMark/>
          </w:tcPr>
          <w:p w14:paraId="40F4D9F8"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905</w:t>
            </w:r>
          </w:p>
        </w:tc>
        <w:tc>
          <w:tcPr>
            <w:tcW w:w="900" w:type="dxa"/>
            <w:shd w:val="clear" w:color="auto" w:fill="auto"/>
            <w:noWrap/>
            <w:hideMark/>
          </w:tcPr>
          <w:p w14:paraId="0C5AD56A"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892</w:t>
            </w:r>
          </w:p>
        </w:tc>
        <w:tc>
          <w:tcPr>
            <w:tcW w:w="1145" w:type="dxa"/>
            <w:shd w:val="clear" w:color="auto" w:fill="auto"/>
            <w:noWrap/>
            <w:hideMark/>
          </w:tcPr>
          <w:p w14:paraId="13BA0094"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587</w:t>
            </w:r>
          </w:p>
        </w:tc>
        <w:tc>
          <w:tcPr>
            <w:tcW w:w="920" w:type="dxa"/>
            <w:shd w:val="clear" w:color="auto" w:fill="auto"/>
            <w:noWrap/>
            <w:hideMark/>
          </w:tcPr>
          <w:p w14:paraId="61B4E2AA"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725</w:t>
            </w:r>
          </w:p>
        </w:tc>
        <w:tc>
          <w:tcPr>
            <w:tcW w:w="980" w:type="dxa"/>
            <w:shd w:val="clear" w:color="auto" w:fill="auto"/>
            <w:noWrap/>
            <w:hideMark/>
          </w:tcPr>
          <w:p w14:paraId="736876BC"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200 (0.22)</w:t>
            </w:r>
          </w:p>
        </w:tc>
        <w:tc>
          <w:tcPr>
            <w:tcW w:w="825" w:type="dxa"/>
            <w:shd w:val="clear" w:color="auto" w:fill="auto"/>
            <w:noWrap/>
            <w:hideMark/>
          </w:tcPr>
          <w:p w14:paraId="09A0087B"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200 (0.22)</w:t>
            </w:r>
          </w:p>
        </w:tc>
        <w:tc>
          <w:tcPr>
            <w:tcW w:w="1075" w:type="dxa"/>
            <w:shd w:val="clear" w:color="auto" w:fill="auto"/>
            <w:noWrap/>
            <w:hideMark/>
          </w:tcPr>
          <w:p w14:paraId="5B7205AA"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120 (0.20)</w:t>
            </w:r>
          </w:p>
        </w:tc>
      </w:tr>
      <w:tr w:rsidR="000E26F4" w:rsidRPr="00AC3D66" w14:paraId="53176129" w14:textId="77777777" w:rsidTr="00AD5979">
        <w:trPr>
          <w:trHeight w:val="300"/>
        </w:trPr>
        <w:tc>
          <w:tcPr>
            <w:tcW w:w="1435" w:type="dxa"/>
            <w:shd w:val="clear" w:color="auto" w:fill="auto"/>
            <w:noWrap/>
            <w:hideMark/>
          </w:tcPr>
          <w:p w14:paraId="5CF4FAA0" w14:textId="6D4FAB9A" w:rsidR="002D22B7" w:rsidRPr="00DD3E94" w:rsidRDefault="002D22B7" w:rsidP="00A60407">
            <w:pPr>
              <w:spacing w:after="0" w:line="240" w:lineRule="auto"/>
              <w:rPr>
                <w:rFonts w:eastAsia="Times New Roman" w:cstheme="minorHAnsi"/>
                <w:color w:val="000000"/>
                <w:kern w:val="0"/>
                <w:sz w:val="18"/>
                <w:szCs w:val="18"/>
                <w:lang w:val="pt-PT"/>
                <w14:ligatures w14:val="none"/>
              </w:rPr>
            </w:pPr>
            <w:r w:rsidRPr="00DD3E94">
              <w:rPr>
                <w:rFonts w:eastAsia="Times New Roman" w:cstheme="minorHAnsi"/>
                <w:color w:val="000000"/>
                <w:kern w:val="0"/>
                <w:sz w:val="18"/>
                <w:szCs w:val="18"/>
                <w:lang w:val="pt-PT"/>
                <w14:ligatures w14:val="none"/>
              </w:rPr>
              <w:t>J</w:t>
            </w:r>
            <w:r w:rsidR="00B52BFE" w:rsidRPr="00DD3E94">
              <w:rPr>
                <w:rFonts w:eastAsia="Times New Roman" w:cstheme="minorHAnsi"/>
                <w:color w:val="000000"/>
                <w:kern w:val="0"/>
                <w:sz w:val="18"/>
                <w:szCs w:val="18"/>
                <w:lang w:val="pt-PT"/>
                <w14:ligatures w14:val="none"/>
              </w:rPr>
              <w:t xml:space="preserve">Jaramogi Oginga Odinga </w:t>
            </w:r>
            <w:r w:rsidRPr="00DD3E94">
              <w:rPr>
                <w:rFonts w:eastAsia="Times New Roman" w:cstheme="minorHAnsi"/>
                <w:color w:val="000000"/>
                <w:kern w:val="0"/>
                <w:sz w:val="18"/>
                <w:szCs w:val="18"/>
                <w:lang w:val="pt-PT"/>
                <w14:ligatures w14:val="none"/>
              </w:rPr>
              <w:t>TRH</w:t>
            </w:r>
            <w:r w:rsidR="00B52BFE" w:rsidRPr="00DD3E94">
              <w:rPr>
                <w:rFonts w:eastAsia="Times New Roman" w:cstheme="minorHAnsi"/>
                <w:color w:val="000000"/>
                <w:kern w:val="0"/>
                <w:sz w:val="18"/>
                <w:szCs w:val="18"/>
                <w:lang w:val="pt-PT"/>
                <w14:ligatures w14:val="none"/>
              </w:rPr>
              <w:t xml:space="preserve"> (Kisumu)</w:t>
            </w:r>
          </w:p>
        </w:tc>
        <w:tc>
          <w:tcPr>
            <w:tcW w:w="905" w:type="dxa"/>
            <w:shd w:val="clear" w:color="auto" w:fill="auto"/>
            <w:noWrap/>
            <w:hideMark/>
          </w:tcPr>
          <w:p w14:paraId="3D3FAA3C"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2022</w:t>
            </w:r>
          </w:p>
        </w:tc>
        <w:tc>
          <w:tcPr>
            <w:tcW w:w="540" w:type="dxa"/>
            <w:shd w:val="clear" w:color="auto" w:fill="auto"/>
            <w:noWrap/>
            <w:hideMark/>
          </w:tcPr>
          <w:p w14:paraId="4E729F08"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NA</w:t>
            </w:r>
          </w:p>
        </w:tc>
        <w:tc>
          <w:tcPr>
            <w:tcW w:w="1260" w:type="dxa"/>
            <w:shd w:val="clear" w:color="auto" w:fill="auto"/>
            <w:noWrap/>
            <w:hideMark/>
          </w:tcPr>
          <w:p w14:paraId="1E4BCA94"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409</w:t>
            </w:r>
          </w:p>
        </w:tc>
        <w:tc>
          <w:tcPr>
            <w:tcW w:w="900" w:type="dxa"/>
            <w:shd w:val="clear" w:color="auto" w:fill="auto"/>
            <w:noWrap/>
            <w:hideMark/>
          </w:tcPr>
          <w:p w14:paraId="5CA74CFB"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400</w:t>
            </w:r>
          </w:p>
        </w:tc>
        <w:tc>
          <w:tcPr>
            <w:tcW w:w="1145" w:type="dxa"/>
            <w:shd w:val="clear" w:color="auto" w:fill="auto"/>
            <w:noWrap/>
            <w:hideMark/>
          </w:tcPr>
          <w:p w14:paraId="19412263"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388</w:t>
            </w:r>
          </w:p>
        </w:tc>
        <w:tc>
          <w:tcPr>
            <w:tcW w:w="920" w:type="dxa"/>
            <w:shd w:val="clear" w:color="auto" w:fill="auto"/>
            <w:noWrap/>
            <w:hideMark/>
          </w:tcPr>
          <w:p w14:paraId="72D0E456"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193</w:t>
            </w:r>
          </w:p>
        </w:tc>
        <w:tc>
          <w:tcPr>
            <w:tcW w:w="980" w:type="dxa"/>
            <w:shd w:val="clear" w:color="auto" w:fill="auto"/>
            <w:noWrap/>
            <w:hideMark/>
          </w:tcPr>
          <w:p w14:paraId="52D4B62B"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163 (0.40)</w:t>
            </w:r>
          </w:p>
        </w:tc>
        <w:tc>
          <w:tcPr>
            <w:tcW w:w="825" w:type="dxa"/>
            <w:shd w:val="clear" w:color="auto" w:fill="auto"/>
            <w:noWrap/>
            <w:hideMark/>
          </w:tcPr>
          <w:p w14:paraId="455D846F"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163 (0.41)</w:t>
            </w:r>
          </w:p>
        </w:tc>
        <w:tc>
          <w:tcPr>
            <w:tcW w:w="1075" w:type="dxa"/>
            <w:shd w:val="clear" w:color="auto" w:fill="auto"/>
            <w:noWrap/>
            <w:hideMark/>
          </w:tcPr>
          <w:p w14:paraId="2FAE76FC"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157 (0.40)</w:t>
            </w:r>
          </w:p>
        </w:tc>
      </w:tr>
      <w:tr w:rsidR="000E26F4" w:rsidRPr="00AC3D66" w14:paraId="0E3B249E" w14:textId="77777777" w:rsidTr="00AD5979">
        <w:trPr>
          <w:trHeight w:val="300"/>
        </w:trPr>
        <w:tc>
          <w:tcPr>
            <w:tcW w:w="1435" w:type="dxa"/>
            <w:shd w:val="clear" w:color="auto" w:fill="auto"/>
            <w:noWrap/>
            <w:hideMark/>
          </w:tcPr>
          <w:p w14:paraId="42F743E7" w14:textId="77777777" w:rsidR="002D22B7" w:rsidRPr="00AC3D66" w:rsidRDefault="002D22B7" w:rsidP="00A60407">
            <w:pPr>
              <w:spacing w:after="0" w:line="240" w:lineRule="auto"/>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Kakamega CRH</w:t>
            </w:r>
          </w:p>
        </w:tc>
        <w:tc>
          <w:tcPr>
            <w:tcW w:w="905" w:type="dxa"/>
            <w:shd w:val="clear" w:color="auto" w:fill="auto"/>
            <w:noWrap/>
            <w:hideMark/>
          </w:tcPr>
          <w:p w14:paraId="22F4BEE0"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2017</w:t>
            </w:r>
          </w:p>
        </w:tc>
        <w:tc>
          <w:tcPr>
            <w:tcW w:w="540" w:type="dxa"/>
            <w:shd w:val="clear" w:color="auto" w:fill="auto"/>
            <w:noWrap/>
            <w:hideMark/>
          </w:tcPr>
          <w:p w14:paraId="224B5591"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2021</w:t>
            </w:r>
          </w:p>
        </w:tc>
        <w:tc>
          <w:tcPr>
            <w:tcW w:w="1260" w:type="dxa"/>
            <w:shd w:val="clear" w:color="auto" w:fill="auto"/>
            <w:noWrap/>
            <w:hideMark/>
          </w:tcPr>
          <w:p w14:paraId="3F1E6C60"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562</w:t>
            </w:r>
          </w:p>
        </w:tc>
        <w:tc>
          <w:tcPr>
            <w:tcW w:w="900" w:type="dxa"/>
            <w:shd w:val="clear" w:color="auto" w:fill="auto"/>
            <w:noWrap/>
            <w:hideMark/>
          </w:tcPr>
          <w:p w14:paraId="0D306A68"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530</w:t>
            </w:r>
          </w:p>
        </w:tc>
        <w:tc>
          <w:tcPr>
            <w:tcW w:w="1145" w:type="dxa"/>
            <w:shd w:val="clear" w:color="auto" w:fill="auto"/>
            <w:noWrap/>
            <w:hideMark/>
          </w:tcPr>
          <w:p w14:paraId="156ECEDB"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448</w:t>
            </w:r>
          </w:p>
        </w:tc>
        <w:tc>
          <w:tcPr>
            <w:tcW w:w="920" w:type="dxa"/>
            <w:shd w:val="clear" w:color="auto" w:fill="auto"/>
            <w:noWrap/>
            <w:hideMark/>
          </w:tcPr>
          <w:p w14:paraId="57026E71"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429</w:t>
            </w:r>
          </w:p>
        </w:tc>
        <w:tc>
          <w:tcPr>
            <w:tcW w:w="980" w:type="dxa"/>
            <w:shd w:val="clear" w:color="auto" w:fill="auto"/>
            <w:noWrap/>
            <w:hideMark/>
          </w:tcPr>
          <w:p w14:paraId="1353B873"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274 (0.49)</w:t>
            </w:r>
          </w:p>
        </w:tc>
        <w:tc>
          <w:tcPr>
            <w:tcW w:w="825" w:type="dxa"/>
            <w:shd w:val="clear" w:color="auto" w:fill="auto"/>
            <w:noWrap/>
            <w:hideMark/>
          </w:tcPr>
          <w:p w14:paraId="0DD7CDA0"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272 (0.51)</w:t>
            </w:r>
          </w:p>
        </w:tc>
        <w:tc>
          <w:tcPr>
            <w:tcW w:w="1075" w:type="dxa"/>
            <w:shd w:val="clear" w:color="auto" w:fill="auto"/>
            <w:noWrap/>
            <w:hideMark/>
          </w:tcPr>
          <w:p w14:paraId="2AF82F4B"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227 (0.51)</w:t>
            </w:r>
          </w:p>
        </w:tc>
      </w:tr>
      <w:tr w:rsidR="000E26F4" w:rsidRPr="00AC3D66" w14:paraId="3D367477" w14:textId="77777777" w:rsidTr="00AD5979">
        <w:trPr>
          <w:trHeight w:val="300"/>
        </w:trPr>
        <w:tc>
          <w:tcPr>
            <w:tcW w:w="1435" w:type="dxa"/>
            <w:shd w:val="clear" w:color="auto" w:fill="auto"/>
            <w:noWrap/>
            <w:hideMark/>
          </w:tcPr>
          <w:p w14:paraId="0DF8891C" w14:textId="77777777" w:rsidR="002D22B7" w:rsidRPr="00AC3D66" w:rsidRDefault="002D22B7" w:rsidP="00A60407">
            <w:pPr>
              <w:spacing w:after="0" w:line="240" w:lineRule="auto"/>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Kakuma MH</w:t>
            </w:r>
          </w:p>
        </w:tc>
        <w:tc>
          <w:tcPr>
            <w:tcW w:w="905" w:type="dxa"/>
            <w:shd w:val="clear" w:color="auto" w:fill="auto"/>
            <w:noWrap/>
            <w:hideMark/>
          </w:tcPr>
          <w:p w14:paraId="12B0A422"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2017</w:t>
            </w:r>
          </w:p>
        </w:tc>
        <w:tc>
          <w:tcPr>
            <w:tcW w:w="540" w:type="dxa"/>
            <w:shd w:val="clear" w:color="auto" w:fill="auto"/>
            <w:noWrap/>
            <w:hideMark/>
          </w:tcPr>
          <w:p w14:paraId="1D955F3B"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2021</w:t>
            </w:r>
          </w:p>
        </w:tc>
        <w:tc>
          <w:tcPr>
            <w:tcW w:w="1260" w:type="dxa"/>
            <w:shd w:val="clear" w:color="auto" w:fill="auto"/>
            <w:noWrap/>
            <w:hideMark/>
          </w:tcPr>
          <w:p w14:paraId="06731ABA"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2099</w:t>
            </w:r>
          </w:p>
        </w:tc>
        <w:tc>
          <w:tcPr>
            <w:tcW w:w="900" w:type="dxa"/>
            <w:shd w:val="clear" w:color="auto" w:fill="auto"/>
            <w:noWrap/>
            <w:hideMark/>
          </w:tcPr>
          <w:p w14:paraId="08D4FF35"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1972</w:t>
            </w:r>
          </w:p>
        </w:tc>
        <w:tc>
          <w:tcPr>
            <w:tcW w:w="1145" w:type="dxa"/>
            <w:shd w:val="clear" w:color="auto" w:fill="auto"/>
            <w:noWrap/>
            <w:hideMark/>
          </w:tcPr>
          <w:p w14:paraId="6E4F391E"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1267</w:t>
            </w:r>
          </w:p>
        </w:tc>
        <w:tc>
          <w:tcPr>
            <w:tcW w:w="920" w:type="dxa"/>
            <w:shd w:val="clear" w:color="auto" w:fill="auto"/>
            <w:noWrap/>
            <w:hideMark/>
          </w:tcPr>
          <w:p w14:paraId="704F1BD2"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1301</w:t>
            </w:r>
          </w:p>
        </w:tc>
        <w:tc>
          <w:tcPr>
            <w:tcW w:w="980" w:type="dxa"/>
            <w:shd w:val="clear" w:color="auto" w:fill="auto"/>
            <w:noWrap/>
            <w:hideMark/>
          </w:tcPr>
          <w:p w14:paraId="25EB4518"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759 (0.36)</w:t>
            </w:r>
          </w:p>
        </w:tc>
        <w:tc>
          <w:tcPr>
            <w:tcW w:w="825" w:type="dxa"/>
            <w:shd w:val="clear" w:color="auto" w:fill="auto"/>
            <w:noWrap/>
            <w:hideMark/>
          </w:tcPr>
          <w:p w14:paraId="4DC682A8"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757 (0.38)</w:t>
            </w:r>
          </w:p>
        </w:tc>
        <w:tc>
          <w:tcPr>
            <w:tcW w:w="1075" w:type="dxa"/>
            <w:shd w:val="clear" w:color="auto" w:fill="auto"/>
            <w:noWrap/>
            <w:hideMark/>
          </w:tcPr>
          <w:p w14:paraId="538F582C"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503 (0.40)</w:t>
            </w:r>
          </w:p>
        </w:tc>
      </w:tr>
      <w:tr w:rsidR="000E26F4" w:rsidRPr="00AC3D66" w14:paraId="33B8A482" w14:textId="77777777" w:rsidTr="00AD5979">
        <w:trPr>
          <w:trHeight w:val="300"/>
        </w:trPr>
        <w:tc>
          <w:tcPr>
            <w:tcW w:w="1435" w:type="dxa"/>
            <w:shd w:val="clear" w:color="auto" w:fill="auto"/>
            <w:noWrap/>
            <w:hideMark/>
          </w:tcPr>
          <w:p w14:paraId="6D1EC2F5" w14:textId="77777777" w:rsidR="002D22B7" w:rsidRPr="00AC3D66" w:rsidRDefault="002D22B7" w:rsidP="00A60407">
            <w:pPr>
              <w:spacing w:after="0" w:line="240" w:lineRule="auto"/>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Kapenguria CRH</w:t>
            </w:r>
          </w:p>
        </w:tc>
        <w:tc>
          <w:tcPr>
            <w:tcW w:w="905" w:type="dxa"/>
            <w:shd w:val="clear" w:color="auto" w:fill="auto"/>
            <w:noWrap/>
            <w:hideMark/>
          </w:tcPr>
          <w:p w14:paraId="502A2704"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2021</w:t>
            </w:r>
          </w:p>
        </w:tc>
        <w:tc>
          <w:tcPr>
            <w:tcW w:w="540" w:type="dxa"/>
            <w:shd w:val="clear" w:color="auto" w:fill="auto"/>
            <w:noWrap/>
            <w:hideMark/>
          </w:tcPr>
          <w:p w14:paraId="7C27A196"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NA</w:t>
            </w:r>
          </w:p>
        </w:tc>
        <w:tc>
          <w:tcPr>
            <w:tcW w:w="1260" w:type="dxa"/>
            <w:shd w:val="clear" w:color="auto" w:fill="auto"/>
            <w:noWrap/>
            <w:hideMark/>
          </w:tcPr>
          <w:p w14:paraId="176EEF3B"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374</w:t>
            </w:r>
          </w:p>
        </w:tc>
        <w:tc>
          <w:tcPr>
            <w:tcW w:w="900" w:type="dxa"/>
            <w:shd w:val="clear" w:color="auto" w:fill="auto"/>
            <w:noWrap/>
            <w:hideMark/>
          </w:tcPr>
          <w:p w14:paraId="15DC681A"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370</w:t>
            </w:r>
          </w:p>
        </w:tc>
        <w:tc>
          <w:tcPr>
            <w:tcW w:w="1145" w:type="dxa"/>
            <w:shd w:val="clear" w:color="auto" w:fill="auto"/>
            <w:noWrap/>
            <w:hideMark/>
          </w:tcPr>
          <w:p w14:paraId="439273BA"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366</w:t>
            </w:r>
          </w:p>
        </w:tc>
        <w:tc>
          <w:tcPr>
            <w:tcW w:w="920" w:type="dxa"/>
            <w:shd w:val="clear" w:color="auto" w:fill="auto"/>
            <w:noWrap/>
            <w:hideMark/>
          </w:tcPr>
          <w:p w14:paraId="646E8EF2"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236</w:t>
            </w:r>
          </w:p>
        </w:tc>
        <w:tc>
          <w:tcPr>
            <w:tcW w:w="980" w:type="dxa"/>
            <w:shd w:val="clear" w:color="auto" w:fill="auto"/>
            <w:noWrap/>
            <w:hideMark/>
          </w:tcPr>
          <w:p w14:paraId="006EB4BB"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109 (0.29)</w:t>
            </w:r>
          </w:p>
        </w:tc>
        <w:tc>
          <w:tcPr>
            <w:tcW w:w="825" w:type="dxa"/>
            <w:shd w:val="clear" w:color="auto" w:fill="auto"/>
            <w:noWrap/>
            <w:hideMark/>
          </w:tcPr>
          <w:p w14:paraId="3218231B"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108 (0.29)</w:t>
            </w:r>
          </w:p>
        </w:tc>
        <w:tc>
          <w:tcPr>
            <w:tcW w:w="1075" w:type="dxa"/>
            <w:shd w:val="clear" w:color="auto" w:fill="auto"/>
            <w:noWrap/>
            <w:hideMark/>
          </w:tcPr>
          <w:p w14:paraId="63078CFD"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107 (0.29)</w:t>
            </w:r>
          </w:p>
        </w:tc>
      </w:tr>
      <w:tr w:rsidR="000E26F4" w:rsidRPr="00AC3D66" w14:paraId="13186241" w14:textId="77777777" w:rsidTr="00AD5979">
        <w:trPr>
          <w:trHeight w:val="300"/>
        </w:trPr>
        <w:tc>
          <w:tcPr>
            <w:tcW w:w="1435" w:type="dxa"/>
            <w:shd w:val="clear" w:color="auto" w:fill="auto"/>
            <w:noWrap/>
            <w:hideMark/>
          </w:tcPr>
          <w:p w14:paraId="4D8BE23F" w14:textId="7175B834" w:rsidR="002D22B7" w:rsidRPr="00AC3D66" w:rsidRDefault="002D22B7" w:rsidP="00A60407">
            <w:pPr>
              <w:spacing w:after="0" w:line="240" w:lineRule="auto"/>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Kenyatta N</w:t>
            </w:r>
            <w:r w:rsidR="00B52BFE" w:rsidRPr="00AC3D66">
              <w:rPr>
                <w:rFonts w:eastAsia="Times New Roman" w:cstheme="minorHAnsi"/>
                <w:color w:val="000000"/>
                <w:kern w:val="0"/>
                <w:sz w:val="18"/>
                <w:szCs w:val="18"/>
                <w14:ligatures w14:val="none"/>
              </w:rPr>
              <w:t>ational Hospital (Nairobi)</w:t>
            </w:r>
          </w:p>
        </w:tc>
        <w:tc>
          <w:tcPr>
            <w:tcW w:w="905" w:type="dxa"/>
            <w:shd w:val="clear" w:color="auto" w:fill="auto"/>
            <w:noWrap/>
            <w:hideMark/>
          </w:tcPr>
          <w:p w14:paraId="0A736E9F"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2017</w:t>
            </w:r>
          </w:p>
        </w:tc>
        <w:tc>
          <w:tcPr>
            <w:tcW w:w="540" w:type="dxa"/>
            <w:shd w:val="clear" w:color="auto" w:fill="auto"/>
            <w:noWrap/>
            <w:hideMark/>
          </w:tcPr>
          <w:p w14:paraId="0967742D"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2023</w:t>
            </w:r>
          </w:p>
        </w:tc>
        <w:tc>
          <w:tcPr>
            <w:tcW w:w="1260" w:type="dxa"/>
            <w:shd w:val="clear" w:color="auto" w:fill="auto"/>
            <w:noWrap/>
            <w:hideMark/>
          </w:tcPr>
          <w:p w14:paraId="60E08E7B"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756</w:t>
            </w:r>
          </w:p>
        </w:tc>
        <w:tc>
          <w:tcPr>
            <w:tcW w:w="900" w:type="dxa"/>
            <w:shd w:val="clear" w:color="auto" w:fill="auto"/>
            <w:noWrap/>
            <w:hideMark/>
          </w:tcPr>
          <w:p w14:paraId="21C6DE00"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653</w:t>
            </w:r>
          </w:p>
        </w:tc>
        <w:tc>
          <w:tcPr>
            <w:tcW w:w="1145" w:type="dxa"/>
            <w:shd w:val="clear" w:color="auto" w:fill="auto"/>
            <w:noWrap/>
            <w:hideMark/>
          </w:tcPr>
          <w:p w14:paraId="653F6D41"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12</w:t>
            </w:r>
          </w:p>
        </w:tc>
        <w:tc>
          <w:tcPr>
            <w:tcW w:w="920" w:type="dxa"/>
            <w:shd w:val="clear" w:color="auto" w:fill="auto"/>
            <w:noWrap/>
            <w:hideMark/>
          </w:tcPr>
          <w:p w14:paraId="4D4F4CDA"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646</w:t>
            </w:r>
          </w:p>
        </w:tc>
        <w:tc>
          <w:tcPr>
            <w:tcW w:w="980" w:type="dxa"/>
            <w:shd w:val="clear" w:color="auto" w:fill="auto"/>
            <w:noWrap/>
            <w:hideMark/>
          </w:tcPr>
          <w:p w14:paraId="764412CC"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42 (0.06)</w:t>
            </w:r>
          </w:p>
        </w:tc>
        <w:tc>
          <w:tcPr>
            <w:tcW w:w="825" w:type="dxa"/>
            <w:shd w:val="clear" w:color="auto" w:fill="auto"/>
            <w:noWrap/>
            <w:hideMark/>
          </w:tcPr>
          <w:p w14:paraId="2C920084"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41 (0.06)</w:t>
            </w:r>
          </w:p>
        </w:tc>
        <w:tc>
          <w:tcPr>
            <w:tcW w:w="1075" w:type="dxa"/>
            <w:shd w:val="clear" w:color="auto" w:fill="auto"/>
            <w:noWrap/>
            <w:hideMark/>
          </w:tcPr>
          <w:p w14:paraId="782A8AB6"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 (0.17)</w:t>
            </w:r>
          </w:p>
        </w:tc>
      </w:tr>
      <w:tr w:rsidR="000E26F4" w:rsidRPr="00AC3D66" w14:paraId="2C8A9484" w14:textId="77777777" w:rsidTr="00AD5979">
        <w:trPr>
          <w:trHeight w:val="300"/>
        </w:trPr>
        <w:tc>
          <w:tcPr>
            <w:tcW w:w="1435" w:type="dxa"/>
            <w:shd w:val="clear" w:color="auto" w:fill="auto"/>
            <w:noWrap/>
            <w:hideMark/>
          </w:tcPr>
          <w:p w14:paraId="297E0E16" w14:textId="77777777" w:rsidR="002D22B7" w:rsidRPr="00AC3D66" w:rsidRDefault="002D22B7" w:rsidP="00A60407">
            <w:pPr>
              <w:spacing w:after="0" w:line="240" w:lineRule="auto"/>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Loitokitok SCH</w:t>
            </w:r>
          </w:p>
        </w:tc>
        <w:tc>
          <w:tcPr>
            <w:tcW w:w="905" w:type="dxa"/>
            <w:shd w:val="clear" w:color="auto" w:fill="auto"/>
            <w:noWrap/>
            <w:hideMark/>
          </w:tcPr>
          <w:p w14:paraId="63EF3DDA"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2021</w:t>
            </w:r>
          </w:p>
        </w:tc>
        <w:tc>
          <w:tcPr>
            <w:tcW w:w="540" w:type="dxa"/>
            <w:shd w:val="clear" w:color="auto" w:fill="auto"/>
            <w:noWrap/>
            <w:hideMark/>
          </w:tcPr>
          <w:p w14:paraId="6C24C88E"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NA</w:t>
            </w:r>
          </w:p>
        </w:tc>
        <w:tc>
          <w:tcPr>
            <w:tcW w:w="1260" w:type="dxa"/>
            <w:shd w:val="clear" w:color="auto" w:fill="auto"/>
            <w:noWrap/>
            <w:hideMark/>
          </w:tcPr>
          <w:p w14:paraId="5A2EF329"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443</w:t>
            </w:r>
          </w:p>
        </w:tc>
        <w:tc>
          <w:tcPr>
            <w:tcW w:w="900" w:type="dxa"/>
            <w:shd w:val="clear" w:color="auto" w:fill="auto"/>
            <w:noWrap/>
            <w:hideMark/>
          </w:tcPr>
          <w:p w14:paraId="5633443C"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442</w:t>
            </w:r>
          </w:p>
        </w:tc>
        <w:tc>
          <w:tcPr>
            <w:tcW w:w="1145" w:type="dxa"/>
            <w:shd w:val="clear" w:color="auto" w:fill="auto"/>
            <w:noWrap/>
            <w:hideMark/>
          </w:tcPr>
          <w:p w14:paraId="07CD918F"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422</w:t>
            </w:r>
          </w:p>
        </w:tc>
        <w:tc>
          <w:tcPr>
            <w:tcW w:w="920" w:type="dxa"/>
            <w:shd w:val="clear" w:color="auto" w:fill="auto"/>
            <w:noWrap/>
            <w:hideMark/>
          </w:tcPr>
          <w:p w14:paraId="7455D3AB"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244</w:t>
            </w:r>
          </w:p>
        </w:tc>
        <w:tc>
          <w:tcPr>
            <w:tcW w:w="980" w:type="dxa"/>
            <w:shd w:val="clear" w:color="auto" w:fill="auto"/>
            <w:noWrap/>
            <w:hideMark/>
          </w:tcPr>
          <w:p w14:paraId="1BA63438"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6 (0.01)</w:t>
            </w:r>
          </w:p>
        </w:tc>
        <w:tc>
          <w:tcPr>
            <w:tcW w:w="825" w:type="dxa"/>
            <w:shd w:val="clear" w:color="auto" w:fill="auto"/>
            <w:noWrap/>
            <w:hideMark/>
          </w:tcPr>
          <w:p w14:paraId="522E0DCD"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6 (0.01)</w:t>
            </w:r>
          </w:p>
        </w:tc>
        <w:tc>
          <w:tcPr>
            <w:tcW w:w="1075" w:type="dxa"/>
            <w:shd w:val="clear" w:color="auto" w:fill="auto"/>
            <w:noWrap/>
            <w:hideMark/>
          </w:tcPr>
          <w:p w14:paraId="4BD459EC"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6 (0.01)</w:t>
            </w:r>
          </w:p>
        </w:tc>
      </w:tr>
      <w:tr w:rsidR="000E26F4" w:rsidRPr="00AC3D66" w14:paraId="6CFD78A5" w14:textId="77777777" w:rsidTr="00AD5979">
        <w:trPr>
          <w:trHeight w:val="300"/>
        </w:trPr>
        <w:tc>
          <w:tcPr>
            <w:tcW w:w="1435" w:type="dxa"/>
            <w:shd w:val="clear" w:color="auto" w:fill="auto"/>
            <w:noWrap/>
            <w:hideMark/>
          </w:tcPr>
          <w:p w14:paraId="5B70675D" w14:textId="77777777" w:rsidR="002D22B7" w:rsidRPr="00AC3D66" w:rsidRDefault="002D22B7" w:rsidP="00A60407">
            <w:pPr>
              <w:spacing w:after="0" w:line="240" w:lineRule="auto"/>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Makueni CRH</w:t>
            </w:r>
          </w:p>
        </w:tc>
        <w:tc>
          <w:tcPr>
            <w:tcW w:w="905" w:type="dxa"/>
            <w:shd w:val="clear" w:color="auto" w:fill="auto"/>
            <w:noWrap/>
            <w:hideMark/>
          </w:tcPr>
          <w:p w14:paraId="023A4BB5"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2021</w:t>
            </w:r>
          </w:p>
        </w:tc>
        <w:tc>
          <w:tcPr>
            <w:tcW w:w="540" w:type="dxa"/>
            <w:shd w:val="clear" w:color="auto" w:fill="auto"/>
            <w:noWrap/>
            <w:hideMark/>
          </w:tcPr>
          <w:p w14:paraId="117707F8"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NA</w:t>
            </w:r>
          </w:p>
        </w:tc>
        <w:tc>
          <w:tcPr>
            <w:tcW w:w="1260" w:type="dxa"/>
            <w:shd w:val="clear" w:color="auto" w:fill="auto"/>
            <w:noWrap/>
            <w:hideMark/>
          </w:tcPr>
          <w:p w14:paraId="1E7964D4"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567</w:t>
            </w:r>
          </w:p>
        </w:tc>
        <w:tc>
          <w:tcPr>
            <w:tcW w:w="900" w:type="dxa"/>
            <w:shd w:val="clear" w:color="auto" w:fill="auto"/>
            <w:noWrap/>
            <w:hideMark/>
          </w:tcPr>
          <w:p w14:paraId="321DD82E"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565</w:t>
            </w:r>
          </w:p>
        </w:tc>
        <w:tc>
          <w:tcPr>
            <w:tcW w:w="1145" w:type="dxa"/>
            <w:shd w:val="clear" w:color="auto" w:fill="auto"/>
            <w:noWrap/>
            <w:hideMark/>
          </w:tcPr>
          <w:p w14:paraId="3DFB3B45"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194</w:t>
            </w:r>
          </w:p>
        </w:tc>
        <w:tc>
          <w:tcPr>
            <w:tcW w:w="920" w:type="dxa"/>
            <w:shd w:val="clear" w:color="auto" w:fill="auto"/>
            <w:noWrap/>
            <w:hideMark/>
          </w:tcPr>
          <w:p w14:paraId="6A1DA8BF"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358</w:t>
            </w:r>
          </w:p>
        </w:tc>
        <w:tc>
          <w:tcPr>
            <w:tcW w:w="980" w:type="dxa"/>
            <w:shd w:val="clear" w:color="auto" w:fill="auto"/>
            <w:noWrap/>
            <w:hideMark/>
          </w:tcPr>
          <w:p w14:paraId="0EDF89B2"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21 (0.04)</w:t>
            </w:r>
          </w:p>
        </w:tc>
        <w:tc>
          <w:tcPr>
            <w:tcW w:w="825" w:type="dxa"/>
            <w:shd w:val="clear" w:color="auto" w:fill="auto"/>
            <w:noWrap/>
            <w:hideMark/>
          </w:tcPr>
          <w:p w14:paraId="30B23121"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21 (0.04)</w:t>
            </w:r>
          </w:p>
        </w:tc>
        <w:tc>
          <w:tcPr>
            <w:tcW w:w="1075" w:type="dxa"/>
            <w:shd w:val="clear" w:color="auto" w:fill="auto"/>
            <w:noWrap/>
            <w:hideMark/>
          </w:tcPr>
          <w:p w14:paraId="3F13930F"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19 (0.10)</w:t>
            </w:r>
          </w:p>
        </w:tc>
      </w:tr>
      <w:tr w:rsidR="000E26F4" w:rsidRPr="00AC3D66" w14:paraId="67CB55AF" w14:textId="77777777" w:rsidTr="00AD5979">
        <w:trPr>
          <w:trHeight w:val="300"/>
        </w:trPr>
        <w:tc>
          <w:tcPr>
            <w:tcW w:w="1435" w:type="dxa"/>
            <w:shd w:val="clear" w:color="auto" w:fill="auto"/>
            <w:noWrap/>
            <w:hideMark/>
          </w:tcPr>
          <w:p w14:paraId="530A35BF" w14:textId="31EE9825" w:rsidR="002D22B7" w:rsidRPr="00AC3D66" w:rsidRDefault="002D22B7" w:rsidP="00A60407">
            <w:pPr>
              <w:spacing w:after="0" w:line="240" w:lineRule="auto"/>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Mama Lucy H</w:t>
            </w:r>
            <w:r w:rsidR="00B52BFE" w:rsidRPr="00AC3D66">
              <w:rPr>
                <w:rFonts w:eastAsia="Times New Roman" w:cstheme="minorHAnsi"/>
                <w:color w:val="000000"/>
                <w:kern w:val="0"/>
                <w:sz w:val="18"/>
                <w:szCs w:val="18"/>
                <w14:ligatures w14:val="none"/>
              </w:rPr>
              <w:t>ospital (Nairobi)</w:t>
            </w:r>
          </w:p>
        </w:tc>
        <w:tc>
          <w:tcPr>
            <w:tcW w:w="905" w:type="dxa"/>
            <w:shd w:val="clear" w:color="auto" w:fill="auto"/>
            <w:noWrap/>
            <w:hideMark/>
          </w:tcPr>
          <w:p w14:paraId="49BCB821"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2021</w:t>
            </w:r>
          </w:p>
        </w:tc>
        <w:tc>
          <w:tcPr>
            <w:tcW w:w="540" w:type="dxa"/>
            <w:shd w:val="clear" w:color="auto" w:fill="auto"/>
            <w:noWrap/>
            <w:hideMark/>
          </w:tcPr>
          <w:p w14:paraId="67F0985C"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NA</w:t>
            </w:r>
          </w:p>
        </w:tc>
        <w:tc>
          <w:tcPr>
            <w:tcW w:w="1260" w:type="dxa"/>
            <w:shd w:val="clear" w:color="auto" w:fill="auto"/>
            <w:noWrap/>
            <w:hideMark/>
          </w:tcPr>
          <w:p w14:paraId="1412017A"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689</w:t>
            </w:r>
          </w:p>
        </w:tc>
        <w:tc>
          <w:tcPr>
            <w:tcW w:w="900" w:type="dxa"/>
            <w:shd w:val="clear" w:color="auto" w:fill="auto"/>
            <w:noWrap/>
            <w:hideMark/>
          </w:tcPr>
          <w:p w14:paraId="11CF690F"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685</w:t>
            </w:r>
          </w:p>
        </w:tc>
        <w:tc>
          <w:tcPr>
            <w:tcW w:w="1145" w:type="dxa"/>
            <w:shd w:val="clear" w:color="auto" w:fill="auto"/>
            <w:noWrap/>
            <w:hideMark/>
          </w:tcPr>
          <w:p w14:paraId="5CFE1FB7"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637</w:t>
            </w:r>
          </w:p>
        </w:tc>
        <w:tc>
          <w:tcPr>
            <w:tcW w:w="920" w:type="dxa"/>
            <w:shd w:val="clear" w:color="auto" w:fill="auto"/>
            <w:noWrap/>
            <w:hideMark/>
          </w:tcPr>
          <w:p w14:paraId="1C13A352"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193</w:t>
            </w:r>
          </w:p>
        </w:tc>
        <w:tc>
          <w:tcPr>
            <w:tcW w:w="980" w:type="dxa"/>
            <w:shd w:val="clear" w:color="auto" w:fill="auto"/>
            <w:noWrap/>
            <w:hideMark/>
          </w:tcPr>
          <w:p w14:paraId="386D5396"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60 (0.09)</w:t>
            </w:r>
          </w:p>
        </w:tc>
        <w:tc>
          <w:tcPr>
            <w:tcW w:w="825" w:type="dxa"/>
            <w:shd w:val="clear" w:color="auto" w:fill="auto"/>
            <w:noWrap/>
            <w:hideMark/>
          </w:tcPr>
          <w:p w14:paraId="552C7051"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60 (0.09)</w:t>
            </w:r>
          </w:p>
        </w:tc>
        <w:tc>
          <w:tcPr>
            <w:tcW w:w="1075" w:type="dxa"/>
            <w:shd w:val="clear" w:color="auto" w:fill="auto"/>
            <w:noWrap/>
            <w:hideMark/>
          </w:tcPr>
          <w:p w14:paraId="24DDB090"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57 (0.09)</w:t>
            </w:r>
          </w:p>
        </w:tc>
      </w:tr>
      <w:tr w:rsidR="000E26F4" w:rsidRPr="00AC3D66" w14:paraId="654D9F01" w14:textId="77777777" w:rsidTr="00AD5979">
        <w:trPr>
          <w:trHeight w:val="300"/>
        </w:trPr>
        <w:tc>
          <w:tcPr>
            <w:tcW w:w="1435" w:type="dxa"/>
            <w:shd w:val="clear" w:color="auto" w:fill="auto"/>
            <w:noWrap/>
            <w:hideMark/>
          </w:tcPr>
          <w:p w14:paraId="7EA2FE73" w14:textId="77777777" w:rsidR="002D22B7" w:rsidRPr="00AC3D66" w:rsidRDefault="002D22B7" w:rsidP="00A60407">
            <w:pPr>
              <w:spacing w:after="0" w:line="240" w:lineRule="auto"/>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Marsabit CRH</w:t>
            </w:r>
          </w:p>
        </w:tc>
        <w:tc>
          <w:tcPr>
            <w:tcW w:w="905" w:type="dxa"/>
            <w:shd w:val="clear" w:color="auto" w:fill="auto"/>
            <w:noWrap/>
            <w:hideMark/>
          </w:tcPr>
          <w:p w14:paraId="4E0886D9"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2020</w:t>
            </w:r>
          </w:p>
        </w:tc>
        <w:tc>
          <w:tcPr>
            <w:tcW w:w="540" w:type="dxa"/>
            <w:shd w:val="clear" w:color="auto" w:fill="auto"/>
            <w:noWrap/>
            <w:hideMark/>
          </w:tcPr>
          <w:p w14:paraId="382A2373"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NA</w:t>
            </w:r>
          </w:p>
        </w:tc>
        <w:tc>
          <w:tcPr>
            <w:tcW w:w="1260" w:type="dxa"/>
            <w:shd w:val="clear" w:color="auto" w:fill="auto"/>
            <w:noWrap/>
            <w:hideMark/>
          </w:tcPr>
          <w:p w14:paraId="439ECCD7"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926</w:t>
            </w:r>
          </w:p>
        </w:tc>
        <w:tc>
          <w:tcPr>
            <w:tcW w:w="900" w:type="dxa"/>
            <w:shd w:val="clear" w:color="auto" w:fill="auto"/>
            <w:noWrap/>
            <w:hideMark/>
          </w:tcPr>
          <w:p w14:paraId="3E253AAF"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917</w:t>
            </w:r>
          </w:p>
        </w:tc>
        <w:tc>
          <w:tcPr>
            <w:tcW w:w="1145" w:type="dxa"/>
            <w:shd w:val="clear" w:color="auto" w:fill="auto"/>
            <w:noWrap/>
            <w:hideMark/>
          </w:tcPr>
          <w:p w14:paraId="3549189A"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917</w:t>
            </w:r>
          </w:p>
        </w:tc>
        <w:tc>
          <w:tcPr>
            <w:tcW w:w="920" w:type="dxa"/>
            <w:shd w:val="clear" w:color="auto" w:fill="auto"/>
            <w:noWrap/>
            <w:hideMark/>
          </w:tcPr>
          <w:p w14:paraId="50419B4B"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750</w:t>
            </w:r>
          </w:p>
        </w:tc>
        <w:tc>
          <w:tcPr>
            <w:tcW w:w="980" w:type="dxa"/>
            <w:shd w:val="clear" w:color="auto" w:fill="auto"/>
            <w:noWrap/>
            <w:hideMark/>
          </w:tcPr>
          <w:p w14:paraId="7FEF73CB"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25 (0.03)</w:t>
            </w:r>
          </w:p>
        </w:tc>
        <w:tc>
          <w:tcPr>
            <w:tcW w:w="825" w:type="dxa"/>
            <w:shd w:val="clear" w:color="auto" w:fill="auto"/>
            <w:noWrap/>
            <w:hideMark/>
          </w:tcPr>
          <w:p w14:paraId="203A3400"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25 (0.03)</w:t>
            </w:r>
          </w:p>
        </w:tc>
        <w:tc>
          <w:tcPr>
            <w:tcW w:w="1075" w:type="dxa"/>
            <w:shd w:val="clear" w:color="auto" w:fill="auto"/>
            <w:noWrap/>
            <w:hideMark/>
          </w:tcPr>
          <w:p w14:paraId="73E9A436"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24 (0.03)</w:t>
            </w:r>
          </w:p>
        </w:tc>
      </w:tr>
      <w:tr w:rsidR="000E26F4" w:rsidRPr="00AC3D66" w14:paraId="5975D90B" w14:textId="77777777" w:rsidTr="00AD5979">
        <w:trPr>
          <w:trHeight w:val="300"/>
        </w:trPr>
        <w:tc>
          <w:tcPr>
            <w:tcW w:w="1435" w:type="dxa"/>
            <w:tcBorders>
              <w:bottom w:val="single" w:sz="4" w:space="0" w:color="auto"/>
            </w:tcBorders>
            <w:shd w:val="clear" w:color="auto" w:fill="auto"/>
            <w:noWrap/>
            <w:hideMark/>
          </w:tcPr>
          <w:p w14:paraId="6DD9DF13" w14:textId="1525C5CA" w:rsidR="002D22B7" w:rsidRPr="00AC3D66" w:rsidRDefault="002D22B7" w:rsidP="00A60407">
            <w:pPr>
              <w:spacing w:after="0" w:line="240" w:lineRule="auto"/>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Nakuru CRH</w:t>
            </w:r>
          </w:p>
        </w:tc>
        <w:tc>
          <w:tcPr>
            <w:tcW w:w="905" w:type="dxa"/>
            <w:tcBorders>
              <w:bottom w:val="single" w:sz="4" w:space="0" w:color="auto"/>
            </w:tcBorders>
            <w:shd w:val="clear" w:color="auto" w:fill="auto"/>
            <w:noWrap/>
            <w:hideMark/>
          </w:tcPr>
          <w:p w14:paraId="5A4FC374"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2021</w:t>
            </w:r>
          </w:p>
        </w:tc>
        <w:tc>
          <w:tcPr>
            <w:tcW w:w="540" w:type="dxa"/>
            <w:tcBorders>
              <w:bottom w:val="single" w:sz="4" w:space="0" w:color="auto"/>
            </w:tcBorders>
            <w:shd w:val="clear" w:color="auto" w:fill="auto"/>
            <w:noWrap/>
            <w:hideMark/>
          </w:tcPr>
          <w:p w14:paraId="410A142E"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NA</w:t>
            </w:r>
          </w:p>
        </w:tc>
        <w:tc>
          <w:tcPr>
            <w:tcW w:w="1260" w:type="dxa"/>
            <w:tcBorders>
              <w:bottom w:val="single" w:sz="4" w:space="0" w:color="auto"/>
            </w:tcBorders>
            <w:shd w:val="clear" w:color="auto" w:fill="auto"/>
            <w:noWrap/>
            <w:hideMark/>
          </w:tcPr>
          <w:p w14:paraId="3AB4F6C9"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575</w:t>
            </w:r>
          </w:p>
        </w:tc>
        <w:tc>
          <w:tcPr>
            <w:tcW w:w="900" w:type="dxa"/>
            <w:tcBorders>
              <w:bottom w:val="single" w:sz="4" w:space="0" w:color="auto"/>
            </w:tcBorders>
            <w:shd w:val="clear" w:color="auto" w:fill="auto"/>
            <w:noWrap/>
            <w:hideMark/>
          </w:tcPr>
          <w:p w14:paraId="4B6C6133"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570</w:t>
            </w:r>
          </w:p>
        </w:tc>
        <w:tc>
          <w:tcPr>
            <w:tcW w:w="1145" w:type="dxa"/>
            <w:tcBorders>
              <w:bottom w:val="single" w:sz="4" w:space="0" w:color="auto"/>
            </w:tcBorders>
            <w:shd w:val="clear" w:color="auto" w:fill="auto"/>
            <w:noWrap/>
            <w:hideMark/>
          </w:tcPr>
          <w:p w14:paraId="17D9B5C0"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567</w:t>
            </w:r>
          </w:p>
        </w:tc>
        <w:tc>
          <w:tcPr>
            <w:tcW w:w="920" w:type="dxa"/>
            <w:tcBorders>
              <w:bottom w:val="single" w:sz="4" w:space="0" w:color="auto"/>
            </w:tcBorders>
            <w:shd w:val="clear" w:color="auto" w:fill="auto"/>
            <w:noWrap/>
            <w:hideMark/>
          </w:tcPr>
          <w:p w14:paraId="161E4086"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539</w:t>
            </w:r>
          </w:p>
        </w:tc>
        <w:tc>
          <w:tcPr>
            <w:tcW w:w="980" w:type="dxa"/>
            <w:tcBorders>
              <w:bottom w:val="single" w:sz="4" w:space="0" w:color="auto"/>
            </w:tcBorders>
            <w:shd w:val="clear" w:color="auto" w:fill="auto"/>
            <w:noWrap/>
            <w:hideMark/>
          </w:tcPr>
          <w:p w14:paraId="219E09E2"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64 (0.11)</w:t>
            </w:r>
          </w:p>
        </w:tc>
        <w:tc>
          <w:tcPr>
            <w:tcW w:w="825" w:type="dxa"/>
            <w:tcBorders>
              <w:bottom w:val="single" w:sz="4" w:space="0" w:color="auto"/>
            </w:tcBorders>
            <w:shd w:val="clear" w:color="auto" w:fill="auto"/>
            <w:noWrap/>
            <w:hideMark/>
          </w:tcPr>
          <w:p w14:paraId="46EDD53A"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64 (0.11)</w:t>
            </w:r>
          </w:p>
        </w:tc>
        <w:tc>
          <w:tcPr>
            <w:tcW w:w="1075" w:type="dxa"/>
            <w:tcBorders>
              <w:bottom w:val="single" w:sz="4" w:space="0" w:color="auto"/>
            </w:tcBorders>
            <w:shd w:val="clear" w:color="auto" w:fill="auto"/>
            <w:noWrap/>
            <w:hideMark/>
          </w:tcPr>
          <w:p w14:paraId="2D19FFC4" w14:textId="77777777" w:rsidR="002D22B7" w:rsidRPr="00AC3D66" w:rsidRDefault="002D22B7" w:rsidP="00A60407">
            <w:pPr>
              <w:spacing w:after="0" w:line="240" w:lineRule="auto"/>
              <w:jc w:val="right"/>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62 (0.11)</w:t>
            </w:r>
          </w:p>
        </w:tc>
      </w:tr>
      <w:tr w:rsidR="000E26F4" w:rsidRPr="00AC3D66" w14:paraId="02BAC283" w14:textId="77777777" w:rsidTr="2F481D84">
        <w:trPr>
          <w:trHeight w:val="300"/>
        </w:trPr>
        <w:tc>
          <w:tcPr>
            <w:tcW w:w="9985" w:type="dxa"/>
            <w:gridSpan w:val="10"/>
            <w:tcBorders>
              <w:top w:val="single" w:sz="4" w:space="0" w:color="auto"/>
              <w:bottom w:val="single" w:sz="4" w:space="0" w:color="auto"/>
            </w:tcBorders>
            <w:shd w:val="clear" w:color="auto" w:fill="auto"/>
            <w:noWrap/>
          </w:tcPr>
          <w:p w14:paraId="5881B2F2" w14:textId="4690462D" w:rsidR="000E26F4" w:rsidRPr="00AC3D66" w:rsidRDefault="000E26F4" w:rsidP="00A60407">
            <w:pPr>
              <w:spacing w:after="0" w:line="240" w:lineRule="auto"/>
              <w:rPr>
                <w:rFonts w:eastAsia="Times New Roman" w:cstheme="minorHAnsi"/>
                <w:color w:val="000000"/>
                <w:kern w:val="0"/>
                <w:sz w:val="18"/>
                <w:szCs w:val="18"/>
                <w14:ligatures w14:val="none"/>
              </w:rPr>
            </w:pPr>
            <w:r w:rsidRPr="00AC3D66">
              <w:rPr>
                <w:rFonts w:eastAsia="Times New Roman" w:cstheme="minorHAnsi"/>
                <w:color w:val="000000"/>
                <w:kern w:val="0"/>
                <w:sz w:val="18"/>
                <w:szCs w:val="18"/>
                <w14:ligatures w14:val="none"/>
              </w:rPr>
              <w:t>CRH: County referral hospital</w:t>
            </w:r>
            <w:r w:rsidR="00784970" w:rsidRPr="00AC3D66">
              <w:rPr>
                <w:rFonts w:eastAsia="Times New Roman" w:cstheme="minorHAnsi"/>
                <w:color w:val="000000"/>
                <w:kern w:val="0"/>
                <w:sz w:val="18"/>
                <w:szCs w:val="18"/>
                <w14:ligatures w14:val="none"/>
              </w:rPr>
              <w:t xml:space="preserve">; PCR: polymerase chain reaction; </w:t>
            </w:r>
            <w:r w:rsidR="000E0825" w:rsidRPr="00AC3D66">
              <w:rPr>
                <w:rFonts w:eastAsia="Times New Roman" w:cstheme="minorHAnsi"/>
                <w:color w:val="000000"/>
                <w:kern w:val="0"/>
                <w:sz w:val="18"/>
                <w:szCs w:val="18"/>
                <w14:ligatures w14:val="none"/>
              </w:rPr>
              <w:t>m</w:t>
            </w:r>
            <w:r w:rsidR="00784970" w:rsidRPr="00AC3D66">
              <w:rPr>
                <w:rFonts w:eastAsia="Times New Roman" w:cstheme="minorHAnsi"/>
                <w:color w:val="000000"/>
                <w:kern w:val="0"/>
                <w:sz w:val="18"/>
                <w:szCs w:val="18"/>
                <w14:ligatures w14:val="none"/>
              </w:rPr>
              <w:t xml:space="preserve">RDT: </w:t>
            </w:r>
            <w:r w:rsidR="000E0825" w:rsidRPr="00AC3D66">
              <w:rPr>
                <w:rFonts w:eastAsia="Times New Roman" w:cstheme="minorHAnsi"/>
                <w:color w:val="000000"/>
                <w:kern w:val="0"/>
                <w:sz w:val="18"/>
                <w:szCs w:val="18"/>
                <w14:ligatures w14:val="none"/>
              </w:rPr>
              <w:t xml:space="preserve">malaria </w:t>
            </w:r>
            <w:r w:rsidR="00784970" w:rsidRPr="00AC3D66">
              <w:rPr>
                <w:rFonts w:eastAsia="Times New Roman" w:cstheme="minorHAnsi"/>
                <w:color w:val="000000"/>
                <w:kern w:val="0"/>
                <w:sz w:val="18"/>
                <w:szCs w:val="18"/>
                <w14:ligatures w14:val="none"/>
              </w:rPr>
              <w:t>rapid diagnostic test</w:t>
            </w:r>
            <w:r w:rsidR="00BA0A65" w:rsidRPr="00AC3D66">
              <w:rPr>
                <w:rFonts w:eastAsia="Times New Roman" w:cstheme="minorHAnsi"/>
                <w:color w:val="000000"/>
                <w:kern w:val="0"/>
                <w:sz w:val="18"/>
                <w:szCs w:val="18"/>
                <w14:ligatures w14:val="none"/>
              </w:rPr>
              <w:t>; TRH: teaching and referral hospital</w:t>
            </w:r>
          </w:p>
        </w:tc>
      </w:tr>
    </w:tbl>
    <w:p w14:paraId="21C7EB96" w14:textId="67C5521F" w:rsidR="004A1468" w:rsidRDefault="004A1468" w:rsidP="001407CA">
      <w:pPr>
        <w:spacing w:line="480" w:lineRule="auto"/>
        <w:rPr>
          <w:rFonts w:cstheme="minorHAnsi"/>
          <w:sz w:val="14"/>
          <w:szCs w:val="14"/>
        </w:rPr>
      </w:pPr>
    </w:p>
    <w:p w14:paraId="07F890C0" w14:textId="3AA19DCD" w:rsidR="002C2038" w:rsidRPr="00AB1453" w:rsidRDefault="004A1468" w:rsidP="00AB1453">
      <w:pPr>
        <w:pStyle w:val="Heading1"/>
        <w:spacing w:line="240" w:lineRule="auto"/>
        <w:rPr>
          <w:b/>
          <w:bCs/>
          <w:sz w:val="24"/>
          <w:szCs w:val="24"/>
        </w:rPr>
      </w:pPr>
      <w:r w:rsidRPr="00AB1453">
        <w:rPr>
          <w:b/>
          <w:bCs/>
          <w:sz w:val="24"/>
          <w:szCs w:val="24"/>
        </w:rPr>
        <w:lastRenderedPageBreak/>
        <w:t>Supplemental figure 2.</w:t>
      </w:r>
      <w:r w:rsidR="00B67636" w:rsidRPr="00AB1453">
        <w:rPr>
          <w:b/>
          <w:bCs/>
          <w:sz w:val="24"/>
          <w:szCs w:val="24"/>
        </w:rPr>
        <w:t xml:space="preserve"> </w:t>
      </w:r>
      <w:r w:rsidR="007D0198" w:rsidRPr="00AB1453">
        <w:rPr>
          <w:b/>
          <w:bCs/>
          <w:sz w:val="24"/>
          <w:szCs w:val="24"/>
        </w:rPr>
        <w:t xml:space="preserve">  </w:t>
      </w:r>
      <w:r w:rsidR="00102F9A" w:rsidRPr="00AB1453">
        <w:rPr>
          <w:b/>
          <w:bCs/>
          <w:sz w:val="24"/>
          <w:szCs w:val="24"/>
        </w:rPr>
        <w:t xml:space="preserve">Flowchart of patients enrolled, malaria tests done </w:t>
      </w:r>
      <w:r w:rsidR="00956A3B" w:rsidRPr="00AB1453">
        <w:rPr>
          <w:b/>
          <w:bCs/>
          <w:sz w:val="24"/>
          <w:szCs w:val="24"/>
        </w:rPr>
        <w:t xml:space="preserve">by surveillance team </w:t>
      </w:r>
      <w:r w:rsidR="00102F9A" w:rsidRPr="00AB1453">
        <w:rPr>
          <w:b/>
          <w:bCs/>
          <w:sz w:val="24"/>
          <w:szCs w:val="24"/>
        </w:rPr>
        <w:t xml:space="preserve">and results, as well as clinical outcomes </w:t>
      </w:r>
    </w:p>
    <w:p w14:paraId="4991780E" w14:textId="3D0B5DD8" w:rsidR="275D6B32" w:rsidRDefault="002C2038" w:rsidP="001407CA">
      <w:pPr>
        <w:spacing w:line="480" w:lineRule="auto"/>
      </w:pPr>
      <w:r>
        <w:rPr>
          <w:noProof/>
        </w:rPr>
        <w:drawing>
          <wp:inline distT="0" distB="0" distL="0" distR="0" wp14:anchorId="0BF7A00A" wp14:editId="2ECB1D3C">
            <wp:extent cx="5372850" cy="6115905"/>
            <wp:effectExtent l="0" t="0" r="0" b="0"/>
            <wp:docPr id="21191073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7">
                      <a:extLst>
                        <a:ext uri="{28A0092B-C50C-407E-A947-70E740481C1C}">
                          <a14:useLocalDpi xmlns:a14="http://schemas.microsoft.com/office/drawing/2010/main" val="0"/>
                        </a:ext>
                      </a:extLst>
                    </a:blip>
                    <a:stretch>
                      <a:fillRect/>
                    </a:stretch>
                  </pic:blipFill>
                  <pic:spPr>
                    <a:xfrm>
                      <a:off x="0" y="0"/>
                      <a:ext cx="5372850" cy="6115905"/>
                    </a:xfrm>
                    <a:prstGeom prst="rect">
                      <a:avLst/>
                    </a:prstGeom>
                  </pic:spPr>
                </pic:pic>
              </a:graphicData>
            </a:graphic>
          </wp:inline>
        </w:drawing>
      </w:r>
    </w:p>
    <w:bookmarkEnd w:id="1"/>
    <w:p w14:paraId="25DE4B90" w14:textId="43E71526" w:rsidR="275D6B32" w:rsidRDefault="7970F5EE" w:rsidP="00AC3D66">
      <w:pPr>
        <w:pStyle w:val="Heading1"/>
        <w:spacing w:line="480" w:lineRule="auto"/>
      </w:pPr>
      <w:r>
        <w:lastRenderedPageBreak/>
        <w:t>Declarations:</w:t>
      </w:r>
    </w:p>
    <w:p w14:paraId="1A5703FC" w14:textId="14E5B08D" w:rsidR="7970F5EE" w:rsidRDefault="7970F5EE" w:rsidP="001407CA">
      <w:pPr>
        <w:pStyle w:val="Heading2"/>
        <w:spacing w:line="480" w:lineRule="auto"/>
      </w:pPr>
      <w:r>
        <w:t>Ethics approval and consent to participate:</w:t>
      </w:r>
    </w:p>
    <w:p w14:paraId="17C4E422" w14:textId="203BB4F5" w:rsidR="7970F5EE" w:rsidRDefault="4F4693A5" w:rsidP="001407CA">
      <w:pPr>
        <w:spacing w:line="480" w:lineRule="auto"/>
        <w:rPr>
          <w:rFonts w:ascii="Calibri" w:eastAsia="Calibri" w:hAnsi="Calibri" w:cs="Calibri"/>
        </w:rPr>
      </w:pPr>
      <w:r w:rsidRPr="69EE2A4C">
        <w:rPr>
          <w:rFonts w:ascii="Aptos" w:eastAsia="Aptos" w:hAnsi="Aptos" w:cs="Aptos"/>
          <w:color w:val="242424"/>
        </w:rPr>
        <w:t>All patients consented to participate in sentinel surveillance. The data was collected under the KEMRI institutional review board protocol number SERU 2980 and 4232. This activity was reviewed by CDC, deemed not research, and was conducted consistent with applicable U.S. federal law and CDC policy (See e.g., 45 C.F.R. part 46.102(l)(2), 21 C.F.R. part 56; 42 U.S.C. §241(d); 5 U.S.C. §552a; 44 U.S.C. §3501 et seq.)</w:t>
      </w:r>
    </w:p>
    <w:p w14:paraId="76212DAD" w14:textId="32C9D1B4" w:rsidR="7970F5EE" w:rsidRDefault="7970F5EE" w:rsidP="001407CA">
      <w:pPr>
        <w:pStyle w:val="Heading2"/>
        <w:spacing w:line="480" w:lineRule="auto"/>
      </w:pPr>
      <w:r>
        <w:t>Consent for publication:</w:t>
      </w:r>
      <w:r w:rsidR="094576D4">
        <w:t xml:space="preserve"> </w:t>
      </w:r>
    </w:p>
    <w:p w14:paraId="3A77A930" w14:textId="084A2C37" w:rsidR="094576D4" w:rsidRDefault="094576D4" w:rsidP="001407CA">
      <w:pPr>
        <w:spacing w:line="480" w:lineRule="auto"/>
      </w:pPr>
      <w:r>
        <w:t>This manuscript does not contain any individual person’s data</w:t>
      </w:r>
    </w:p>
    <w:p w14:paraId="0CE9D04C" w14:textId="61D57FF7" w:rsidR="7970F5EE" w:rsidRDefault="7970F5EE" w:rsidP="001407CA">
      <w:pPr>
        <w:pStyle w:val="Heading2"/>
        <w:spacing w:line="480" w:lineRule="auto"/>
      </w:pPr>
      <w:r>
        <w:t>Availability of data and materials:</w:t>
      </w:r>
    </w:p>
    <w:p w14:paraId="1F3649C3" w14:textId="03EF6C65" w:rsidR="275D6B32" w:rsidRDefault="641C9E87" w:rsidP="001407CA">
      <w:pPr>
        <w:spacing w:line="480" w:lineRule="auto"/>
        <w:rPr>
          <w:rFonts w:ascii="Calibri" w:eastAsia="Calibri" w:hAnsi="Calibri" w:cs="Calibri"/>
        </w:rPr>
      </w:pPr>
      <w:r w:rsidRPr="69EE2A4C">
        <w:rPr>
          <w:rFonts w:ascii="Aptos" w:eastAsia="Aptos" w:hAnsi="Aptos" w:cs="Aptos"/>
          <w:color w:val="242424"/>
        </w:rPr>
        <w:t xml:space="preserve">Data cannot be shared publicly because they are bound by Government of Kenya provisions, including the Data Protection Act of 2019. Data are available from KEMRI via the Data Governance Committee (contact via email </w:t>
      </w:r>
      <w:hyperlink r:id="rId18">
        <w:r w:rsidRPr="69EE2A4C">
          <w:rPr>
            <w:rStyle w:val="Hyperlink"/>
            <w:rFonts w:ascii="Aptos" w:eastAsia="Aptos" w:hAnsi="Aptos" w:cs="Aptos"/>
          </w:rPr>
          <w:t>cghr@kemri.go.ke</w:t>
        </w:r>
      </w:hyperlink>
      <w:r w:rsidRPr="69EE2A4C">
        <w:rPr>
          <w:rFonts w:ascii="Aptos" w:eastAsia="Aptos" w:hAnsi="Aptos" w:cs="Aptos"/>
          <w:color w:val="242424"/>
        </w:rPr>
        <w:t xml:space="preserve"> or telephone +254-20-22923) to researchers who meet the criteria for access to confidential data and with permission of Kenya Ministry of Health.</w:t>
      </w:r>
    </w:p>
    <w:p w14:paraId="27F343B0" w14:textId="193142EC" w:rsidR="7970F5EE" w:rsidRDefault="7970F5EE" w:rsidP="001407CA">
      <w:pPr>
        <w:pStyle w:val="Heading2"/>
        <w:spacing w:line="480" w:lineRule="auto"/>
      </w:pPr>
      <w:r>
        <w:t>Competing interests:</w:t>
      </w:r>
    </w:p>
    <w:p w14:paraId="314A5C58" w14:textId="59E1A757" w:rsidR="5B2A3EE0" w:rsidRDefault="5B2A3EE0" w:rsidP="001407CA">
      <w:pPr>
        <w:spacing w:line="480" w:lineRule="auto"/>
      </w:pPr>
      <w:r>
        <w:t>The are no financial or non-financial competing interests of the co-authors of this publication</w:t>
      </w:r>
    </w:p>
    <w:p w14:paraId="27667438" w14:textId="7C4AEB41" w:rsidR="7970F5EE" w:rsidRDefault="7970F5EE" w:rsidP="001407CA">
      <w:pPr>
        <w:pStyle w:val="Heading2"/>
        <w:spacing w:line="480" w:lineRule="auto"/>
      </w:pPr>
      <w:r>
        <w:t>Funding:</w:t>
      </w:r>
    </w:p>
    <w:p w14:paraId="166A367D" w14:textId="5EE79C19" w:rsidR="2F4E2454" w:rsidRDefault="2F4E2454" w:rsidP="001407CA">
      <w:pPr>
        <w:spacing w:line="480" w:lineRule="auto"/>
      </w:pPr>
      <w:r w:rsidRPr="69EE2A4C">
        <w:rPr>
          <w:rFonts w:ascii="Calibri" w:eastAsia="Calibri" w:hAnsi="Calibri" w:cs="Calibri"/>
        </w:rPr>
        <w:t>This project was financially supported by the U.S. Centers for Disease Control and Prevention under the terms of cooperative agreements with ICAP at Columbia University (CoAg number: NU2HGH000033).</w:t>
      </w:r>
    </w:p>
    <w:p w14:paraId="5B561965" w14:textId="7264EBB3" w:rsidR="7970F5EE" w:rsidRDefault="7970F5EE" w:rsidP="001407CA">
      <w:pPr>
        <w:pStyle w:val="Heading2"/>
        <w:spacing w:line="480" w:lineRule="auto"/>
      </w:pPr>
      <w:r>
        <w:lastRenderedPageBreak/>
        <w:t>Author’s contributions:</w:t>
      </w:r>
    </w:p>
    <w:p w14:paraId="1490820E" w14:textId="3A382948" w:rsidR="28EFEC34" w:rsidRDefault="28EFEC34" w:rsidP="001407CA">
      <w:pPr>
        <w:spacing w:line="480" w:lineRule="auto"/>
      </w:pPr>
      <w:r>
        <w:t>MI, NL, JS, GA, JZS analyzed and interpreted the data on factors associated with severe disease and mortality</w:t>
      </w:r>
    </w:p>
    <w:p w14:paraId="39BC0811" w14:textId="0AEF45E4" w:rsidR="28EFEC34" w:rsidRDefault="28EFEC34" w:rsidP="001407CA">
      <w:pPr>
        <w:spacing w:line="480" w:lineRule="auto"/>
      </w:pPr>
      <w:r>
        <w:t>MI, NL, JS, JZS were major contributors in writing of the manuscript</w:t>
      </w:r>
    </w:p>
    <w:p w14:paraId="5ABDA8DB" w14:textId="251387D6" w:rsidR="28EFEC34" w:rsidRDefault="28EFEC34" w:rsidP="001407CA">
      <w:pPr>
        <w:spacing w:line="480" w:lineRule="auto"/>
      </w:pPr>
      <w:r>
        <w:t>All authors read and approved the final manuscript</w:t>
      </w:r>
    </w:p>
    <w:p w14:paraId="2939422F" w14:textId="4CC1E550" w:rsidR="7970F5EE" w:rsidRDefault="7970F5EE" w:rsidP="001407CA">
      <w:pPr>
        <w:pStyle w:val="Heading2"/>
        <w:spacing w:line="480" w:lineRule="auto"/>
      </w:pPr>
      <w:r>
        <w:t>Acknowledgements:</w:t>
      </w:r>
    </w:p>
    <w:p w14:paraId="00606410" w14:textId="6EC7B1C8" w:rsidR="0A59539C" w:rsidRDefault="0A59539C" w:rsidP="001407CA">
      <w:pPr>
        <w:spacing w:line="480" w:lineRule="auto"/>
      </w:pPr>
      <w:r>
        <w:t>Not applicable</w:t>
      </w:r>
    </w:p>
    <w:p w14:paraId="6C9EFB85" w14:textId="77777777" w:rsidR="0092526F" w:rsidRDefault="0092526F" w:rsidP="001407CA">
      <w:pPr>
        <w:spacing w:line="480" w:lineRule="auto"/>
      </w:pPr>
    </w:p>
    <w:p w14:paraId="5719ADE0" w14:textId="77777777" w:rsidR="00F60687" w:rsidRDefault="00F60687" w:rsidP="001407CA">
      <w:pPr>
        <w:spacing w:line="480" w:lineRule="auto"/>
      </w:pPr>
    </w:p>
    <w:p w14:paraId="69A4B3A2" w14:textId="77777777" w:rsidR="00F60687" w:rsidRDefault="00F60687" w:rsidP="001407CA">
      <w:pPr>
        <w:spacing w:line="480" w:lineRule="auto"/>
      </w:pPr>
    </w:p>
    <w:p w14:paraId="4FADD2F9" w14:textId="77777777" w:rsidR="00F60687" w:rsidRDefault="00F60687" w:rsidP="001407CA">
      <w:pPr>
        <w:spacing w:line="480" w:lineRule="auto"/>
      </w:pPr>
    </w:p>
    <w:p w14:paraId="0AB2F640" w14:textId="77777777" w:rsidR="00F60687" w:rsidRDefault="00F60687" w:rsidP="001407CA">
      <w:pPr>
        <w:spacing w:line="480" w:lineRule="auto"/>
      </w:pPr>
    </w:p>
    <w:p w14:paraId="2FC94F32" w14:textId="77777777" w:rsidR="00F60687" w:rsidRDefault="00F60687" w:rsidP="001407CA">
      <w:pPr>
        <w:spacing w:line="480" w:lineRule="auto"/>
      </w:pPr>
    </w:p>
    <w:p w14:paraId="3A36C461" w14:textId="77777777" w:rsidR="00F60687" w:rsidRDefault="00F60687" w:rsidP="001407CA">
      <w:pPr>
        <w:spacing w:line="480" w:lineRule="auto"/>
      </w:pPr>
    </w:p>
    <w:p w14:paraId="3BFB6C97" w14:textId="77777777" w:rsidR="00F60687" w:rsidRDefault="00F60687" w:rsidP="001407CA">
      <w:pPr>
        <w:spacing w:line="480" w:lineRule="auto"/>
      </w:pPr>
    </w:p>
    <w:p w14:paraId="0BA4195D" w14:textId="77777777" w:rsidR="00F60687" w:rsidRDefault="00F60687" w:rsidP="001407CA">
      <w:pPr>
        <w:spacing w:line="480" w:lineRule="auto"/>
      </w:pPr>
    </w:p>
    <w:p w14:paraId="4706E6C6" w14:textId="77777777" w:rsidR="00F60687" w:rsidRDefault="00F60687" w:rsidP="001407CA">
      <w:pPr>
        <w:spacing w:line="480" w:lineRule="auto"/>
      </w:pPr>
    </w:p>
    <w:p w14:paraId="6B8EACEC" w14:textId="77777777" w:rsidR="00F60687" w:rsidRDefault="00F60687" w:rsidP="001407CA">
      <w:pPr>
        <w:spacing w:line="480" w:lineRule="auto"/>
      </w:pPr>
    </w:p>
    <w:p w14:paraId="03188F4F" w14:textId="77777777" w:rsidR="0092526F" w:rsidRDefault="0092526F" w:rsidP="0092526F">
      <w:pPr>
        <w:pStyle w:val="Heading1"/>
      </w:pPr>
      <w:r>
        <w:lastRenderedPageBreak/>
        <w:t>Table too large to include in body of test</w:t>
      </w:r>
    </w:p>
    <w:p w14:paraId="603E8E8F" w14:textId="77777777" w:rsidR="0092526F" w:rsidRPr="008041DF" w:rsidRDefault="0092526F" w:rsidP="0092526F"/>
    <w:p w14:paraId="5AEFDB04" w14:textId="77777777" w:rsidR="0092526F" w:rsidRPr="00A33434" w:rsidRDefault="0092526F" w:rsidP="0092526F">
      <w:pPr>
        <w:pStyle w:val="Heading2"/>
        <w:spacing w:line="240" w:lineRule="auto"/>
        <w:rPr>
          <w:b/>
          <w:bCs/>
          <w:sz w:val="22"/>
          <w:szCs w:val="22"/>
        </w:rPr>
      </w:pPr>
      <w:r w:rsidRPr="00E416C0">
        <w:rPr>
          <w:b/>
          <w:bCs/>
          <w:sz w:val="22"/>
          <w:szCs w:val="22"/>
        </w:rPr>
        <w:t xml:space="preserve">Table 1:  </w:t>
      </w:r>
      <w:r>
        <w:rPr>
          <w:b/>
          <w:bCs/>
          <w:sz w:val="22"/>
          <w:szCs w:val="22"/>
        </w:rPr>
        <w:t xml:space="preserve">Factors associated with severe illness and mortality among </w:t>
      </w:r>
      <w:r w:rsidRPr="05F64F4F">
        <w:rPr>
          <w:b/>
          <w:bCs/>
          <w:sz w:val="22"/>
          <w:szCs w:val="22"/>
        </w:rPr>
        <w:t>inpatients</w:t>
      </w:r>
      <w:r>
        <w:rPr>
          <w:b/>
          <w:bCs/>
          <w:sz w:val="22"/>
          <w:szCs w:val="22"/>
        </w:rPr>
        <w:t xml:space="preserve"> with AFI and positive malaria test </w:t>
      </w:r>
    </w:p>
    <w:tbl>
      <w:tblPr>
        <w:tblW w:w="0" w:type="auto"/>
        <w:tblLayout w:type="fixed"/>
        <w:tblLook w:val="04A0" w:firstRow="1" w:lastRow="0" w:firstColumn="1" w:lastColumn="0" w:noHBand="0" w:noVBand="1"/>
      </w:tblPr>
      <w:tblGrid>
        <w:gridCol w:w="1946"/>
        <w:gridCol w:w="1004"/>
        <w:gridCol w:w="1004"/>
        <w:gridCol w:w="886"/>
        <w:gridCol w:w="1278"/>
        <w:gridCol w:w="1172"/>
        <w:gridCol w:w="810"/>
        <w:gridCol w:w="1260"/>
      </w:tblGrid>
      <w:tr w:rsidR="0092526F" w:rsidRPr="00D37B2D" w14:paraId="6DE9B435" w14:textId="77777777" w:rsidTr="006B73F2">
        <w:trPr>
          <w:trHeight w:val="20"/>
        </w:trPr>
        <w:tc>
          <w:tcPr>
            <w:tcW w:w="2950" w:type="dxa"/>
            <w:gridSpan w:val="2"/>
            <w:tcBorders>
              <w:bottom w:val="nil"/>
            </w:tcBorders>
            <w:shd w:val="clear" w:color="auto" w:fill="auto"/>
            <w:noWrap/>
          </w:tcPr>
          <w:p w14:paraId="3EB21BD8" w14:textId="77777777" w:rsidR="0092526F" w:rsidRPr="00091B01" w:rsidRDefault="0092526F" w:rsidP="006B73F2">
            <w:pPr>
              <w:spacing w:after="0" w:line="240" w:lineRule="auto"/>
              <w:jc w:val="center"/>
              <w:rPr>
                <w:rFonts w:ascii="Calibri" w:hAnsi="Calibri"/>
                <w:b/>
                <w:bCs/>
                <w:color w:val="000000"/>
                <w:kern w:val="0"/>
                <w:sz w:val="20"/>
                <w:szCs w:val="20"/>
                <w14:ligatures w14:val="none"/>
              </w:rPr>
            </w:pPr>
            <w:r w:rsidRPr="00091B01">
              <w:rPr>
                <w:rFonts w:ascii="Calibri" w:hAnsi="Calibri"/>
                <w:b/>
                <w:bCs/>
                <w:color w:val="000000"/>
                <w:kern w:val="0"/>
                <w:sz w:val="20"/>
                <w:szCs w:val="20"/>
                <w14:ligatures w14:val="none"/>
              </w:rPr>
              <w:t>Characteristic</w:t>
            </w:r>
          </w:p>
        </w:tc>
        <w:tc>
          <w:tcPr>
            <w:tcW w:w="3168" w:type="dxa"/>
            <w:gridSpan w:val="3"/>
            <w:tcBorders>
              <w:left w:val="nil"/>
              <w:bottom w:val="nil"/>
              <w:right w:val="single" w:sz="4" w:space="0" w:color="auto"/>
            </w:tcBorders>
            <w:shd w:val="clear" w:color="auto" w:fill="auto"/>
            <w:noWrap/>
            <w:vAlign w:val="center"/>
          </w:tcPr>
          <w:p w14:paraId="51E2FCD1" w14:textId="77777777" w:rsidR="0092526F" w:rsidRPr="00091B01" w:rsidRDefault="0092526F" w:rsidP="006B73F2">
            <w:pPr>
              <w:spacing w:after="0" w:line="240" w:lineRule="auto"/>
              <w:jc w:val="center"/>
              <w:rPr>
                <w:rFonts w:ascii="Calibri" w:hAnsi="Calibri"/>
                <w:b/>
                <w:bCs/>
                <w:color w:val="000000"/>
                <w:kern w:val="0"/>
                <w:sz w:val="20"/>
                <w:szCs w:val="20"/>
                <w14:ligatures w14:val="none"/>
              </w:rPr>
            </w:pPr>
            <w:r w:rsidRPr="00091B01">
              <w:rPr>
                <w:rFonts w:ascii="Calibri" w:hAnsi="Calibri"/>
                <w:b/>
                <w:bCs/>
                <w:color w:val="000000"/>
                <w:kern w:val="0"/>
                <w:sz w:val="20"/>
                <w:szCs w:val="20"/>
                <w14:ligatures w14:val="none"/>
              </w:rPr>
              <w:t>Severe illness</w:t>
            </w:r>
            <w:r>
              <w:rPr>
                <w:rFonts w:ascii="Calibri" w:hAnsi="Calibri"/>
                <w:b/>
                <w:bCs/>
                <w:color w:val="000000"/>
                <w:kern w:val="0"/>
                <w:sz w:val="20"/>
                <w:szCs w:val="20"/>
                <w14:ligatures w14:val="none"/>
              </w:rPr>
              <w:t xml:space="preserve"> presentation</w:t>
            </w:r>
            <w:r w:rsidRPr="00091B01">
              <w:rPr>
                <w:rFonts w:ascii="Calibri" w:hAnsi="Calibri"/>
                <w:b/>
                <w:bCs/>
                <w:color w:val="000000"/>
                <w:kern w:val="0"/>
                <w:sz w:val="20"/>
                <w:szCs w:val="20"/>
                <w14:ligatures w14:val="none"/>
              </w:rPr>
              <w:t>*</w:t>
            </w:r>
          </w:p>
        </w:tc>
        <w:tc>
          <w:tcPr>
            <w:tcW w:w="3242" w:type="dxa"/>
            <w:gridSpan w:val="3"/>
            <w:tcBorders>
              <w:left w:val="single" w:sz="4" w:space="0" w:color="auto"/>
              <w:bottom w:val="nil"/>
            </w:tcBorders>
            <w:shd w:val="clear" w:color="auto" w:fill="auto"/>
            <w:noWrap/>
            <w:vAlign w:val="center"/>
          </w:tcPr>
          <w:p w14:paraId="0C09C57B" w14:textId="77777777" w:rsidR="0092526F" w:rsidRPr="00091B01" w:rsidRDefault="0092526F" w:rsidP="006B73F2">
            <w:pPr>
              <w:spacing w:after="0" w:line="240" w:lineRule="auto"/>
              <w:jc w:val="center"/>
              <w:rPr>
                <w:rFonts w:ascii="Calibri" w:hAnsi="Calibri"/>
                <w:b/>
                <w:bCs/>
                <w:color w:val="000000"/>
                <w:kern w:val="0"/>
                <w:sz w:val="20"/>
                <w:szCs w:val="20"/>
                <w14:ligatures w14:val="none"/>
              </w:rPr>
            </w:pPr>
            <w:r w:rsidRPr="00091B01">
              <w:rPr>
                <w:rFonts w:ascii="Calibri" w:hAnsi="Calibri"/>
                <w:b/>
                <w:bCs/>
                <w:color w:val="000000"/>
                <w:kern w:val="0"/>
                <w:sz w:val="20"/>
                <w:szCs w:val="20"/>
                <w14:ligatures w14:val="none"/>
              </w:rPr>
              <w:t>Mortality†</w:t>
            </w:r>
          </w:p>
        </w:tc>
      </w:tr>
      <w:tr w:rsidR="0092526F" w:rsidRPr="00D37B2D" w14:paraId="4423565A" w14:textId="77777777" w:rsidTr="006B73F2">
        <w:trPr>
          <w:trHeight w:val="20"/>
        </w:trPr>
        <w:tc>
          <w:tcPr>
            <w:tcW w:w="1946" w:type="dxa"/>
            <w:tcBorders>
              <w:top w:val="single" w:sz="4" w:space="0" w:color="auto"/>
              <w:bottom w:val="nil"/>
              <w:right w:val="nil"/>
            </w:tcBorders>
            <w:shd w:val="clear" w:color="auto" w:fill="auto"/>
            <w:noWrap/>
          </w:tcPr>
          <w:p w14:paraId="39B33BC2" w14:textId="77777777" w:rsidR="0092526F" w:rsidRPr="00D37B2D" w:rsidRDefault="0092526F" w:rsidP="006B73F2">
            <w:pPr>
              <w:spacing w:after="0" w:line="240" w:lineRule="auto"/>
              <w:rPr>
                <w:sz w:val="20"/>
                <w:szCs w:val="20"/>
              </w:rPr>
            </w:pPr>
          </w:p>
        </w:tc>
        <w:tc>
          <w:tcPr>
            <w:tcW w:w="1004" w:type="dxa"/>
            <w:tcBorders>
              <w:top w:val="single" w:sz="4" w:space="0" w:color="auto"/>
              <w:left w:val="nil"/>
              <w:bottom w:val="nil"/>
            </w:tcBorders>
            <w:shd w:val="clear" w:color="auto" w:fill="auto"/>
            <w:noWrap/>
            <w:vAlign w:val="center"/>
          </w:tcPr>
          <w:p w14:paraId="2C084789" w14:textId="77777777" w:rsidR="0092526F" w:rsidRPr="00091B01" w:rsidRDefault="0092526F" w:rsidP="006B73F2">
            <w:pPr>
              <w:spacing w:after="0" w:line="240" w:lineRule="auto"/>
              <w:jc w:val="center"/>
              <w:rPr>
                <w:rFonts w:ascii="Calibri" w:hAnsi="Calibri"/>
                <w:color w:val="000000"/>
                <w:kern w:val="0"/>
                <w:sz w:val="20"/>
                <w:szCs w:val="20"/>
                <w14:ligatures w14:val="none"/>
              </w:rPr>
            </w:pPr>
            <w:r w:rsidRPr="00091B01">
              <w:rPr>
                <w:rFonts w:ascii="Calibri" w:hAnsi="Calibri"/>
                <w:color w:val="000000"/>
                <w:kern w:val="0"/>
                <w:sz w:val="20"/>
                <w:szCs w:val="20"/>
                <w14:ligatures w14:val="none"/>
              </w:rPr>
              <w:t xml:space="preserve">Overall, </w:t>
            </w:r>
            <w:r w:rsidRPr="00091B01">
              <w:rPr>
                <w:rFonts w:ascii="Calibri" w:hAnsi="Calibri"/>
                <w:color w:val="000000"/>
                <w:kern w:val="0"/>
                <w:sz w:val="20"/>
                <w:szCs w:val="20"/>
                <w14:ligatures w14:val="none"/>
              </w:rPr>
              <w:br/>
              <w:t>n (%)</w:t>
            </w:r>
            <w:r w:rsidRPr="00091B01">
              <w:rPr>
                <w:rFonts w:ascii="Calibri" w:hAnsi="Calibri"/>
                <w:color w:val="000000"/>
                <w:kern w:val="0"/>
                <w:sz w:val="20"/>
                <w:szCs w:val="20"/>
                <w14:ligatures w14:val="none"/>
              </w:rPr>
              <w:br/>
              <w:t>N = 2,197</w:t>
            </w:r>
          </w:p>
        </w:tc>
        <w:tc>
          <w:tcPr>
            <w:tcW w:w="1004" w:type="dxa"/>
            <w:tcBorders>
              <w:top w:val="single" w:sz="4" w:space="0" w:color="auto"/>
              <w:left w:val="nil"/>
              <w:bottom w:val="nil"/>
              <w:right w:val="nil"/>
            </w:tcBorders>
            <w:shd w:val="clear" w:color="auto" w:fill="auto"/>
            <w:noWrap/>
            <w:vAlign w:val="center"/>
          </w:tcPr>
          <w:p w14:paraId="54AD263D" w14:textId="77777777" w:rsidR="0092526F" w:rsidRPr="00091B01" w:rsidRDefault="0092526F" w:rsidP="006B73F2">
            <w:pPr>
              <w:spacing w:after="0" w:line="240" w:lineRule="auto"/>
              <w:jc w:val="center"/>
              <w:rPr>
                <w:rFonts w:ascii="Times New Roman" w:hAnsi="Times New Roman"/>
                <w:kern w:val="0"/>
                <w:sz w:val="20"/>
                <w:szCs w:val="20"/>
                <w14:ligatures w14:val="none"/>
              </w:rPr>
            </w:pPr>
            <w:r w:rsidRPr="00091B01">
              <w:rPr>
                <w:rFonts w:ascii="Calibri" w:hAnsi="Calibri"/>
                <w:color w:val="000000"/>
                <w:kern w:val="0"/>
                <w:sz w:val="20"/>
                <w:szCs w:val="20"/>
                <w14:ligatures w14:val="none"/>
              </w:rPr>
              <w:t>Not severe,</w:t>
            </w:r>
            <w:r w:rsidRPr="00091B01">
              <w:rPr>
                <w:rFonts w:ascii="Calibri" w:hAnsi="Calibri"/>
                <w:color w:val="000000"/>
                <w:kern w:val="0"/>
                <w:sz w:val="20"/>
                <w:szCs w:val="20"/>
                <w14:ligatures w14:val="none"/>
              </w:rPr>
              <w:br/>
              <w:t xml:space="preserve">n (%) </w:t>
            </w:r>
            <w:r w:rsidRPr="00091B01">
              <w:rPr>
                <w:rFonts w:ascii="Calibri" w:hAnsi="Calibri"/>
                <w:color w:val="000000"/>
                <w:kern w:val="0"/>
                <w:sz w:val="20"/>
                <w:szCs w:val="20"/>
                <w14:ligatures w14:val="none"/>
              </w:rPr>
              <w:br/>
              <w:t>N = 1,484</w:t>
            </w:r>
          </w:p>
        </w:tc>
        <w:tc>
          <w:tcPr>
            <w:tcW w:w="886" w:type="dxa"/>
            <w:tcBorders>
              <w:top w:val="single" w:sz="4" w:space="0" w:color="auto"/>
              <w:left w:val="nil"/>
              <w:bottom w:val="nil"/>
              <w:right w:val="nil"/>
            </w:tcBorders>
            <w:shd w:val="clear" w:color="auto" w:fill="auto"/>
            <w:noWrap/>
            <w:vAlign w:val="center"/>
          </w:tcPr>
          <w:p w14:paraId="11A0D957" w14:textId="77777777" w:rsidR="0092526F" w:rsidRPr="00091B01" w:rsidRDefault="0092526F" w:rsidP="006B73F2">
            <w:pPr>
              <w:spacing w:after="0" w:line="240" w:lineRule="auto"/>
              <w:jc w:val="center"/>
              <w:rPr>
                <w:rFonts w:ascii="Times New Roman" w:hAnsi="Times New Roman"/>
                <w:kern w:val="0"/>
                <w:sz w:val="20"/>
                <w:szCs w:val="20"/>
                <w14:ligatures w14:val="none"/>
              </w:rPr>
            </w:pPr>
            <w:r w:rsidRPr="00091B01">
              <w:rPr>
                <w:rFonts w:ascii="Calibri" w:hAnsi="Calibri"/>
                <w:color w:val="000000"/>
                <w:kern w:val="0"/>
                <w:sz w:val="20"/>
                <w:szCs w:val="20"/>
                <w14:ligatures w14:val="none"/>
              </w:rPr>
              <w:t xml:space="preserve">Severe, </w:t>
            </w:r>
            <w:r w:rsidRPr="00091B01">
              <w:rPr>
                <w:rFonts w:ascii="Calibri" w:hAnsi="Calibri"/>
                <w:color w:val="000000"/>
                <w:kern w:val="0"/>
                <w:sz w:val="20"/>
                <w:szCs w:val="20"/>
                <w14:ligatures w14:val="none"/>
              </w:rPr>
              <w:br/>
              <w:t>n (%)</w:t>
            </w:r>
            <w:r w:rsidRPr="00091B01">
              <w:rPr>
                <w:rFonts w:ascii="Calibri" w:hAnsi="Calibri"/>
                <w:color w:val="000000"/>
                <w:kern w:val="0"/>
                <w:sz w:val="20"/>
                <w:szCs w:val="20"/>
                <w14:ligatures w14:val="none"/>
              </w:rPr>
              <w:br/>
              <w:t>N = 713</w:t>
            </w:r>
          </w:p>
        </w:tc>
        <w:tc>
          <w:tcPr>
            <w:tcW w:w="1278" w:type="dxa"/>
            <w:tcBorders>
              <w:top w:val="single" w:sz="4" w:space="0" w:color="auto"/>
              <w:left w:val="nil"/>
              <w:bottom w:val="nil"/>
              <w:right w:val="single" w:sz="4" w:space="0" w:color="auto"/>
            </w:tcBorders>
            <w:shd w:val="clear" w:color="auto" w:fill="auto"/>
            <w:noWrap/>
            <w:vAlign w:val="center"/>
          </w:tcPr>
          <w:p w14:paraId="62BE96A6" w14:textId="77777777" w:rsidR="0092526F" w:rsidRPr="00091B01" w:rsidRDefault="0092526F" w:rsidP="006B73F2">
            <w:pPr>
              <w:spacing w:after="0" w:line="240" w:lineRule="auto"/>
              <w:jc w:val="center"/>
              <w:rPr>
                <w:rFonts w:ascii="Times New Roman" w:hAnsi="Times New Roman"/>
                <w:kern w:val="0"/>
                <w:sz w:val="20"/>
                <w:szCs w:val="20"/>
                <w14:ligatures w14:val="none"/>
              </w:rPr>
            </w:pPr>
            <w:r w:rsidRPr="00091B01">
              <w:rPr>
                <w:rFonts w:ascii="Calibri" w:hAnsi="Calibri"/>
                <w:color w:val="000000"/>
                <w:kern w:val="0"/>
                <w:sz w:val="20"/>
                <w:szCs w:val="20"/>
                <w14:ligatures w14:val="none"/>
              </w:rPr>
              <w:t>OR (95% CI)</w:t>
            </w:r>
          </w:p>
        </w:tc>
        <w:tc>
          <w:tcPr>
            <w:tcW w:w="1172" w:type="dxa"/>
            <w:tcBorders>
              <w:top w:val="single" w:sz="4" w:space="0" w:color="auto"/>
              <w:left w:val="single" w:sz="4" w:space="0" w:color="auto"/>
              <w:bottom w:val="nil"/>
              <w:right w:val="nil"/>
            </w:tcBorders>
            <w:shd w:val="clear" w:color="auto" w:fill="auto"/>
            <w:noWrap/>
            <w:vAlign w:val="center"/>
          </w:tcPr>
          <w:p w14:paraId="44A65969" w14:textId="77777777" w:rsidR="0092526F" w:rsidRPr="00091B01" w:rsidRDefault="0092526F" w:rsidP="006B73F2">
            <w:pPr>
              <w:spacing w:after="0" w:line="240" w:lineRule="auto"/>
              <w:jc w:val="center"/>
              <w:rPr>
                <w:rFonts w:ascii="Times New Roman" w:hAnsi="Times New Roman"/>
                <w:kern w:val="0"/>
                <w:sz w:val="20"/>
                <w:szCs w:val="20"/>
                <w14:ligatures w14:val="none"/>
              </w:rPr>
            </w:pPr>
            <w:r w:rsidRPr="00091B01">
              <w:rPr>
                <w:rFonts w:ascii="Calibri" w:hAnsi="Calibri"/>
                <w:color w:val="000000"/>
                <w:kern w:val="0"/>
                <w:sz w:val="20"/>
                <w:szCs w:val="20"/>
                <w14:ligatures w14:val="none"/>
              </w:rPr>
              <w:t>Discharged,</w:t>
            </w:r>
            <w:r w:rsidRPr="00091B01">
              <w:rPr>
                <w:rFonts w:ascii="Calibri" w:hAnsi="Calibri"/>
                <w:color w:val="000000"/>
                <w:kern w:val="0"/>
                <w:sz w:val="20"/>
                <w:szCs w:val="20"/>
                <w14:ligatures w14:val="none"/>
              </w:rPr>
              <w:br/>
              <w:t>n (%)</w:t>
            </w:r>
            <w:r w:rsidRPr="00091B01">
              <w:rPr>
                <w:rFonts w:ascii="Calibri" w:hAnsi="Calibri"/>
                <w:color w:val="000000"/>
                <w:kern w:val="0"/>
                <w:sz w:val="20"/>
                <w:szCs w:val="20"/>
                <w14:ligatures w14:val="none"/>
              </w:rPr>
              <w:br/>
              <w:t>N = 2,113</w:t>
            </w:r>
          </w:p>
        </w:tc>
        <w:tc>
          <w:tcPr>
            <w:tcW w:w="810" w:type="dxa"/>
            <w:tcBorders>
              <w:top w:val="single" w:sz="4" w:space="0" w:color="auto"/>
              <w:left w:val="nil"/>
              <w:bottom w:val="nil"/>
              <w:right w:val="nil"/>
            </w:tcBorders>
            <w:shd w:val="clear" w:color="auto" w:fill="auto"/>
            <w:noWrap/>
            <w:vAlign w:val="center"/>
          </w:tcPr>
          <w:p w14:paraId="3CC0FBB1" w14:textId="77777777" w:rsidR="0092526F" w:rsidRPr="00091B01" w:rsidRDefault="0092526F" w:rsidP="006B73F2">
            <w:pPr>
              <w:spacing w:after="0" w:line="240" w:lineRule="auto"/>
              <w:jc w:val="center"/>
              <w:rPr>
                <w:rFonts w:ascii="Times New Roman" w:hAnsi="Times New Roman"/>
                <w:kern w:val="0"/>
                <w:sz w:val="20"/>
                <w:szCs w:val="20"/>
                <w14:ligatures w14:val="none"/>
              </w:rPr>
            </w:pPr>
            <w:r w:rsidRPr="00091B01">
              <w:rPr>
                <w:rFonts w:ascii="Calibri" w:hAnsi="Calibri"/>
                <w:color w:val="000000"/>
                <w:kern w:val="0"/>
                <w:sz w:val="20"/>
                <w:szCs w:val="20"/>
                <w14:ligatures w14:val="none"/>
              </w:rPr>
              <w:t>Dead,</w:t>
            </w:r>
            <w:r w:rsidRPr="00091B01">
              <w:rPr>
                <w:rFonts w:ascii="Calibri" w:hAnsi="Calibri"/>
                <w:color w:val="000000"/>
                <w:kern w:val="0"/>
                <w:sz w:val="20"/>
                <w:szCs w:val="20"/>
                <w14:ligatures w14:val="none"/>
              </w:rPr>
              <w:br/>
              <w:t>n (%)</w:t>
            </w:r>
            <w:r w:rsidRPr="00091B01">
              <w:rPr>
                <w:rFonts w:ascii="Calibri" w:hAnsi="Calibri"/>
                <w:color w:val="000000"/>
                <w:kern w:val="0"/>
                <w:sz w:val="20"/>
                <w:szCs w:val="20"/>
                <w14:ligatures w14:val="none"/>
              </w:rPr>
              <w:br/>
              <w:t>N = 16</w:t>
            </w:r>
          </w:p>
        </w:tc>
        <w:tc>
          <w:tcPr>
            <w:tcW w:w="1260" w:type="dxa"/>
            <w:tcBorders>
              <w:top w:val="single" w:sz="4" w:space="0" w:color="auto"/>
              <w:left w:val="nil"/>
              <w:bottom w:val="single" w:sz="4" w:space="0" w:color="auto"/>
            </w:tcBorders>
            <w:shd w:val="clear" w:color="auto" w:fill="auto"/>
            <w:noWrap/>
            <w:vAlign w:val="center"/>
          </w:tcPr>
          <w:p w14:paraId="52849A61" w14:textId="77777777" w:rsidR="0092526F" w:rsidRPr="00091B01" w:rsidRDefault="0092526F" w:rsidP="006B73F2">
            <w:pPr>
              <w:spacing w:after="0" w:line="240" w:lineRule="auto"/>
              <w:jc w:val="center"/>
              <w:rPr>
                <w:rFonts w:ascii="Times New Roman" w:hAnsi="Times New Roman"/>
                <w:kern w:val="0"/>
                <w:sz w:val="20"/>
                <w:szCs w:val="20"/>
                <w14:ligatures w14:val="none"/>
              </w:rPr>
            </w:pPr>
            <w:r w:rsidRPr="00091B01">
              <w:rPr>
                <w:rFonts w:ascii="Calibri" w:hAnsi="Calibri"/>
                <w:color w:val="000000"/>
                <w:kern w:val="0"/>
                <w:sz w:val="20"/>
                <w:szCs w:val="20"/>
                <w14:ligatures w14:val="none"/>
              </w:rPr>
              <w:t>OR (95% CI)</w:t>
            </w:r>
          </w:p>
        </w:tc>
      </w:tr>
      <w:tr w:rsidR="0092526F" w:rsidRPr="00D37B2D" w14:paraId="3DA3A3BA" w14:textId="77777777" w:rsidTr="006B73F2">
        <w:trPr>
          <w:trHeight w:val="20"/>
        </w:trPr>
        <w:tc>
          <w:tcPr>
            <w:tcW w:w="1946" w:type="dxa"/>
            <w:tcBorders>
              <w:top w:val="single" w:sz="4" w:space="0" w:color="auto"/>
              <w:bottom w:val="nil"/>
              <w:right w:val="nil"/>
            </w:tcBorders>
            <w:shd w:val="clear" w:color="auto" w:fill="auto"/>
            <w:noWrap/>
            <w:hideMark/>
          </w:tcPr>
          <w:p w14:paraId="1AB48FBE" w14:textId="77777777" w:rsidR="0092526F" w:rsidRPr="00D37B2D" w:rsidRDefault="0092526F" w:rsidP="006B73F2">
            <w:pPr>
              <w:spacing w:after="0" w:line="240" w:lineRule="auto"/>
              <w:rPr>
                <w:rFonts w:ascii="Calibri" w:hAnsi="Calibri"/>
                <w:b/>
                <w:color w:val="000000"/>
                <w:kern w:val="0"/>
                <w:sz w:val="20"/>
                <w:szCs w:val="20"/>
                <w14:ligatures w14:val="none"/>
              </w:rPr>
            </w:pPr>
            <w:r w:rsidRPr="00D37B2D">
              <w:rPr>
                <w:sz w:val="20"/>
                <w:szCs w:val="20"/>
              </w:rPr>
              <w:t>Sex</w:t>
            </w:r>
          </w:p>
        </w:tc>
        <w:tc>
          <w:tcPr>
            <w:tcW w:w="1004" w:type="dxa"/>
            <w:tcBorders>
              <w:top w:val="single" w:sz="4" w:space="0" w:color="auto"/>
              <w:left w:val="nil"/>
              <w:bottom w:val="nil"/>
            </w:tcBorders>
            <w:shd w:val="clear" w:color="auto" w:fill="auto"/>
            <w:noWrap/>
            <w:hideMark/>
          </w:tcPr>
          <w:p w14:paraId="1BFB25B9" w14:textId="77777777" w:rsidR="0092526F" w:rsidRPr="00091B01" w:rsidRDefault="0092526F" w:rsidP="006B73F2">
            <w:pPr>
              <w:spacing w:after="0" w:line="240" w:lineRule="auto"/>
              <w:rPr>
                <w:rFonts w:ascii="Calibri" w:hAnsi="Calibri"/>
                <w:color w:val="000000"/>
                <w:kern w:val="0"/>
                <w:sz w:val="20"/>
                <w:szCs w:val="20"/>
                <w14:ligatures w14:val="none"/>
              </w:rPr>
            </w:pPr>
          </w:p>
        </w:tc>
        <w:tc>
          <w:tcPr>
            <w:tcW w:w="1004" w:type="dxa"/>
            <w:tcBorders>
              <w:top w:val="single" w:sz="4" w:space="0" w:color="auto"/>
              <w:left w:val="nil"/>
              <w:bottom w:val="nil"/>
              <w:right w:val="nil"/>
            </w:tcBorders>
            <w:shd w:val="clear" w:color="auto" w:fill="auto"/>
            <w:noWrap/>
            <w:hideMark/>
          </w:tcPr>
          <w:p w14:paraId="0CE2D871" w14:textId="77777777" w:rsidR="0092526F" w:rsidRPr="00091B01" w:rsidRDefault="0092526F" w:rsidP="006B73F2">
            <w:pPr>
              <w:spacing w:after="0" w:line="240" w:lineRule="auto"/>
              <w:jc w:val="right"/>
              <w:rPr>
                <w:rFonts w:ascii="Times New Roman" w:hAnsi="Times New Roman"/>
                <w:kern w:val="0"/>
                <w:sz w:val="20"/>
                <w:szCs w:val="20"/>
                <w14:ligatures w14:val="none"/>
              </w:rPr>
            </w:pPr>
          </w:p>
        </w:tc>
        <w:tc>
          <w:tcPr>
            <w:tcW w:w="886" w:type="dxa"/>
            <w:tcBorders>
              <w:top w:val="single" w:sz="4" w:space="0" w:color="auto"/>
              <w:left w:val="nil"/>
              <w:bottom w:val="nil"/>
              <w:right w:val="nil"/>
            </w:tcBorders>
            <w:shd w:val="clear" w:color="auto" w:fill="auto"/>
            <w:noWrap/>
            <w:hideMark/>
          </w:tcPr>
          <w:p w14:paraId="75961D4C" w14:textId="77777777" w:rsidR="0092526F" w:rsidRPr="00091B01" w:rsidRDefault="0092526F" w:rsidP="006B73F2">
            <w:pPr>
              <w:spacing w:after="0" w:line="240" w:lineRule="auto"/>
              <w:jc w:val="right"/>
              <w:rPr>
                <w:rFonts w:ascii="Times New Roman" w:hAnsi="Times New Roman"/>
                <w:kern w:val="0"/>
                <w:sz w:val="20"/>
                <w:szCs w:val="20"/>
                <w14:ligatures w14:val="none"/>
              </w:rPr>
            </w:pPr>
          </w:p>
        </w:tc>
        <w:tc>
          <w:tcPr>
            <w:tcW w:w="1278" w:type="dxa"/>
            <w:tcBorders>
              <w:top w:val="single" w:sz="4" w:space="0" w:color="auto"/>
              <w:left w:val="nil"/>
              <w:bottom w:val="nil"/>
              <w:right w:val="single" w:sz="4" w:space="0" w:color="auto"/>
            </w:tcBorders>
            <w:shd w:val="clear" w:color="auto" w:fill="auto"/>
            <w:noWrap/>
            <w:hideMark/>
          </w:tcPr>
          <w:p w14:paraId="1AEED9EF" w14:textId="77777777" w:rsidR="0092526F" w:rsidRPr="00091B01" w:rsidRDefault="0092526F" w:rsidP="006B73F2">
            <w:pPr>
              <w:spacing w:after="0" w:line="240" w:lineRule="auto"/>
              <w:jc w:val="right"/>
              <w:rPr>
                <w:rFonts w:ascii="Times New Roman" w:hAnsi="Times New Roman"/>
                <w:kern w:val="0"/>
                <w:sz w:val="20"/>
                <w:szCs w:val="20"/>
                <w14:ligatures w14:val="none"/>
              </w:rPr>
            </w:pPr>
          </w:p>
        </w:tc>
        <w:tc>
          <w:tcPr>
            <w:tcW w:w="1172" w:type="dxa"/>
            <w:tcBorders>
              <w:top w:val="single" w:sz="4" w:space="0" w:color="auto"/>
              <w:left w:val="single" w:sz="4" w:space="0" w:color="auto"/>
              <w:bottom w:val="nil"/>
              <w:right w:val="nil"/>
            </w:tcBorders>
            <w:shd w:val="clear" w:color="auto" w:fill="auto"/>
            <w:noWrap/>
            <w:hideMark/>
          </w:tcPr>
          <w:p w14:paraId="582B59E6" w14:textId="77777777" w:rsidR="0092526F" w:rsidRPr="00091B01" w:rsidRDefault="0092526F" w:rsidP="006B73F2">
            <w:pPr>
              <w:spacing w:after="0" w:line="240" w:lineRule="auto"/>
              <w:jc w:val="right"/>
              <w:rPr>
                <w:rFonts w:ascii="Times New Roman" w:hAnsi="Times New Roman"/>
                <w:kern w:val="0"/>
                <w:sz w:val="20"/>
                <w:szCs w:val="20"/>
                <w14:ligatures w14:val="none"/>
              </w:rPr>
            </w:pPr>
          </w:p>
        </w:tc>
        <w:tc>
          <w:tcPr>
            <w:tcW w:w="810" w:type="dxa"/>
            <w:tcBorders>
              <w:top w:val="single" w:sz="4" w:space="0" w:color="auto"/>
              <w:left w:val="nil"/>
              <w:bottom w:val="nil"/>
              <w:right w:val="nil"/>
            </w:tcBorders>
            <w:shd w:val="clear" w:color="auto" w:fill="auto"/>
            <w:noWrap/>
            <w:hideMark/>
          </w:tcPr>
          <w:p w14:paraId="1224AF9D" w14:textId="77777777" w:rsidR="0092526F" w:rsidRPr="00091B01" w:rsidRDefault="0092526F" w:rsidP="006B73F2">
            <w:pPr>
              <w:spacing w:after="0" w:line="240" w:lineRule="auto"/>
              <w:jc w:val="right"/>
              <w:rPr>
                <w:rFonts w:ascii="Times New Roman" w:hAnsi="Times New Roman"/>
                <w:kern w:val="0"/>
                <w:sz w:val="20"/>
                <w:szCs w:val="20"/>
                <w14:ligatures w14:val="none"/>
              </w:rPr>
            </w:pPr>
          </w:p>
        </w:tc>
        <w:tc>
          <w:tcPr>
            <w:tcW w:w="1260" w:type="dxa"/>
            <w:tcBorders>
              <w:top w:val="single" w:sz="4" w:space="0" w:color="auto"/>
              <w:left w:val="nil"/>
              <w:bottom w:val="nil"/>
            </w:tcBorders>
            <w:shd w:val="clear" w:color="auto" w:fill="auto"/>
            <w:noWrap/>
            <w:hideMark/>
          </w:tcPr>
          <w:p w14:paraId="2471D275" w14:textId="77777777" w:rsidR="0092526F" w:rsidRPr="00091B01" w:rsidRDefault="0092526F" w:rsidP="006B73F2">
            <w:pPr>
              <w:spacing w:after="0" w:line="240" w:lineRule="auto"/>
              <w:jc w:val="right"/>
              <w:rPr>
                <w:rFonts w:ascii="Times New Roman" w:hAnsi="Times New Roman"/>
                <w:kern w:val="0"/>
                <w:sz w:val="20"/>
                <w:szCs w:val="20"/>
                <w14:ligatures w14:val="none"/>
              </w:rPr>
            </w:pPr>
          </w:p>
        </w:tc>
      </w:tr>
      <w:tr w:rsidR="0092526F" w:rsidRPr="00D37B2D" w14:paraId="1B68E0FA" w14:textId="77777777" w:rsidTr="006B73F2">
        <w:trPr>
          <w:trHeight w:val="20"/>
        </w:trPr>
        <w:tc>
          <w:tcPr>
            <w:tcW w:w="1946" w:type="dxa"/>
            <w:tcBorders>
              <w:top w:val="nil"/>
              <w:bottom w:val="nil"/>
              <w:right w:val="nil"/>
            </w:tcBorders>
            <w:shd w:val="clear" w:color="auto" w:fill="auto"/>
            <w:noWrap/>
            <w:hideMark/>
          </w:tcPr>
          <w:p w14:paraId="49CCEC83"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Female</w:t>
            </w:r>
          </w:p>
        </w:tc>
        <w:tc>
          <w:tcPr>
            <w:tcW w:w="1004" w:type="dxa"/>
            <w:tcBorders>
              <w:top w:val="nil"/>
              <w:left w:val="nil"/>
              <w:bottom w:val="nil"/>
            </w:tcBorders>
            <w:shd w:val="clear" w:color="auto" w:fill="auto"/>
            <w:noWrap/>
            <w:hideMark/>
          </w:tcPr>
          <w:p w14:paraId="559A448A"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984 (45%)</w:t>
            </w:r>
          </w:p>
        </w:tc>
        <w:tc>
          <w:tcPr>
            <w:tcW w:w="1004" w:type="dxa"/>
            <w:tcBorders>
              <w:top w:val="nil"/>
              <w:left w:val="nil"/>
              <w:bottom w:val="nil"/>
              <w:right w:val="nil"/>
            </w:tcBorders>
            <w:shd w:val="clear" w:color="auto" w:fill="auto"/>
            <w:noWrap/>
            <w:hideMark/>
          </w:tcPr>
          <w:p w14:paraId="1A445201"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663 (45%)</w:t>
            </w:r>
          </w:p>
        </w:tc>
        <w:tc>
          <w:tcPr>
            <w:tcW w:w="886" w:type="dxa"/>
            <w:tcBorders>
              <w:top w:val="nil"/>
              <w:left w:val="nil"/>
              <w:bottom w:val="nil"/>
              <w:right w:val="nil"/>
            </w:tcBorders>
            <w:shd w:val="clear" w:color="auto" w:fill="auto"/>
            <w:noWrap/>
            <w:hideMark/>
          </w:tcPr>
          <w:p w14:paraId="4A0AAB1B"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321 (45%)</w:t>
            </w:r>
          </w:p>
        </w:tc>
        <w:tc>
          <w:tcPr>
            <w:tcW w:w="1278" w:type="dxa"/>
            <w:tcBorders>
              <w:top w:val="nil"/>
              <w:left w:val="nil"/>
              <w:bottom w:val="nil"/>
              <w:right w:val="single" w:sz="4" w:space="0" w:color="auto"/>
            </w:tcBorders>
            <w:shd w:val="clear" w:color="auto" w:fill="auto"/>
            <w:noWrap/>
            <w:hideMark/>
          </w:tcPr>
          <w:p w14:paraId="1653143C"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Ref</w:t>
            </w:r>
          </w:p>
        </w:tc>
        <w:tc>
          <w:tcPr>
            <w:tcW w:w="1172" w:type="dxa"/>
            <w:tcBorders>
              <w:top w:val="nil"/>
              <w:left w:val="single" w:sz="4" w:space="0" w:color="auto"/>
              <w:bottom w:val="nil"/>
              <w:right w:val="nil"/>
            </w:tcBorders>
            <w:shd w:val="clear" w:color="auto" w:fill="auto"/>
            <w:noWrap/>
            <w:hideMark/>
          </w:tcPr>
          <w:p w14:paraId="0C3C0B15"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946 (45%)</w:t>
            </w:r>
          </w:p>
        </w:tc>
        <w:tc>
          <w:tcPr>
            <w:tcW w:w="810" w:type="dxa"/>
            <w:tcBorders>
              <w:top w:val="nil"/>
              <w:left w:val="nil"/>
              <w:bottom w:val="nil"/>
              <w:right w:val="nil"/>
            </w:tcBorders>
            <w:shd w:val="clear" w:color="auto" w:fill="auto"/>
            <w:noWrap/>
            <w:hideMark/>
          </w:tcPr>
          <w:p w14:paraId="7681CA77"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9 (56%)</w:t>
            </w:r>
          </w:p>
        </w:tc>
        <w:tc>
          <w:tcPr>
            <w:tcW w:w="1260" w:type="dxa"/>
            <w:tcBorders>
              <w:top w:val="nil"/>
              <w:left w:val="nil"/>
              <w:bottom w:val="nil"/>
            </w:tcBorders>
            <w:shd w:val="clear" w:color="auto" w:fill="auto"/>
            <w:noWrap/>
            <w:hideMark/>
          </w:tcPr>
          <w:p w14:paraId="6C412D04"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Ref</w:t>
            </w:r>
          </w:p>
        </w:tc>
      </w:tr>
      <w:tr w:rsidR="0092526F" w:rsidRPr="00D37B2D" w14:paraId="36D78963" w14:textId="77777777" w:rsidTr="006B73F2">
        <w:trPr>
          <w:trHeight w:val="20"/>
        </w:trPr>
        <w:tc>
          <w:tcPr>
            <w:tcW w:w="1946" w:type="dxa"/>
            <w:tcBorders>
              <w:top w:val="nil"/>
              <w:bottom w:val="nil"/>
              <w:right w:val="nil"/>
            </w:tcBorders>
            <w:shd w:val="clear" w:color="auto" w:fill="auto"/>
            <w:noWrap/>
            <w:hideMark/>
          </w:tcPr>
          <w:p w14:paraId="218B874D"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Male</w:t>
            </w:r>
          </w:p>
        </w:tc>
        <w:tc>
          <w:tcPr>
            <w:tcW w:w="1004" w:type="dxa"/>
            <w:tcBorders>
              <w:top w:val="nil"/>
              <w:left w:val="nil"/>
              <w:bottom w:val="nil"/>
            </w:tcBorders>
            <w:shd w:val="clear" w:color="auto" w:fill="auto"/>
            <w:noWrap/>
            <w:hideMark/>
          </w:tcPr>
          <w:p w14:paraId="00D25C75"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1,213 (55%)</w:t>
            </w:r>
          </w:p>
        </w:tc>
        <w:tc>
          <w:tcPr>
            <w:tcW w:w="1004" w:type="dxa"/>
            <w:tcBorders>
              <w:top w:val="nil"/>
              <w:left w:val="nil"/>
              <w:bottom w:val="nil"/>
              <w:right w:val="nil"/>
            </w:tcBorders>
            <w:shd w:val="clear" w:color="auto" w:fill="auto"/>
            <w:noWrap/>
            <w:hideMark/>
          </w:tcPr>
          <w:p w14:paraId="2131B2EC"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821 (55%)</w:t>
            </w:r>
          </w:p>
        </w:tc>
        <w:tc>
          <w:tcPr>
            <w:tcW w:w="886" w:type="dxa"/>
            <w:tcBorders>
              <w:top w:val="nil"/>
              <w:left w:val="nil"/>
              <w:bottom w:val="nil"/>
              <w:right w:val="nil"/>
            </w:tcBorders>
            <w:shd w:val="clear" w:color="auto" w:fill="auto"/>
            <w:noWrap/>
            <w:hideMark/>
          </w:tcPr>
          <w:p w14:paraId="0AA9C6FB"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392 (55%)</w:t>
            </w:r>
          </w:p>
        </w:tc>
        <w:tc>
          <w:tcPr>
            <w:tcW w:w="1278" w:type="dxa"/>
            <w:tcBorders>
              <w:top w:val="nil"/>
              <w:left w:val="nil"/>
              <w:bottom w:val="nil"/>
              <w:right w:val="single" w:sz="4" w:space="0" w:color="auto"/>
            </w:tcBorders>
            <w:shd w:val="clear" w:color="auto" w:fill="auto"/>
            <w:noWrap/>
            <w:hideMark/>
          </w:tcPr>
          <w:p w14:paraId="2E432F7D"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0.99 (0.82-1.18)</w:t>
            </w:r>
          </w:p>
        </w:tc>
        <w:tc>
          <w:tcPr>
            <w:tcW w:w="1172" w:type="dxa"/>
            <w:tcBorders>
              <w:top w:val="nil"/>
              <w:left w:val="single" w:sz="4" w:space="0" w:color="auto"/>
              <w:bottom w:val="nil"/>
              <w:right w:val="nil"/>
            </w:tcBorders>
            <w:shd w:val="clear" w:color="auto" w:fill="auto"/>
            <w:noWrap/>
            <w:hideMark/>
          </w:tcPr>
          <w:p w14:paraId="62819541"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1,167 (55%)</w:t>
            </w:r>
          </w:p>
        </w:tc>
        <w:tc>
          <w:tcPr>
            <w:tcW w:w="810" w:type="dxa"/>
            <w:tcBorders>
              <w:top w:val="nil"/>
              <w:left w:val="nil"/>
              <w:bottom w:val="nil"/>
              <w:right w:val="nil"/>
            </w:tcBorders>
            <w:shd w:val="clear" w:color="auto" w:fill="auto"/>
            <w:noWrap/>
            <w:hideMark/>
          </w:tcPr>
          <w:p w14:paraId="2047C1B5"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7 (44%)</w:t>
            </w:r>
          </w:p>
        </w:tc>
        <w:tc>
          <w:tcPr>
            <w:tcW w:w="1260" w:type="dxa"/>
            <w:tcBorders>
              <w:top w:val="nil"/>
              <w:left w:val="nil"/>
              <w:bottom w:val="nil"/>
            </w:tcBorders>
            <w:shd w:val="clear" w:color="auto" w:fill="auto"/>
            <w:noWrap/>
            <w:hideMark/>
          </w:tcPr>
          <w:p w14:paraId="7BDF0BE0"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0.63 (0.22-1.70)</w:t>
            </w:r>
          </w:p>
        </w:tc>
      </w:tr>
      <w:tr w:rsidR="0092526F" w:rsidRPr="00D37B2D" w14:paraId="7AEA4801" w14:textId="77777777" w:rsidTr="006B73F2">
        <w:trPr>
          <w:trHeight w:val="20"/>
        </w:trPr>
        <w:tc>
          <w:tcPr>
            <w:tcW w:w="1946" w:type="dxa"/>
            <w:tcBorders>
              <w:top w:val="nil"/>
              <w:bottom w:val="nil"/>
              <w:right w:val="nil"/>
            </w:tcBorders>
            <w:shd w:val="clear" w:color="auto" w:fill="auto"/>
            <w:noWrap/>
          </w:tcPr>
          <w:p w14:paraId="05BE5BEE" w14:textId="77777777" w:rsidR="0092526F" w:rsidRPr="00D37B2D" w:rsidRDefault="0092526F" w:rsidP="006B73F2">
            <w:pPr>
              <w:spacing w:after="0" w:line="240" w:lineRule="auto"/>
              <w:rPr>
                <w:b/>
                <w:bCs/>
                <w:sz w:val="20"/>
                <w:szCs w:val="20"/>
              </w:rPr>
            </w:pPr>
            <w:r w:rsidRPr="00D37B2D">
              <w:rPr>
                <w:sz w:val="20"/>
                <w:szCs w:val="20"/>
              </w:rPr>
              <w:t>Age group (years)</w:t>
            </w:r>
          </w:p>
        </w:tc>
        <w:tc>
          <w:tcPr>
            <w:tcW w:w="1004" w:type="dxa"/>
            <w:tcBorders>
              <w:top w:val="nil"/>
              <w:left w:val="nil"/>
              <w:bottom w:val="nil"/>
            </w:tcBorders>
            <w:shd w:val="clear" w:color="auto" w:fill="auto"/>
            <w:noWrap/>
          </w:tcPr>
          <w:p w14:paraId="72D97F71" w14:textId="77777777" w:rsidR="0092526F" w:rsidRPr="00091B01" w:rsidRDefault="0092526F" w:rsidP="006B73F2">
            <w:pPr>
              <w:spacing w:after="0" w:line="240" w:lineRule="auto"/>
              <w:jc w:val="right"/>
              <w:rPr>
                <w:b/>
                <w:bCs/>
                <w:sz w:val="20"/>
                <w:szCs w:val="20"/>
              </w:rPr>
            </w:pPr>
          </w:p>
        </w:tc>
        <w:tc>
          <w:tcPr>
            <w:tcW w:w="1004" w:type="dxa"/>
            <w:tcBorders>
              <w:top w:val="nil"/>
              <w:left w:val="nil"/>
              <w:bottom w:val="nil"/>
              <w:right w:val="nil"/>
            </w:tcBorders>
            <w:shd w:val="clear" w:color="auto" w:fill="auto"/>
            <w:noWrap/>
          </w:tcPr>
          <w:p w14:paraId="1CFB04EB" w14:textId="77777777" w:rsidR="0092526F" w:rsidRPr="00091B01" w:rsidRDefault="0092526F" w:rsidP="006B73F2">
            <w:pPr>
              <w:spacing w:after="0" w:line="240" w:lineRule="auto"/>
              <w:jc w:val="right"/>
              <w:rPr>
                <w:b/>
                <w:bCs/>
                <w:sz w:val="20"/>
                <w:szCs w:val="20"/>
              </w:rPr>
            </w:pPr>
          </w:p>
        </w:tc>
        <w:tc>
          <w:tcPr>
            <w:tcW w:w="886" w:type="dxa"/>
            <w:tcBorders>
              <w:top w:val="nil"/>
              <w:left w:val="nil"/>
              <w:bottom w:val="nil"/>
              <w:right w:val="nil"/>
            </w:tcBorders>
            <w:shd w:val="clear" w:color="auto" w:fill="auto"/>
            <w:noWrap/>
          </w:tcPr>
          <w:p w14:paraId="64F87061" w14:textId="77777777" w:rsidR="0092526F" w:rsidRPr="00091B01" w:rsidRDefault="0092526F" w:rsidP="006B73F2">
            <w:pPr>
              <w:spacing w:after="0" w:line="240" w:lineRule="auto"/>
              <w:jc w:val="right"/>
              <w:rPr>
                <w:b/>
                <w:bCs/>
                <w:sz w:val="20"/>
                <w:szCs w:val="20"/>
              </w:rPr>
            </w:pPr>
          </w:p>
        </w:tc>
        <w:tc>
          <w:tcPr>
            <w:tcW w:w="1278" w:type="dxa"/>
            <w:tcBorders>
              <w:top w:val="nil"/>
              <w:left w:val="nil"/>
              <w:bottom w:val="nil"/>
              <w:right w:val="single" w:sz="4" w:space="0" w:color="auto"/>
            </w:tcBorders>
            <w:shd w:val="clear" w:color="auto" w:fill="auto"/>
            <w:noWrap/>
          </w:tcPr>
          <w:p w14:paraId="29FC1E3E" w14:textId="77777777" w:rsidR="0092526F" w:rsidRPr="00091B01" w:rsidRDefault="0092526F" w:rsidP="006B73F2">
            <w:pPr>
              <w:spacing w:after="0" w:line="240" w:lineRule="auto"/>
              <w:jc w:val="right"/>
              <w:rPr>
                <w:b/>
                <w:bCs/>
                <w:sz w:val="20"/>
                <w:szCs w:val="20"/>
              </w:rPr>
            </w:pPr>
          </w:p>
        </w:tc>
        <w:tc>
          <w:tcPr>
            <w:tcW w:w="1172" w:type="dxa"/>
            <w:tcBorders>
              <w:top w:val="nil"/>
              <w:left w:val="single" w:sz="4" w:space="0" w:color="auto"/>
              <w:bottom w:val="nil"/>
              <w:right w:val="nil"/>
            </w:tcBorders>
            <w:shd w:val="clear" w:color="auto" w:fill="auto"/>
            <w:noWrap/>
          </w:tcPr>
          <w:p w14:paraId="482104AB" w14:textId="77777777" w:rsidR="0092526F" w:rsidRPr="00091B01" w:rsidRDefault="0092526F" w:rsidP="006B73F2">
            <w:pPr>
              <w:spacing w:after="0" w:line="240" w:lineRule="auto"/>
              <w:jc w:val="right"/>
              <w:rPr>
                <w:sz w:val="20"/>
                <w:szCs w:val="20"/>
              </w:rPr>
            </w:pPr>
          </w:p>
        </w:tc>
        <w:tc>
          <w:tcPr>
            <w:tcW w:w="810" w:type="dxa"/>
            <w:tcBorders>
              <w:top w:val="nil"/>
              <w:left w:val="nil"/>
              <w:bottom w:val="nil"/>
              <w:right w:val="nil"/>
            </w:tcBorders>
            <w:shd w:val="clear" w:color="auto" w:fill="auto"/>
            <w:noWrap/>
          </w:tcPr>
          <w:p w14:paraId="35BCED49" w14:textId="77777777" w:rsidR="0092526F" w:rsidRPr="00091B01" w:rsidRDefault="0092526F" w:rsidP="006B73F2">
            <w:pPr>
              <w:spacing w:after="0" w:line="240" w:lineRule="auto"/>
              <w:jc w:val="right"/>
              <w:rPr>
                <w:sz w:val="20"/>
                <w:szCs w:val="20"/>
              </w:rPr>
            </w:pPr>
          </w:p>
        </w:tc>
        <w:tc>
          <w:tcPr>
            <w:tcW w:w="1260" w:type="dxa"/>
            <w:tcBorders>
              <w:top w:val="nil"/>
              <w:left w:val="nil"/>
              <w:bottom w:val="nil"/>
            </w:tcBorders>
            <w:shd w:val="clear" w:color="auto" w:fill="auto"/>
            <w:noWrap/>
          </w:tcPr>
          <w:p w14:paraId="2BE7E934" w14:textId="77777777" w:rsidR="0092526F" w:rsidRPr="00091B01" w:rsidRDefault="0092526F" w:rsidP="006B73F2">
            <w:pPr>
              <w:spacing w:after="0" w:line="240" w:lineRule="auto"/>
              <w:jc w:val="right"/>
              <w:rPr>
                <w:sz w:val="20"/>
                <w:szCs w:val="20"/>
              </w:rPr>
            </w:pPr>
          </w:p>
        </w:tc>
      </w:tr>
      <w:tr w:rsidR="0092526F" w:rsidRPr="00D37B2D" w14:paraId="7AE4AAF8" w14:textId="77777777" w:rsidTr="006B73F2">
        <w:trPr>
          <w:trHeight w:val="20"/>
        </w:trPr>
        <w:tc>
          <w:tcPr>
            <w:tcW w:w="1946" w:type="dxa"/>
            <w:tcBorders>
              <w:top w:val="nil"/>
              <w:bottom w:val="nil"/>
              <w:right w:val="nil"/>
            </w:tcBorders>
            <w:shd w:val="clear" w:color="auto" w:fill="auto"/>
            <w:noWrap/>
            <w:hideMark/>
          </w:tcPr>
          <w:p w14:paraId="08D93F95" w14:textId="77777777" w:rsidR="0092526F" w:rsidRPr="00091B01" w:rsidRDefault="0092526F" w:rsidP="006B73F2">
            <w:pPr>
              <w:spacing w:after="0" w:line="240" w:lineRule="auto"/>
              <w:jc w:val="right"/>
              <w:rPr>
                <w:rFonts w:ascii="Calibri" w:hAnsi="Calibri"/>
                <w:b/>
                <w:bCs/>
                <w:color w:val="000000"/>
                <w:kern w:val="0"/>
                <w:sz w:val="20"/>
                <w:szCs w:val="20"/>
                <w14:ligatures w14:val="none"/>
              </w:rPr>
            </w:pPr>
            <w:r w:rsidRPr="00091B01">
              <w:rPr>
                <w:b/>
                <w:bCs/>
                <w:sz w:val="20"/>
                <w:szCs w:val="20"/>
              </w:rPr>
              <w:t xml:space="preserve">  ≤1</w:t>
            </w:r>
          </w:p>
        </w:tc>
        <w:tc>
          <w:tcPr>
            <w:tcW w:w="1004" w:type="dxa"/>
            <w:tcBorders>
              <w:top w:val="nil"/>
              <w:left w:val="nil"/>
              <w:bottom w:val="nil"/>
            </w:tcBorders>
            <w:shd w:val="clear" w:color="auto" w:fill="auto"/>
            <w:noWrap/>
            <w:hideMark/>
          </w:tcPr>
          <w:p w14:paraId="1168FC4A" w14:textId="77777777" w:rsidR="0092526F" w:rsidRPr="00091B01" w:rsidRDefault="0092526F" w:rsidP="006B73F2">
            <w:pPr>
              <w:spacing w:after="0" w:line="240" w:lineRule="auto"/>
              <w:jc w:val="right"/>
              <w:rPr>
                <w:rFonts w:ascii="Calibri" w:hAnsi="Calibri"/>
                <w:b/>
                <w:bCs/>
                <w:color w:val="000000"/>
                <w:kern w:val="0"/>
                <w:sz w:val="20"/>
                <w:szCs w:val="20"/>
                <w14:ligatures w14:val="none"/>
              </w:rPr>
            </w:pPr>
            <w:r w:rsidRPr="00091B01">
              <w:rPr>
                <w:b/>
                <w:bCs/>
                <w:sz w:val="20"/>
                <w:szCs w:val="20"/>
              </w:rPr>
              <w:t>188 (9%)</w:t>
            </w:r>
          </w:p>
        </w:tc>
        <w:tc>
          <w:tcPr>
            <w:tcW w:w="1004" w:type="dxa"/>
            <w:tcBorders>
              <w:top w:val="nil"/>
              <w:left w:val="nil"/>
              <w:bottom w:val="nil"/>
              <w:right w:val="nil"/>
            </w:tcBorders>
            <w:shd w:val="clear" w:color="auto" w:fill="auto"/>
            <w:noWrap/>
            <w:hideMark/>
          </w:tcPr>
          <w:p w14:paraId="03A36F77" w14:textId="77777777" w:rsidR="0092526F" w:rsidRPr="00091B01" w:rsidRDefault="0092526F" w:rsidP="006B73F2">
            <w:pPr>
              <w:spacing w:after="0" w:line="240" w:lineRule="auto"/>
              <w:jc w:val="right"/>
              <w:rPr>
                <w:rFonts w:ascii="Calibri" w:hAnsi="Calibri"/>
                <w:b/>
                <w:bCs/>
                <w:color w:val="000000"/>
                <w:kern w:val="0"/>
                <w:sz w:val="20"/>
                <w:szCs w:val="20"/>
                <w14:ligatures w14:val="none"/>
              </w:rPr>
            </w:pPr>
            <w:r w:rsidRPr="00091B01">
              <w:rPr>
                <w:b/>
                <w:bCs/>
                <w:sz w:val="20"/>
                <w:szCs w:val="20"/>
              </w:rPr>
              <w:t>115 (8%)</w:t>
            </w:r>
          </w:p>
        </w:tc>
        <w:tc>
          <w:tcPr>
            <w:tcW w:w="886" w:type="dxa"/>
            <w:tcBorders>
              <w:top w:val="nil"/>
              <w:left w:val="nil"/>
              <w:bottom w:val="nil"/>
              <w:right w:val="nil"/>
            </w:tcBorders>
            <w:shd w:val="clear" w:color="auto" w:fill="auto"/>
            <w:noWrap/>
            <w:hideMark/>
          </w:tcPr>
          <w:p w14:paraId="2FF7CDC5" w14:textId="77777777" w:rsidR="0092526F" w:rsidRPr="00091B01" w:rsidRDefault="0092526F" w:rsidP="006B73F2">
            <w:pPr>
              <w:spacing w:after="0" w:line="240" w:lineRule="auto"/>
              <w:jc w:val="right"/>
              <w:rPr>
                <w:rFonts w:ascii="Calibri" w:hAnsi="Calibri"/>
                <w:b/>
                <w:bCs/>
                <w:color w:val="000000"/>
                <w:kern w:val="0"/>
                <w:sz w:val="20"/>
                <w:szCs w:val="20"/>
                <w14:ligatures w14:val="none"/>
              </w:rPr>
            </w:pPr>
            <w:r w:rsidRPr="00091B01">
              <w:rPr>
                <w:b/>
                <w:bCs/>
                <w:sz w:val="20"/>
                <w:szCs w:val="20"/>
              </w:rPr>
              <w:t>73 (10%)</w:t>
            </w:r>
          </w:p>
        </w:tc>
        <w:tc>
          <w:tcPr>
            <w:tcW w:w="1278" w:type="dxa"/>
            <w:tcBorders>
              <w:top w:val="nil"/>
              <w:left w:val="nil"/>
              <w:bottom w:val="nil"/>
              <w:right w:val="single" w:sz="4" w:space="0" w:color="auto"/>
            </w:tcBorders>
            <w:shd w:val="clear" w:color="auto" w:fill="auto"/>
            <w:noWrap/>
            <w:hideMark/>
          </w:tcPr>
          <w:p w14:paraId="509DD87B" w14:textId="77777777" w:rsidR="0092526F" w:rsidRPr="00091B01" w:rsidRDefault="0092526F" w:rsidP="006B73F2">
            <w:pPr>
              <w:spacing w:after="0" w:line="240" w:lineRule="auto"/>
              <w:jc w:val="right"/>
              <w:rPr>
                <w:rFonts w:ascii="Calibri" w:hAnsi="Calibri"/>
                <w:b/>
                <w:bCs/>
                <w:color w:val="000000"/>
                <w:kern w:val="0"/>
                <w:sz w:val="20"/>
                <w:szCs w:val="20"/>
                <w14:ligatures w14:val="none"/>
              </w:rPr>
            </w:pPr>
            <w:r w:rsidRPr="00091B01">
              <w:rPr>
                <w:b/>
                <w:bCs/>
                <w:sz w:val="20"/>
                <w:szCs w:val="20"/>
              </w:rPr>
              <w:t>Ref</w:t>
            </w:r>
          </w:p>
        </w:tc>
        <w:tc>
          <w:tcPr>
            <w:tcW w:w="1172" w:type="dxa"/>
            <w:tcBorders>
              <w:top w:val="nil"/>
              <w:left w:val="single" w:sz="4" w:space="0" w:color="auto"/>
              <w:bottom w:val="nil"/>
              <w:right w:val="nil"/>
            </w:tcBorders>
            <w:shd w:val="clear" w:color="auto" w:fill="auto"/>
            <w:noWrap/>
            <w:hideMark/>
          </w:tcPr>
          <w:p w14:paraId="5286BF53"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185 (9%)</w:t>
            </w:r>
          </w:p>
        </w:tc>
        <w:tc>
          <w:tcPr>
            <w:tcW w:w="810" w:type="dxa"/>
            <w:tcBorders>
              <w:top w:val="nil"/>
              <w:left w:val="nil"/>
              <w:bottom w:val="nil"/>
              <w:right w:val="nil"/>
            </w:tcBorders>
            <w:shd w:val="clear" w:color="auto" w:fill="auto"/>
            <w:noWrap/>
            <w:hideMark/>
          </w:tcPr>
          <w:p w14:paraId="1666A86C"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0 (0%)</w:t>
            </w:r>
          </w:p>
        </w:tc>
        <w:tc>
          <w:tcPr>
            <w:tcW w:w="1260" w:type="dxa"/>
            <w:tcBorders>
              <w:top w:val="nil"/>
              <w:left w:val="nil"/>
              <w:bottom w:val="nil"/>
            </w:tcBorders>
            <w:shd w:val="clear" w:color="auto" w:fill="auto"/>
            <w:noWrap/>
            <w:hideMark/>
          </w:tcPr>
          <w:p w14:paraId="7B5805D5"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Ref</w:t>
            </w:r>
          </w:p>
        </w:tc>
      </w:tr>
      <w:tr w:rsidR="0092526F" w:rsidRPr="00D37B2D" w14:paraId="1738DAA2" w14:textId="77777777" w:rsidTr="006B73F2">
        <w:trPr>
          <w:trHeight w:val="20"/>
        </w:trPr>
        <w:tc>
          <w:tcPr>
            <w:tcW w:w="1946" w:type="dxa"/>
            <w:tcBorders>
              <w:top w:val="nil"/>
              <w:bottom w:val="nil"/>
              <w:right w:val="nil"/>
            </w:tcBorders>
            <w:shd w:val="clear" w:color="auto" w:fill="auto"/>
            <w:noWrap/>
            <w:hideMark/>
          </w:tcPr>
          <w:p w14:paraId="317FF032"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1-4</w:t>
            </w:r>
          </w:p>
        </w:tc>
        <w:tc>
          <w:tcPr>
            <w:tcW w:w="1004" w:type="dxa"/>
            <w:tcBorders>
              <w:top w:val="nil"/>
              <w:left w:val="nil"/>
              <w:bottom w:val="nil"/>
            </w:tcBorders>
            <w:shd w:val="clear" w:color="auto" w:fill="auto"/>
            <w:noWrap/>
            <w:hideMark/>
          </w:tcPr>
          <w:p w14:paraId="142E6AA2"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1,134 (52%)</w:t>
            </w:r>
          </w:p>
        </w:tc>
        <w:tc>
          <w:tcPr>
            <w:tcW w:w="1004" w:type="dxa"/>
            <w:tcBorders>
              <w:top w:val="nil"/>
              <w:left w:val="nil"/>
              <w:bottom w:val="nil"/>
              <w:right w:val="nil"/>
            </w:tcBorders>
            <w:shd w:val="clear" w:color="auto" w:fill="auto"/>
            <w:noWrap/>
            <w:hideMark/>
          </w:tcPr>
          <w:p w14:paraId="53BD92BB"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744 (50%)</w:t>
            </w:r>
          </w:p>
        </w:tc>
        <w:tc>
          <w:tcPr>
            <w:tcW w:w="886" w:type="dxa"/>
            <w:tcBorders>
              <w:top w:val="nil"/>
              <w:left w:val="nil"/>
              <w:bottom w:val="nil"/>
              <w:right w:val="nil"/>
            </w:tcBorders>
            <w:shd w:val="clear" w:color="auto" w:fill="auto"/>
            <w:noWrap/>
            <w:hideMark/>
          </w:tcPr>
          <w:p w14:paraId="2AB2ED85"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390 (55%)</w:t>
            </w:r>
          </w:p>
        </w:tc>
        <w:tc>
          <w:tcPr>
            <w:tcW w:w="1278" w:type="dxa"/>
            <w:tcBorders>
              <w:top w:val="nil"/>
              <w:left w:val="nil"/>
              <w:bottom w:val="nil"/>
              <w:right w:val="single" w:sz="4" w:space="0" w:color="auto"/>
            </w:tcBorders>
            <w:shd w:val="clear" w:color="auto" w:fill="auto"/>
            <w:noWrap/>
            <w:hideMark/>
          </w:tcPr>
          <w:p w14:paraId="2D4EDC23"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0.83 (0.60-1.14)</w:t>
            </w:r>
          </w:p>
        </w:tc>
        <w:tc>
          <w:tcPr>
            <w:tcW w:w="1172" w:type="dxa"/>
            <w:tcBorders>
              <w:top w:val="nil"/>
              <w:left w:val="single" w:sz="4" w:space="0" w:color="auto"/>
              <w:bottom w:val="nil"/>
              <w:right w:val="nil"/>
            </w:tcBorders>
            <w:shd w:val="clear" w:color="auto" w:fill="auto"/>
            <w:noWrap/>
            <w:hideMark/>
          </w:tcPr>
          <w:p w14:paraId="455FF5DE"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1,098 (52%)</w:t>
            </w:r>
          </w:p>
        </w:tc>
        <w:tc>
          <w:tcPr>
            <w:tcW w:w="810" w:type="dxa"/>
            <w:tcBorders>
              <w:top w:val="nil"/>
              <w:left w:val="nil"/>
              <w:bottom w:val="nil"/>
              <w:right w:val="nil"/>
            </w:tcBorders>
            <w:shd w:val="clear" w:color="auto" w:fill="auto"/>
            <w:noWrap/>
            <w:hideMark/>
          </w:tcPr>
          <w:p w14:paraId="0D68269C"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5 (31%)</w:t>
            </w:r>
          </w:p>
        </w:tc>
        <w:tc>
          <w:tcPr>
            <w:tcW w:w="1260" w:type="dxa"/>
            <w:tcBorders>
              <w:top w:val="nil"/>
              <w:left w:val="nil"/>
              <w:bottom w:val="nil"/>
            </w:tcBorders>
            <w:shd w:val="clear" w:color="auto" w:fill="auto"/>
            <w:noWrap/>
            <w:hideMark/>
          </w:tcPr>
          <w:p w14:paraId="6F9DE3CB"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NC</w:t>
            </w:r>
          </w:p>
        </w:tc>
      </w:tr>
      <w:tr w:rsidR="0092526F" w:rsidRPr="00D37B2D" w14:paraId="473244DE" w14:textId="77777777" w:rsidTr="006B73F2">
        <w:trPr>
          <w:trHeight w:val="20"/>
        </w:trPr>
        <w:tc>
          <w:tcPr>
            <w:tcW w:w="1946" w:type="dxa"/>
            <w:tcBorders>
              <w:top w:val="nil"/>
              <w:bottom w:val="nil"/>
              <w:right w:val="nil"/>
            </w:tcBorders>
            <w:shd w:val="clear" w:color="auto" w:fill="auto"/>
            <w:noWrap/>
            <w:hideMark/>
          </w:tcPr>
          <w:p w14:paraId="7B28444D"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5-49</w:t>
            </w:r>
          </w:p>
        </w:tc>
        <w:tc>
          <w:tcPr>
            <w:tcW w:w="1004" w:type="dxa"/>
            <w:tcBorders>
              <w:top w:val="nil"/>
              <w:left w:val="nil"/>
              <w:bottom w:val="nil"/>
            </w:tcBorders>
            <w:shd w:val="clear" w:color="auto" w:fill="auto"/>
            <w:noWrap/>
            <w:hideMark/>
          </w:tcPr>
          <w:p w14:paraId="52D13ACD"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681 (31%)</w:t>
            </w:r>
          </w:p>
        </w:tc>
        <w:tc>
          <w:tcPr>
            <w:tcW w:w="1004" w:type="dxa"/>
            <w:tcBorders>
              <w:top w:val="nil"/>
              <w:left w:val="nil"/>
              <w:bottom w:val="nil"/>
              <w:right w:val="nil"/>
            </w:tcBorders>
            <w:shd w:val="clear" w:color="auto" w:fill="auto"/>
            <w:noWrap/>
            <w:hideMark/>
          </w:tcPr>
          <w:p w14:paraId="3FC9BBFD"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456 (31%)</w:t>
            </w:r>
          </w:p>
        </w:tc>
        <w:tc>
          <w:tcPr>
            <w:tcW w:w="886" w:type="dxa"/>
            <w:tcBorders>
              <w:top w:val="nil"/>
              <w:left w:val="nil"/>
              <w:bottom w:val="nil"/>
              <w:right w:val="nil"/>
            </w:tcBorders>
            <w:shd w:val="clear" w:color="auto" w:fill="auto"/>
            <w:noWrap/>
            <w:hideMark/>
          </w:tcPr>
          <w:p w14:paraId="393DB9DE"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225 (32%)</w:t>
            </w:r>
          </w:p>
        </w:tc>
        <w:tc>
          <w:tcPr>
            <w:tcW w:w="1278" w:type="dxa"/>
            <w:tcBorders>
              <w:top w:val="nil"/>
              <w:left w:val="nil"/>
              <w:bottom w:val="nil"/>
              <w:right w:val="single" w:sz="4" w:space="0" w:color="auto"/>
            </w:tcBorders>
            <w:shd w:val="clear" w:color="auto" w:fill="auto"/>
            <w:noWrap/>
            <w:hideMark/>
          </w:tcPr>
          <w:p w14:paraId="10105524"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0.78 (0.56-1.09)</w:t>
            </w:r>
          </w:p>
        </w:tc>
        <w:tc>
          <w:tcPr>
            <w:tcW w:w="1172" w:type="dxa"/>
            <w:tcBorders>
              <w:top w:val="nil"/>
              <w:left w:val="single" w:sz="4" w:space="0" w:color="auto"/>
              <w:bottom w:val="nil"/>
              <w:right w:val="nil"/>
            </w:tcBorders>
            <w:shd w:val="clear" w:color="auto" w:fill="auto"/>
            <w:noWrap/>
            <w:hideMark/>
          </w:tcPr>
          <w:p w14:paraId="5D9EF13C"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643 (30%)</w:t>
            </w:r>
          </w:p>
        </w:tc>
        <w:tc>
          <w:tcPr>
            <w:tcW w:w="810" w:type="dxa"/>
            <w:tcBorders>
              <w:top w:val="nil"/>
              <w:left w:val="nil"/>
              <w:bottom w:val="nil"/>
              <w:right w:val="nil"/>
            </w:tcBorders>
            <w:shd w:val="clear" w:color="auto" w:fill="auto"/>
            <w:noWrap/>
            <w:hideMark/>
          </w:tcPr>
          <w:p w14:paraId="35997C9D"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7 (44%)</w:t>
            </w:r>
          </w:p>
        </w:tc>
        <w:tc>
          <w:tcPr>
            <w:tcW w:w="1260" w:type="dxa"/>
            <w:tcBorders>
              <w:top w:val="nil"/>
              <w:left w:val="nil"/>
              <w:bottom w:val="nil"/>
            </w:tcBorders>
            <w:shd w:val="clear" w:color="auto" w:fill="auto"/>
            <w:noWrap/>
            <w:hideMark/>
          </w:tcPr>
          <w:p w14:paraId="5C4E6980"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NC</w:t>
            </w:r>
          </w:p>
        </w:tc>
      </w:tr>
      <w:tr w:rsidR="0092526F" w:rsidRPr="00D37B2D" w14:paraId="13765C55" w14:textId="77777777" w:rsidTr="006B73F2">
        <w:trPr>
          <w:trHeight w:val="20"/>
        </w:trPr>
        <w:tc>
          <w:tcPr>
            <w:tcW w:w="1946" w:type="dxa"/>
            <w:tcBorders>
              <w:top w:val="nil"/>
              <w:bottom w:val="nil"/>
              <w:right w:val="nil"/>
            </w:tcBorders>
            <w:shd w:val="clear" w:color="auto" w:fill="auto"/>
            <w:noWrap/>
            <w:hideMark/>
          </w:tcPr>
          <w:p w14:paraId="6E88CBAB"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≥50</w:t>
            </w:r>
          </w:p>
        </w:tc>
        <w:tc>
          <w:tcPr>
            <w:tcW w:w="1004" w:type="dxa"/>
            <w:tcBorders>
              <w:top w:val="nil"/>
              <w:left w:val="nil"/>
              <w:bottom w:val="nil"/>
            </w:tcBorders>
            <w:shd w:val="clear" w:color="auto" w:fill="auto"/>
            <w:noWrap/>
            <w:hideMark/>
          </w:tcPr>
          <w:p w14:paraId="10FA42DB"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194 (9%)</w:t>
            </w:r>
          </w:p>
        </w:tc>
        <w:tc>
          <w:tcPr>
            <w:tcW w:w="1004" w:type="dxa"/>
            <w:tcBorders>
              <w:top w:val="nil"/>
              <w:left w:val="nil"/>
              <w:bottom w:val="nil"/>
              <w:right w:val="nil"/>
            </w:tcBorders>
            <w:shd w:val="clear" w:color="auto" w:fill="auto"/>
            <w:noWrap/>
            <w:hideMark/>
          </w:tcPr>
          <w:p w14:paraId="6BE3760A"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169 (11%)</w:t>
            </w:r>
          </w:p>
        </w:tc>
        <w:tc>
          <w:tcPr>
            <w:tcW w:w="886" w:type="dxa"/>
            <w:tcBorders>
              <w:top w:val="nil"/>
              <w:left w:val="nil"/>
              <w:bottom w:val="nil"/>
              <w:right w:val="nil"/>
            </w:tcBorders>
            <w:shd w:val="clear" w:color="auto" w:fill="auto"/>
            <w:noWrap/>
            <w:hideMark/>
          </w:tcPr>
          <w:p w14:paraId="10345D77"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25 (4%)</w:t>
            </w:r>
          </w:p>
        </w:tc>
        <w:tc>
          <w:tcPr>
            <w:tcW w:w="1278" w:type="dxa"/>
            <w:tcBorders>
              <w:top w:val="nil"/>
              <w:left w:val="nil"/>
              <w:bottom w:val="nil"/>
              <w:right w:val="single" w:sz="4" w:space="0" w:color="auto"/>
            </w:tcBorders>
            <w:shd w:val="clear" w:color="auto" w:fill="auto"/>
            <w:noWrap/>
            <w:hideMark/>
          </w:tcPr>
          <w:p w14:paraId="43F24D36"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0.23 (0.14-0.38)</w:t>
            </w:r>
          </w:p>
        </w:tc>
        <w:tc>
          <w:tcPr>
            <w:tcW w:w="1172" w:type="dxa"/>
            <w:tcBorders>
              <w:top w:val="nil"/>
              <w:left w:val="single" w:sz="4" w:space="0" w:color="auto"/>
              <w:bottom w:val="nil"/>
              <w:right w:val="nil"/>
            </w:tcBorders>
            <w:shd w:val="clear" w:color="auto" w:fill="auto"/>
            <w:noWrap/>
            <w:hideMark/>
          </w:tcPr>
          <w:p w14:paraId="4188E62F"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187 (9%)</w:t>
            </w:r>
          </w:p>
        </w:tc>
        <w:tc>
          <w:tcPr>
            <w:tcW w:w="810" w:type="dxa"/>
            <w:tcBorders>
              <w:top w:val="nil"/>
              <w:left w:val="nil"/>
              <w:bottom w:val="nil"/>
              <w:right w:val="nil"/>
            </w:tcBorders>
            <w:shd w:val="clear" w:color="auto" w:fill="auto"/>
            <w:noWrap/>
            <w:hideMark/>
          </w:tcPr>
          <w:p w14:paraId="3BF3838C"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4 (25%)</w:t>
            </w:r>
          </w:p>
        </w:tc>
        <w:tc>
          <w:tcPr>
            <w:tcW w:w="1260" w:type="dxa"/>
            <w:tcBorders>
              <w:top w:val="nil"/>
              <w:left w:val="nil"/>
              <w:bottom w:val="nil"/>
            </w:tcBorders>
            <w:shd w:val="clear" w:color="auto" w:fill="auto"/>
            <w:noWrap/>
            <w:hideMark/>
          </w:tcPr>
          <w:p w14:paraId="080A6FF9"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NC</w:t>
            </w:r>
          </w:p>
        </w:tc>
      </w:tr>
      <w:tr w:rsidR="0092526F" w:rsidRPr="00D37B2D" w14:paraId="120BBCA1" w14:textId="77777777" w:rsidTr="006B73F2">
        <w:trPr>
          <w:trHeight w:val="20"/>
        </w:trPr>
        <w:tc>
          <w:tcPr>
            <w:tcW w:w="1946" w:type="dxa"/>
            <w:tcBorders>
              <w:top w:val="nil"/>
              <w:bottom w:val="nil"/>
              <w:right w:val="nil"/>
            </w:tcBorders>
            <w:shd w:val="clear" w:color="auto" w:fill="auto"/>
            <w:noWrap/>
            <w:hideMark/>
          </w:tcPr>
          <w:p w14:paraId="3EC0D72F" w14:textId="77777777" w:rsidR="0092526F" w:rsidRPr="00D37B2D" w:rsidRDefault="0092526F" w:rsidP="006B73F2">
            <w:pPr>
              <w:spacing w:after="0" w:line="240" w:lineRule="auto"/>
              <w:rPr>
                <w:rFonts w:ascii="Calibri" w:hAnsi="Calibri"/>
                <w:b/>
                <w:color w:val="000000"/>
                <w:kern w:val="0"/>
                <w:sz w:val="20"/>
                <w:szCs w:val="20"/>
                <w14:ligatures w14:val="none"/>
              </w:rPr>
            </w:pPr>
            <w:r w:rsidRPr="00D37B2D">
              <w:rPr>
                <w:sz w:val="20"/>
                <w:szCs w:val="20"/>
              </w:rPr>
              <w:t>Epi zone</w:t>
            </w:r>
          </w:p>
        </w:tc>
        <w:tc>
          <w:tcPr>
            <w:tcW w:w="1004" w:type="dxa"/>
            <w:tcBorders>
              <w:top w:val="nil"/>
              <w:left w:val="nil"/>
              <w:bottom w:val="nil"/>
            </w:tcBorders>
            <w:shd w:val="clear" w:color="auto" w:fill="auto"/>
            <w:noWrap/>
            <w:hideMark/>
          </w:tcPr>
          <w:p w14:paraId="070C09A8" w14:textId="77777777" w:rsidR="0092526F" w:rsidRPr="00091B01" w:rsidRDefault="0092526F" w:rsidP="006B73F2">
            <w:pPr>
              <w:spacing w:after="0" w:line="240" w:lineRule="auto"/>
              <w:rPr>
                <w:rFonts w:ascii="Calibri" w:hAnsi="Calibri"/>
                <w:color w:val="000000"/>
                <w:kern w:val="0"/>
                <w:sz w:val="20"/>
                <w:szCs w:val="20"/>
                <w14:ligatures w14:val="none"/>
              </w:rPr>
            </w:pPr>
          </w:p>
        </w:tc>
        <w:tc>
          <w:tcPr>
            <w:tcW w:w="1004" w:type="dxa"/>
            <w:tcBorders>
              <w:top w:val="nil"/>
              <w:left w:val="nil"/>
              <w:bottom w:val="nil"/>
              <w:right w:val="nil"/>
            </w:tcBorders>
            <w:shd w:val="clear" w:color="auto" w:fill="auto"/>
            <w:noWrap/>
            <w:hideMark/>
          </w:tcPr>
          <w:p w14:paraId="73DB34DD" w14:textId="77777777" w:rsidR="0092526F" w:rsidRPr="00091B01" w:rsidRDefault="0092526F" w:rsidP="006B73F2">
            <w:pPr>
              <w:spacing w:after="0" w:line="240" w:lineRule="auto"/>
              <w:jc w:val="right"/>
              <w:rPr>
                <w:rFonts w:ascii="Times New Roman" w:hAnsi="Times New Roman"/>
                <w:kern w:val="0"/>
                <w:sz w:val="20"/>
                <w:szCs w:val="20"/>
                <w14:ligatures w14:val="none"/>
              </w:rPr>
            </w:pPr>
          </w:p>
        </w:tc>
        <w:tc>
          <w:tcPr>
            <w:tcW w:w="886" w:type="dxa"/>
            <w:tcBorders>
              <w:top w:val="nil"/>
              <w:left w:val="nil"/>
              <w:bottom w:val="nil"/>
              <w:right w:val="nil"/>
            </w:tcBorders>
            <w:shd w:val="clear" w:color="auto" w:fill="auto"/>
            <w:noWrap/>
            <w:hideMark/>
          </w:tcPr>
          <w:p w14:paraId="3B880363" w14:textId="77777777" w:rsidR="0092526F" w:rsidRPr="00091B01" w:rsidRDefault="0092526F" w:rsidP="006B73F2">
            <w:pPr>
              <w:spacing w:after="0" w:line="240" w:lineRule="auto"/>
              <w:jc w:val="right"/>
              <w:rPr>
                <w:rFonts w:ascii="Times New Roman" w:hAnsi="Times New Roman"/>
                <w:kern w:val="0"/>
                <w:sz w:val="20"/>
                <w:szCs w:val="20"/>
                <w14:ligatures w14:val="none"/>
              </w:rPr>
            </w:pPr>
          </w:p>
        </w:tc>
        <w:tc>
          <w:tcPr>
            <w:tcW w:w="1278" w:type="dxa"/>
            <w:tcBorders>
              <w:top w:val="nil"/>
              <w:left w:val="nil"/>
              <w:bottom w:val="nil"/>
              <w:right w:val="single" w:sz="4" w:space="0" w:color="auto"/>
            </w:tcBorders>
            <w:shd w:val="clear" w:color="auto" w:fill="auto"/>
            <w:noWrap/>
            <w:hideMark/>
          </w:tcPr>
          <w:p w14:paraId="6BF6C59A" w14:textId="77777777" w:rsidR="0092526F" w:rsidRPr="00091B01" w:rsidRDefault="0092526F" w:rsidP="006B73F2">
            <w:pPr>
              <w:spacing w:after="0" w:line="240" w:lineRule="auto"/>
              <w:jc w:val="right"/>
              <w:rPr>
                <w:rFonts w:ascii="Times New Roman" w:hAnsi="Times New Roman"/>
                <w:kern w:val="0"/>
                <w:sz w:val="20"/>
                <w:szCs w:val="20"/>
                <w14:ligatures w14:val="none"/>
              </w:rPr>
            </w:pPr>
          </w:p>
        </w:tc>
        <w:tc>
          <w:tcPr>
            <w:tcW w:w="1172" w:type="dxa"/>
            <w:tcBorders>
              <w:top w:val="nil"/>
              <w:left w:val="single" w:sz="4" w:space="0" w:color="auto"/>
              <w:bottom w:val="nil"/>
              <w:right w:val="nil"/>
            </w:tcBorders>
            <w:shd w:val="clear" w:color="auto" w:fill="auto"/>
            <w:noWrap/>
            <w:hideMark/>
          </w:tcPr>
          <w:p w14:paraId="7507A093" w14:textId="77777777" w:rsidR="0092526F" w:rsidRPr="00091B01" w:rsidRDefault="0092526F" w:rsidP="006B73F2">
            <w:pPr>
              <w:spacing w:after="0" w:line="240" w:lineRule="auto"/>
              <w:jc w:val="right"/>
              <w:rPr>
                <w:rFonts w:ascii="Times New Roman" w:hAnsi="Times New Roman"/>
                <w:kern w:val="0"/>
                <w:sz w:val="20"/>
                <w:szCs w:val="20"/>
                <w14:ligatures w14:val="none"/>
              </w:rPr>
            </w:pPr>
          </w:p>
        </w:tc>
        <w:tc>
          <w:tcPr>
            <w:tcW w:w="810" w:type="dxa"/>
            <w:tcBorders>
              <w:top w:val="nil"/>
              <w:left w:val="nil"/>
              <w:bottom w:val="nil"/>
              <w:right w:val="nil"/>
            </w:tcBorders>
            <w:shd w:val="clear" w:color="auto" w:fill="auto"/>
            <w:noWrap/>
            <w:hideMark/>
          </w:tcPr>
          <w:p w14:paraId="40A81C84" w14:textId="77777777" w:rsidR="0092526F" w:rsidRPr="00091B01" w:rsidRDefault="0092526F" w:rsidP="006B73F2">
            <w:pPr>
              <w:spacing w:after="0" w:line="240" w:lineRule="auto"/>
              <w:jc w:val="right"/>
              <w:rPr>
                <w:rFonts w:ascii="Times New Roman" w:hAnsi="Times New Roman"/>
                <w:kern w:val="0"/>
                <w:sz w:val="20"/>
                <w:szCs w:val="20"/>
                <w14:ligatures w14:val="none"/>
              </w:rPr>
            </w:pPr>
          </w:p>
        </w:tc>
        <w:tc>
          <w:tcPr>
            <w:tcW w:w="1260" w:type="dxa"/>
            <w:tcBorders>
              <w:top w:val="nil"/>
              <w:left w:val="nil"/>
              <w:bottom w:val="nil"/>
            </w:tcBorders>
            <w:shd w:val="clear" w:color="auto" w:fill="auto"/>
            <w:noWrap/>
            <w:hideMark/>
          </w:tcPr>
          <w:p w14:paraId="0C5ACA33" w14:textId="77777777" w:rsidR="0092526F" w:rsidRPr="00091B01" w:rsidRDefault="0092526F" w:rsidP="006B73F2">
            <w:pPr>
              <w:spacing w:after="0" w:line="240" w:lineRule="auto"/>
              <w:jc w:val="right"/>
              <w:rPr>
                <w:rFonts w:ascii="Times New Roman" w:hAnsi="Times New Roman"/>
                <w:kern w:val="0"/>
                <w:sz w:val="20"/>
                <w:szCs w:val="20"/>
                <w14:ligatures w14:val="none"/>
              </w:rPr>
            </w:pPr>
          </w:p>
        </w:tc>
      </w:tr>
      <w:tr w:rsidR="0092526F" w:rsidRPr="00D37B2D" w14:paraId="1320B3CE" w14:textId="77777777" w:rsidTr="006B73F2">
        <w:trPr>
          <w:trHeight w:val="20"/>
        </w:trPr>
        <w:tc>
          <w:tcPr>
            <w:tcW w:w="1946" w:type="dxa"/>
            <w:tcBorders>
              <w:top w:val="nil"/>
              <w:bottom w:val="nil"/>
              <w:right w:val="nil"/>
            </w:tcBorders>
            <w:shd w:val="clear" w:color="auto" w:fill="auto"/>
            <w:noWrap/>
            <w:hideMark/>
          </w:tcPr>
          <w:p w14:paraId="67502582"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Lake endemic</w:t>
            </w:r>
          </w:p>
        </w:tc>
        <w:tc>
          <w:tcPr>
            <w:tcW w:w="1004" w:type="dxa"/>
            <w:tcBorders>
              <w:top w:val="nil"/>
              <w:left w:val="nil"/>
              <w:bottom w:val="nil"/>
            </w:tcBorders>
            <w:shd w:val="clear" w:color="auto" w:fill="auto"/>
            <w:noWrap/>
            <w:hideMark/>
          </w:tcPr>
          <w:p w14:paraId="08BBCED6"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941 (43%)</w:t>
            </w:r>
          </w:p>
        </w:tc>
        <w:tc>
          <w:tcPr>
            <w:tcW w:w="1004" w:type="dxa"/>
            <w:tcBorders>
              <w:top w:val="nil"/>
              <w:left w:val="nil"/>
              <w:bottom w:val="nil"/>
              <w:right w:val="nil"/>
            </w:tcBorders>
            <w:shd w:val="clear" w:color="auto" w:fill="auto"/>
            <w:noWrap/>
            <w:hideMark/>
          </w:tcPr>
          <w:p w14:paraId="27FA9CB8"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521 (35%)</w:t>
            </w:r>
          </w:p>
        </w:tc>
        <w:tc>
          <w:tcPr>
            <w:tcW w:w="886" w:type="dxa"/>
            <w:tcBorders>
              <w:top w:val="nil"/>
              <w:left w:val="nil"/>
              <w:bottom w:val="nil"/>
              <w:right w:val="nil"/>
            </w:tcBorders>
            <w:shd w:val="clear" w:color="auto" w:fill="auto"/>
            <w:noWrap/>
            <w:hideMark/>
          </w:tcPr>
          <w:p w14:paraId="545B026E"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420 (59%)</w:t>
            </w:r>
          </w:p>
        </w:tc>
        <w:tc>
          <w:tcPr>
            <w:tcW w:w="1278" w:type="dxa"/>
            <w:tcBorders>
              <w:top w:val="nil"/>
              <w:left w:val="nil"/>
              <w:bottom w:val="nil"/>
              <w:right w:val="single" w:sz="4" w:space="0" w:color="auto"/>
            </w:tcBorders>
            <w:shd w:val="clear" w:color="auto" w:fill="auto"/>
            <w:noWrap/>
            <w:hideMark/>
          </w:tcPr>
          <w:p w14:paraId="427909A8"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Ref</w:t>
            </w:r>
          </w:p>
        </w:tc>
        <w:tc>
          <w:tcPr>
            <w:tcW w:w="1172" w:type="dxa"/>
            <w:tcBorders>
              <w:top w:val="nil"/>
              <w:left w:val="single" w:sz="4" w:space="0" w:color="auto"/>
              <w:bottom w:val="nil"/>
              <w:right w:val="nil"/>
            </w:tcBorders>
            <w:shd w:val="clear" w:color="auto" w:fill="auto"/>
            <w:noWrap/>
            <w:hideMark/>
          </w:tcPr>
          <w:p w14:paraId="387447C0"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876 (41%)</w:t>
            </w:r>
          </w:p>
        </w:tc>
        <w:tc>
          <w:tcPr>
            <w:tcW w:w="810" w:type="dxa"/>
            <w:tcBorders>
              <w:top w:val="nil"/>
              <w:left w:val="nil"/>
              <w:bottom w:val="nil"/>
              <w:right w:val="nil"/>
            </w:tcBorders>
            <w:shd w:val="clear" w:color="auto" w:fill="auto"/>
            <w:noWrap/>
            <w:hideMark/>
          </w:tcPr>
          <w:p w14:paraId="5FF162CB"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9 (56%)</w:t>
            </w:r>
          </w:p>
        </w:tc>
        <w:tc>
          <w:tcPr>
            <w:tcW w:w="1260" w:type="dxa"/>
            <w:tcBorders>
              <w:top w:val="nil"/>
              <w:left w:val="nil"/>
              <w:bottom w:val="nil"/>
            </w:tcBorders>
            <w:shd w:val="clear" w:color="auto" w:fill="auto"/>
            <w:noWrap/>
            <w:hideMark/>
          </w:tcPr>
          <w:p w14:paraId="4A6801FA"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Ref</w:t>
            </w:r>
          </w:p>
        </w:tc>
      </w:tr>
      <w:tr w:rsidR="0092526F" w:rsidRPr="00D37B2D" w14:paraId="3E99F741" w14:textId="77777777" w:rsidTr="006B73F2">
        <w:trPr>
          <w:trHeight w:val="20"/>
        </w:trPr>
        <w:tc>
          <w:tcPr>
            <w:tcW w:w="1946" w:type="dxa"/>
            <w:tcBorders>
              <w:top w:val="nil"/>
              <w:bottom w:val="nil"/>
              <w:right w:val="nil"/>
            </w:tcBorders>
            <w:shd w:val="clear" w:color="auto" w:fill="auto"/>
            <w:noWrap/>
            <w:hideMark/>
          </w:tcPr>
          <w:p w14:paraId="689EB376"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Coast endemic</w:t>
            </w:r>
          </w:p>
        </w:tc>
        <w:tc>
          <w:tcPr>
            <w:tcW w:w="1004" w:type="dxa"/>
            <w:tcBorders>
              <w:top w:val="nil"/>
              <w:left w:val="nil"/>
              <w:bottom w:val="nil"/>
            </w:tcBorders>
            <w:shd w:val="clear" w:color="auto" w:fill="auto"/>
            <w:noWrap/>
            <w:hideMark/>
          </w:tcPr>
          <w:p w14:paraId="2B57969A"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200 (9%)</w:t>
            </w:r>
          </w:p>
        </w:tc>
        <w:tc>
          <w:tcPr>
            <w:tcW w:w="1004" w:type="dxa"/>
            <w:tcBorders>
              <w:top w:val="nil"/>
              <w:left w:val="nil"/>
              <w:bottom w:val="nil"/>
              <w:right w:val="nil"/>
            </w:tcBorders>
            <w:shd w:val="clear" w:color="auto" w:fill="auto"/>
            <w:noWrap/>
            <w:hideMark/>
          </w:tcPr>
          <w:p w14:paraId="5A395887"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112 (8%)</w:t>
            </w:r>
          </w:p>
        </w:tc>
        <w:tc>
          <w:tcPr>
            <w:tcW w:w="886" w:type="dxa"/>
            <w:tcBorders>
              <w:top w:val="nil"/>
              <w:left w:val="nil"/>
              <w:bottom w:val="nil"/>
              <w:right w:val="nil"/>
            </w:tcBorders>
            <w:shd w:val="clear" w:color="auto" w:fill="auto"/>
            <w:noWrap/>
            <w:hideMark/>
          </w:tcPr>
          <w:p w14:paraId="650610ED"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88 (12%)</w:t>
            </w:r>
          </w:p>
        </w:tc>
        <w:tc>
          <w:tcPr>
            <w:tcW w:w="1278" w:type="dxa"/>
            <w:tcBorders>
              <w:top w:val="nil"/>
              <w:left w:val="nil"/>
              <w:bottom w:val="nil"/>
              <w:right w:val="single" w:sz="4" w:space="0" w:color="auto"/>
            </w:tcBorders>
            <w:shd w:val="clear" w:color="auto" w:fill="auto"/>
            <w:noWrap/>
            <w:hideMark/>
          </w:tcPr>
          <w:p w14:paraId="34C444CA"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0.97 (0.72-1.32)</w:t>
            </w:r>
          </w:p>
        </w:tc>
        <w:tc>
          <w:tcPr>
            <w:tcW w:w="1172" w:type="dxa"/>
            <w:tcBorders>
              <w:top w:val="nil"/>
              <w:left w:val="single" w:sz="4" w:space="0" w:color="auto"/>
              <w:bottom w:val="nil"/>
              <w:right w:val="nil"/>
            </w:tcBorders>
            <w:shd w:val="clear" w:color="auto" w:fill="auto"/>
            <w:noWrap/>
            <w:hideMark/>
          </w:tcPr>
          <w:p w14:paraId="688FDA6A"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193 (9%)</w:t>
            </w:r>
          </w:p>
        </w:tc>
        <w:tc>
          <w:tcPr>
            <w:tcW w:w="810" w:type="dxa"/>
            <w:tcBorders>
              <w:top w:val="nil"/>
              <w:left w:val="nil"/>
              <w:bottom w:val="nil"/>
              <w:right w:val="nil"/>
            </w:tcBorders>
            <w:shd w:val="clear" w:color="auto" w:fill="auto"/>
            <w:noWrap/>
            <w:hideMark/>
          </w:tcPr>
          <w:p w14:paraId="71BAF6F6"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4 (25%)</w:t>
            </w:r>
          </w:p>
        </w:tc>
        <w:tc>
          <w:tcPr>
            <w:tcW w:w="1260" w:type="dxa"/>
            <w:tcBorders>
              <w:top w:val="nil"/>
              <w:left w:val="nil"/>
              <w:bottom w:val="nil"/>
            </w:tcBorders>
            <w:shd w:val="clear" w:color="auto" w:fill="auto"/>
            <w:noWrap/>
            <w:hideMark/>
          </w:tcPr>
          <w:p w14:paraId="2CA12F22"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2.02 (0.54-6.26)</w:t>
            </w:r>
          </w:p>
        </w:tc>
      </w:tr>
      <w:tr w:rsidR="0092526F" w:rsidRPr="00D37B2D" w14:paraId="2B906540" w14:textId="77777777" w:rsidTr="006B73F2">
        <w:trPr>
          <w:trHeight w:val="20"/>
        </w:trPr>
        <w:tc>
          <w:tcPr>
            <w:tcW w:w="1946" w:type="dxa"/>
            <w:tcBorders>
              <w:top w:val="nil"/>
              <w:bottom w:val="nil"/>
              <w:right w:val="nil"/>
            </w:tcBorders>
            <w:shd w:val="clear" w:color="auto" w:fill="auto"/>
            <w:noWrap/>
            <w:hideMark/>
          </w:tcPr>
          <w:p w14:paraId="33AF5287"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Highland epidemic prone</w:t>
            </w:r>
          </w:p>
        </w:tc>
        <w:tc>
          <w:tcPr>
            <w:tcW w:w="1004" w:type="dxa"/>
            <w:tcBorders>
              <w:top w:val="nil"/>
              <w:left w:val="nil"/>
              <w:bottom w:val="nil"/>
            </w:tcBorders>
            <w:shd w:val="clear" w:color="auto" w:fill="auto"/>
            <w:noWrap/>
            <w:hideMark/>
          </w:tcPr>
          <w:p w14:paraId="67FDDDAE"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109 (5%)</w:t>
            </w:r>
          </w:p>
        </w:tc>
        <w:tc>
          <w:tcPr>
            <w:tcW w:w="1004" w:type="dxa"/>
            <w:tcBorders>
              <w:top w:val="nil"/>
              <w:left w:val="nil"/>
              <w:bottom w:val="nil"/>
              <w:right w:val="nil"/>
            </w:tcBorders>
            <w:shd w:val="clear" w:color="auto" w:fill="auto"/>
            <w:noWrap/>
            <w:hideMark/>
          </w:tcPr>
          <w:p w14:paraId="112E57D9"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62 (4%)</w:t>
            </w:r>
          </w:p>
        </w:tc>
        <w:tc>
          <w:tcPr>
            <w:tcW w:w="886" w:type="dxa"/>
            <w:tcBorders>
              <w:top w:val="nil"/>
              <w:left w:val="nil"/>
              <w:bottom w:val="nil"/>
              <w:right w:val="nil"/>
            </w:tcBorders>
            <w:shd w:val="clear" w:color="auto" w:fill="auto"/>
            <w:noWrap/>
            <w:hideMark/>
          </w:tcPr>
          <w:p w14:paraId="39ECC812"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47 (7%)</w:t>
            </w:r>
          </w:p>
        </w:tc>
        <w:tc>
          <w:tcPr>
            <w:tcW w:w="1278" w:type="dxa"/>
            <w:tcBorders>
              <w:top w:val="nil"/>
              <w:left w:val="nil"/>
              <w:bottom w:val="nil"/>
              <w:right w:val="single" w:sz="4" w:space="0" w:color="auto"/>
            </w:tcBorders>
            <w:shd w:val="clear" w:color="auto" w:fill="auto"/>
            <w:noWrap/>
            <w:hideMark/>
          </w:tcPr>
          <w:p w14:paraId="4BC422C5"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0.94 (0.63-1.40)</w:t>
            </w:r>
          </w:p>
        </w:tc>
        <w:tc>
          <w:tcPr>
            <w:tcW w:w="1172" w:type="dxa"/>
            <w:tcBorders>
              <w:top w:val="nil"/>
              <w:left w:val="single" w:sz="4" w:space="0" w:color="auto"/>
              <w:bottom w:val="nil"/>
              <w:right w:val="nil"/>
            </w:tcBorders>
            <w:shd w:val="clear" w:color="auto" w:fill="auto"/>
            <w:noWrap/>
            <w:hideMark/>
          </w:tcPr>
          <w:p w14:paraId="3E76BD4D"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108 (5%)</w:t>
            </w:r>
          </w:p>
        </w:tc>
        <w:tc>
          <w:tcPr>
            <w:tcW w:w="810" w:type="dxa"/>
            <w:tcBorders>
              <w:top w:val="nil"/>
              <w:left w:val="nil"/>
              <w:bottom w:val="nil"/>
              <w:right w:val="nil"/>
            </w:tcBorders>
            <w:shd w:val="clear" w:color="auto" w:fill="auto"/>
            <w:noWrap/>
            <w:hideMark/>
          </w:tcPr>
          <w:p w14:paraId="6C4915BA"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0 (0%)</w:t>
            </w:r>
          </w:p>
        </w:tc>
        <w:tc>
          <w:tcPr>
            <w:tcW w:w="1260" w:type="dxa"/>
            <w:tcBorders>
              <w:top w:val="nil"/>
              <w:left w:val="nil"/>
              <w:bottom w:val="nil"/>
            </w:tcBorders>
            <w:shd w:val="clear" w:color="auto" w:fill="auto"/>
            <w:noWrap/>
            <w:hideMark/>
          </w:tcPr>
          <w:p w14:paraId="4AD369D8"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NC</w:t>
            </w:r>
          </w:p>
        </w:tc>
      </w:tr>
      <w:tr w:rsidR="0092526F" w:rsidRPr="00D37B2D" w14:paraId="301AB3B3" w14:textId="77777777" w:rsidTr="006B73F2">
        <w:trPr>
          <w:trHeight w:val="20"/>
        </w:trPr>
        <w:tc>
          <w:tcPr>
            <w:tcW w:w="1946" w:type="dxa"/>
            <w:tcBorders>
              <w:top w:val="nil"/>
              <w:bottom w:val="nil"/>
              <w:right w:val="nil"/>
            </w:tcBorders>
            <w:shd w:val="clear" w:color="auto" w:fill="auto"/>
            <w:noWrap/>
            <w:hideMark/>
          </w:tcPr>
          <w:p w14:paraId="5D8923A9"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Seasonal</w:t>
            </w:r>
          </w:p>
        </w:tc>
        <w:tc>
          <w:tcPr>
            <w:tcW w:w="1004" w:type="dxa"/>
            <w:tcBorders>
              <w:top w:val="nil"/>
              <w:left w:val="nil"/>
              <w:bottom w:val="nil"/>
            </w:tcBorders>
            <w:shd w:val="clear" w:color="auto" w:fill="auto"/>
            <w:noWrap/>
            <w:hideMark/>
          </w:tcPr>
          <w:p w14:paraId="7129FB4F"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764 (35%)</w:t>
            </w:r>
          </w:p>
        </w:tc>
        <w:tc>
          <w:tcPr>
            <w:tcW w:w="1004" w:type="dxa"/>
            <w:tcBorders>
              <w:top w:val="nil"/>
              <w:left w:val="nil"/>
              <w:bottom w:val="nil"/>
              <w:right w:val="nil"/>
            </w:tcBorders>
            <w:shd w:val="clear" w:color="auto" w:fill="auto"/>
            <w:noWrap/>
            <w:hideMark/>
          </w:tcPr>
          <w:p w14:paraId="729AFBA2"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687 (46%)</w:t>
            </w:r>
          </w:p>
        </w:tc>
        <w:tc>
          <w:tcPr>
            <w:tcW w:w="886" w:type="dxa"/>
            <w:tcBorders>
              <w:top w:val="nil"/>
              <w:left w:val="nil"/>
              <w:bottom w:val="nil"/>
              <w:right w:val="nil"/>
            </w:tcBorders>
            <w:shd w:val="clear" w:color="auto" w:fill="auto"/>
            <w:noWrap/>
            <w:hideMark/>
          </w:tcPr>
          <w:p w14:paraId="3EB47275"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77 (11%)</w:t>
            </w:r>
          </w:p>
        </w:tc>
        <w:tc>
          <w:tcPr>
            <w:tcW w:w="1278" w:type="dxa"/>
            <w:tcBorders>
              <w:top w:val="nil"/>
              <w:left w:val="nil"/>
              <w:bottom w:val="nil"/>
              <w:right w:val="single" w:sz="4" w:space="0" w:color="auto"/>
            </w:tcBorders>
            <w:shd w:val="clear" w:color="auto" w:fill="auto"/>
            <w:noWrap/>
            <w:hideMark/>
          </w:tcPr>
          <w:p w14:paraId="2B97CF0B"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0.14 (0.11-0.18)</w:t>
            </w:r>
          </w:p>
        </w:tc>
        <w:tc>
          <w:tcPr>
            <w:tcW w:w="1172" w:type="dxa"/>
            <w:tcBorders>
              <w:top w:val="nil"/>
              <w:left w:val="single" w:sz="4" w:space="0" w:color="auto"/>
              <w:bottom w:val="nil"/>
              <w:right w:val="nil"/>
            </w:tcBorders>
            <w:shd w:val="clear" w:color="auto" w:fill="auto"/>
            <w:noWrap/>
            <w:hideMark/>
          </w:tcPr>
          <w:p w14:paraId="79EE98FB"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756 (36%)</w:t>
            </w:r>
          </w:p>
        </w:tc>
        <w:tc>
          <w:tcPr>
            <w:tcW w:w="810" w:type="dxa"/>
            <w:tcBorders>
              <w:top w:val="nil"/>
              <w:left w:val="nil"/>
              <w:bottom w:val="nil"/>
              <w:right w:val="nil"/>
            </w:tcBorders>
            <w:shd w:val="clear" w:color="auto" w:fill="auto"/>
            <w:noWrap/>
            <w:hideMark/>
          </w:tcPr>
          <w:p w14:paraId="516FDA08"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3 (19%)</w:t>
            </w:r>
          </w:p>
        </w:tc>
        <w:tc>
          <w:tcPr>
            <w:tcW w:w="1260" w:type="dxa"/>
            <w:tcBorders>
              <w:top w:val="nil"/>
              <w:left w:val="nil"/>
              <w:bottom w:val="nil"/>
            </w:tcBorders>
            <w:shd w:val="clear" w:color="auto" w:fill="auto"/>
            <w:noWrap/>
            <w:hideMark/>
          </w:tcPr>
          <w:p w14:paraId="4B0C40B1"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0.39 (0.09-1.30)</w:t>
            </w:r>
          </w:p>
        </w:tc>
      </w:tr>
      <w:tr w:rsidR="0092526F" w:rsidRPr="00D37B2D" w14:paraId="09D75E57" w14:textId="77777777" w:rsidTr="006B73F2">
        <w:trPr>
          <w:trHeight w:val="20"/>
        </w:trPr>
        <w:tc>
          <w:tcPr>
            <w:tcW w:w="1946" w:type="dxa"/>
            <w:tcBorders>
              <w:top w:val="nil"/>
              <w:bottom w:val="nil"/>
              <w:right w:val="nil"/>
            </w:tcBorders>
            <w:shd w:val="clear" w:color="auto" w:fill="auto"/>
            <w:noWrap/>
            <w:hideMark/>
          </w:tcPr>
          <w:p w14:paraId="0B6C9500"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Low risk</w:t>
            </w:r>
          </w:p>
        </w:tc>
        <w:tc>
          <w:tcPr>
            <w:tcW w:w="1004" w:type="dxa"/>
            <w:tcBorders>
              <w:top w:val="nil"/>
              <w:left w:val="nil"/>
              <w:bottom w:val="nil"/>
            </w:tcBorders>
            <w:shd w:val="clear" w:color="auto" w:fill="auto"/>
            <w:noWrap/>
            <w:hideMark/>
          </w:tcPr>
          <w:p w14:paraId="5F9CD29A"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183 (8%)</w:t>
            </w:r>
          </w:p>
        </w:tc>
        <w:tc>
          <w:tcPr>
            <w:tcW w:w="1004" w:type="dxa"/>
            <w:tcBorders>
              <w:top w:val="nil"/>
              <w:left w:val="nil"/>
              <w:bottom w:val="nil"/>
              <w:right w:val="nil"/>
            </w:tcBorders>
            <w:shd w:val="clear" w:color="auto" w:fill="auto"/>
            <w:noWrap/>
            <w:hideMark/>
          </w:tcPr>
          <w:p w14:paraId="1E48413A"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102 (7%)</w:t>
            </w:r>
          </w:p>
        </w:tc>
        <w:tc>
          <w:tcPr>
            <w:tcW w:w="886" w:type="dxa"/>
            <w:tcBorders>
              <w:top w:val="nil"/>
              <w:left w:val="nil"/>
              <w:bottom w:val="nil"/>
              <w:right w:val="nil"/>
            </w:tcBorders>
            <w:shd w:val="clear" w:color="auto" w:fill="auto"/>
            <w:noWrap/>
            <w:hideMark/>
          </w:tcPr>
          <w:p w14:paraId="54FB1B65"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81 (11%)</w:t>
            </w:r>
          </w:p>
        </w:tc>
        <w:tc>
          <w:tcPr>
            <w:tcW w:w="1278" w:type="dxa"/>
            <w:tcBorders>
              <w:top w:val="nil"/>
              <w:left w:val="nil"/>
              <w:bottom w:val="nil"/>
              <w:right w:val="single" w:sz="4" w:space="0" w:color="auto"/>
            </w:tcBorders>
            <w:shd w:val="clear" w:color="auto" w:fill="auto"/>
            <w:noWrap/>
            <w:hideMark/>
          </w:tcPr>
          <w:p w14:paraId="4056DCEA"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0.99 (0.71-1.35)</w:t>
            </w:r>
          </w:p>
        </w:tc>
        <w:tc>
          <w:tcPr>
            <w:tcW w:w="1172" w:type="dxa"/>
            <w:tcBorders>
              <w:top w:val="nil"/>
              <w:left w:val="single" w:sz="4" w:space="0" w:color="auto"/>
              <w:bottom w:val="nil"/>
              <w:right w:val="nil"/>
            </w:tcBorders>
            <w:shd w:val="clear" w:color="auto" w:fill="auto"/>
            <w:noWrap/>
            <w:hideMark/>
          </w:tcPr>
          <w:p w14:paraId="5F65D413"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180 (9%)</w:t>
            </w:r>
          </w:p>
        </w:tc>
        <w:tc>
          <w:tcPr>
            <w:tcW w:w="810" w:type="dxa"/>
            <w:tcBorders>
              <w:top w:val="nil"/>
              <w:left w:val="nil"/>
              <w:bottom w:val="nil"/>
              <w:right w:val="nil"/>
            </w:tcBorders>
            <w:shd w:val="clear" w:color="auto" w:fill="auto"/>
            <w:noWrap/>
            <w:hideMark/>
          </w:tcPr>
          <w:p w14:paraId="6085B94A"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0 (0%)</w:t>
            </w:r>
          </w:p>
        </w:tc>
        <w:tc>
          <w:tcPr>
            <w:tcW w:w="1260" w:type="dxa"/>
            <w:tcBorders>
              <w:top w:val="nil"/>
              <w:left w:val="nil"/>
              <w:bottom w:val="nil"/>
            </w:tcBorders>
            <w:shd w:val="clear" w:color="auto" w:fill="auto"/>
            <w:noWrap/>
            <w:hideMark/>
          </w:tcPr>
          <w:p w14:paraId="0522244D"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NC</w:t>
            </w:r>
          </w:p>
        </w:tc>
      </w:tr>
      <w:tr w:rsidR="0092526F" w:rsidRPr="00D37B2D" w14:paraId="2768EB2C" w14:textId="77777777" w:rsidTr="006B73F2">
        <w:trPr>
          <w:trHeight w:val="20"/>
        </w:trPr>
        <w:tc>
          <w:tcPr>
            <w:tcW w:w="1946" w:type="dxa"/>
            <w:tcBorders>
              <w:top w:val="nil"/>
              <w:bottom w:val="nil"/>
              <w:right w:val="nil"/>
            </w:tcBorders>
            <w:shd w:val="clear" w:color="auto" w:fill="auto"/>
            <w:noWrap/>
          </w:tcPr>
          <w:p w14:paraId="264AE435" w14:textId="77777777" w:rsidR="0092526F" w:rsidRPr="00D37B2D" w:rsidRDefault="0092526F" w:rsidP="006B73F2">
            <w:pPr>
              <w:spacing w:after="0" w:line="240" w:lineRule="auto"/>
              <w:rPr>
                <w:sz w:val="20"/>
                <w:szCs w:val="20"/>
              </w:rPr>
            </w:pPr>
            <w:r w:rsidRPr="00D37B2D">
              <w:rPr>
                <w:sz w:val="20"/>
                <w:szCs w:val="20"/>
              </w:rPr>
              <w:t>Days of fever (n miss = 21)</w:t>
            </w:r>
          </w:p>
        </w:tc>
        <w:tc>
          <w:tcPr>
            <w:tcW w:w="1004" w:type="dxa"/>
            <w:tcBorders>
              <w:top w:val="nil"/>
              <w:left w:val="nil"/>
              <w:bottom w:val="nil"/>
            </w:tcBorders>
            <w:shd w:val="clear" w:color="auto" w:fill="auto"/>
            <w:noWrap/>
          </w:tcPr>
          <w:p w14:paraId="22218C5D" w14:textId="77777777" w:rsidR="0092526F" w:rsidRPr="00091B01" w:rsidRDefault="0092526F" w:rsidP="006B73F2">
            <w:pPr>
              <w:spacing w:after="0" w:line="240" w:lineRule="auto"/>
              <w:jc w:val="right"/>
              <w:rPr>
                <w:sz w:val="20"/>
                <w:szCs w:val="20"/>
              </w:rPr>
            </w:pPr>
          </w:p>
        </w:tc>
        <w:tc>
          <w:tcPr>
            <w:tcW w:w="1004" w:type="dxa"/>
            <w:tcBorders>
              <w:top w:val="nil"/>
              <w:left w:val="nil"/>
              <w:bottom w:val="nil"/>
              <w:right w:val="nil"/>
            </w:tcBorders>
            <w:shd w:val="clear" w:color="auto" w:fill="auto"/>
            <w:noWrap/>
          </w:tcPr>
          <w:p w14:paraId="7C128DB8" w14:textId="77777777" w:rsidR="0092526F" w:rsidRPr="00091B01" w:rsidRDefault="0092526F" w:rsidP="006B73F2">
            <w:pPr>
              <w:spacing w:after="0" w:line="240" w:lineRule="auto"/>
              <w:jc w:val="right"/>
              <w:rPr>
                <w:sz w:val="20"/>
                <w:szCs w:val="20"/>
              </w:rPr>
            </w:pPr>
          </w:p>
        </w:tc>
        <w:tc>
          <w:tcPr>
            <w:tcW w:w="886" w:type="dxa"/>
            <w:tcBorders>
              <w:top w:val="nil"/>
              <w:left w:val="nil"/>
              <w:bottom w:val="nil"/>
              <w:right w:val="nil"/>
            </w:tcBorders>
            <w:shd w:val="clear" w:color="auto" w:fill="auto"/>
            <w:noWrap/>
          </w:tcPr>
          <w:p w14:paraId="6ED3C60D" w14:textId="77777777" w:rsidR="0092526F" w:rsidRPr="00091B01" w:rsidRDefault="0092526F" w:rsidP="006B73F2">
            <w:pPr>
              <w:spacing w:after="0" w:line="240" w:lineRule="auto"/>
              <w:jc w:val="right"/>
              <w:rPr>
                <w:sz w:val="20"/>
                <w:szCs w:val="20"/>
              </w:rPr>
            </w:pPr>
          </w:p>
        </w:tc>
        <w:tc>
          <w:tcPr>
            <w:tcW w:w="1278" w:type="dxa"/>
            <w:tcBorders>
              <w:top w:val="nil"/>
              <w:left w:val="nil"/>
              <w:bottom w:val="nil"/>
              <w:right w:val="single" w:sz="4" w:space="0" w:color="auto"/>
            </w:tcBorders>
            <w:shd w:val="clear" w:color="auto" w:fill="auto"/>
            <w:noWrap/>
          </w:tcPr>
          <w:p w14:paraId="4D61C474" w14:textId="77777777" w:rsidR="0092526F" w:rsidRPr="00091B01" w:rsidRDefault="0092526F" w:rsidP="006B73F2">
            <w:pPr>
              <w:spacing w:after="0" w:line="240" w:lineRule="auto"/>
              <w:jc w:val="right"/>
              <w:rPr>
                <w:sz w:val="20"/>
                <w:szCs w:val="20"/>
              </w:rPr>
            </w:pPr>
          </w:p>
        </w:tc>
        <w:tc>
          <w:tcPr>
            <w:tcW w:w="1172" w:type="dxa"/>
            <w:tcBorders>
              <w:top w:val="nil"/>
              <w:left w:val="single" w:sz="4" w:space="0" w:color="auto"/>
              <w:bottom w:val="nil"/>
              <w:right w:val="nil"/>
            </w:tcBorders>
            <w:shd w:val="clear" w:color="auto" w:fill="auto"/>
            <w:noWrap/>
          </w:tcPr>
          <w:p w14:paraId="3ABA66FD" w14:textId="77777777" w:rsidR="0092526F" w:rsidRPr="00091B01" w:rsidRDefault="0092526F" w:rsidP="006B73F2">
            <w:pPr>
              <w:spacing w:after="0" w:line="240" w:lineRule="auto"/>
              <w:jc w:val="right"/>
              <w:rPr>
                <w:sz w:val="20"/>
                <w:szCs w:val="20"/>
              </w:rPr>
            </w:pPr>
          </w:p>
        </w:tc>
        <w:tc>
          <w:tcPr>
            <w:tcW w:w="810" w:type="dxa"/>
            <w:tcBorders>
              <w:top w:val="nil"/>
              <w:left w:val="nil"/>
              <w:bottom w:val="nil"/>
              <w:right w:val="nil"/>
            </w:tcBorders>
            <w:shd w:val="clear" w:color="auto" w:fill="auto"/>
            <w:noWrap/>
          </w:tcPr>
          <w:p w14:paraId="1C0DD161" w14:textId="77777777" w:rsidR="0092526F" w:rsidRPr="00091B01" w:rsidRDefault="0092526F" w:rsidP="006B73F2">
            <w:pPr>
              <w:spacing w:after="0" w:line="240" w:lineRule="auto"/>
              <w:jc w:val="right"/>
              <w:rPr>
                <w:sz w:val="20"/>
                <w:szCs w:val="20"/>
              </w:rPr>
            </w:pPr>
          </w:p>
        </w:tc>
        <w:tc>
          <w:tcPr>
            <w:tcW w:w="1260" w:type="dxa"/>
            <w:tcBorders>
              <w:top w:val="nil"/>
              <w:left w:val="nil"/>
              <w:bottom w:val="nil"/>
            </w:tcBorders>
            <w:shd w:val="clear" w:color="auto" w:fill="auto"/>
            <w:noWrap/>
          </w:tcPr>
          <w:p w14:paraId="59262511" w14:textId="77777777" w:rsidR="0092526F" w:rsidRPr="00091B01" w:rsidRDefault="0092526F" w:rsidP="006B73F2">
            <w:pPr>
              <w:spacing w:after="0" w:line="240" w:lineRule="auto"/>
              <w:jc w:val="right"/>
              <w:rPr>
                <w:sz w:val="20"/>
                <w:szCs w:val="20"/>
              </w:rPr>
            </w:pPr>
          </w:p>
        </w:tc>
      </w:tr>
      <w:tr w:rsidR="0092526F" w:rsidRPr="00D37B2D" w14:paraId="3447EDB3" w14:textId="77777777" w:rsidTr="006B73F2">
        <w:trPr>
          <w:trHeight w:val="20"/>
        </w:trPr>
        <w:tc>
          <w:tcPr>
            <w:tcW w:w="1946" w:type="dxa"/>
            <w:tcBorders>
              <w:top w:val="nil"/>
              <w:bottom w:val="nil"/>
              <w:right w:val="nil"/>
            </w:tcBorders>
            <w:shd w:val="clear" w:color="auto" w:fill="auto"/>
            <w:noWrap/>
            <w:hideMark/>
          </w:tcPr>
          <w:p w14:paraId="7F12C355"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≤1</w:t>
            </w:r>
          </w:p>
        </w:tc>
        <w:tc>
          <w:tcPr>
            <w:tcW w:w="1004" w:type="dxa"/>
            <w:tcBorders>
              <w:top w:val="nil"/>
              <w:left w:val="nil"/>
              <w:bottom w:val="nil"/>
            </w:tcBorders>
            <w:shd w:val="clear" w:color="auto" w:fill="auto"/>
            <w:noWrap/>
            <w:hideMark/>
          </w:tcPr>
          <w:p w14:paraId="0DDC979B"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425 (20%)</w:t>
            </w:r>
          </w:p>
        </w:tc>
        <w:tc>
          <w:tcPr>
            <w:tcW w:w="1004" w:type="dxa"/>
            <w:tcBorders>
              <w:top w:val="nil"/>
              <w:left w:val="nil"/>
              <w:bottom w:val="nil"/>
              <w:right w:val="nil"/>
            </w:tcBorders>
            <w:shd w:val="clear" w:color="auto" w:fill="auto"/>
            <w:noWrap/>
            <w:hideMark/>
          </w:tcPr>
          <w:p w14:paraId="62B0D55F"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331 (23%)</w:t>
            </w:r>
          </w:p>
        </w:tc>
        <w:tc>
          <w:tcPr>
            <w:tcW w:w="886" w:type="dxa"/>
            <w:tcBorders>
              <w:top w:val="nil"/>
              <w:left w:val="nil"/>
              <w:bottom w:val="nil"/>
              <w:right w:val="nil"/>
            </w:tcBorders>
            <w:shd w:val="clear" w:color="auto" w:fill="auto"/>
            <w:noWrap/>
            <w:hideMark/>
          </w:tcPr>
          <w:p w14:paraId="34F682F7"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94 (13%)</w:t>
            </w:r>
          </w:p>
        </w:tc>
        <w:tc>
          <w:tcPr>
            <w:tcW w:w="1278" w:type="dxa"/>
            <w:tcBorders>
              <w:top w:val="nil"/>
              <w:left w:val="nil"/>
              <w:bottom w:val="nil"/>
              <w:right w:val="single" w:sz="4" w:space="0" w:color="auto"/>
            </w:tcBorders>
            <w:shd w:val="clear" w:color="auto" w:fill="auto"/>
            <w:noWrap/>
            <w:hideMark/>
          </w:tcPr>
          <w:p w14:paraId="700B1552"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Ref</w:t>
            </w:r>
          </w:p>
        </w:tc>
        <w:tc>
          <w:tcPr>
            <w:tcW w:w="1172" w:type="dxa"/>
            <w:tcBorders>
              <w:top w:val="nil"/>
              <w:left w:val="single" w:sz="4" w:space="0" w:color="auto"/>
              <w:bottom w:val="nil"/>
              <w:right w:val="nil"/>
            </w:tcBorders>
            <w:shd w:val="clear" w:color="auto" w:fill="auto"/>
            <w:noWrap/>
            <w:hideMark/>
          </w:tcPr>
          <w:p w14:paraId="743DD196"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416 (20%)</w:t>
            </w:r>
          </w:p>
        </w:tc>
        <w:tc>
          <w:tcPr>
            <w:tcW w:w="810" w:type="dxa"/>
            <w:tcBorders>
              <w:top w:val="nil"/>
              <w:left w:val="nil"/>
              <w:bottom w:val="nil"/>
              <w:right w:val="nil"/>
            </w:tcBorders>
            <w:shd w:val="clear" w:color="auto" w:fill="auto"/>
            <w:noWrap/>
            <w:hideMark/>
          </w:tcPr>
          <w:p w14:paraId="029E6FCA"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 (6%)</w:t>
            </w:r>
          </w:p>
        </w:tc>
        <w:tc>
          <w:tcPr>
            <w:tcW w:w="1260" w:type="dxa"/>
            <w:tcBorders>
              <w:top w:val="nil"/>
              <w:left w:val="nil"/>
              <w:bottom w:val="nil"/>
            </w:tcBorders>
            <w:shd w:val="clear" w:color="auto" w:fill="auto"/>
            <w:noWrap/>
            <w:hideMark/>
          </w:tcPr>
          <w:p w14:paraId="13335B72"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Ref</w:t>
            </w:r>
          </w:p>
        </w:tc>
      </w:tr>
      <w:tr w:rsidR="0092526F" w:rsidRPr="00D37B2D" w14:paraId="0BE01DB8" w14:textId="77777777" w:rsidTr="006B73F2">
        <w:trPr>
          <w:trHeight w:val="20"/>
        </w:trPr>
        <w:tc>
          <w:tcPr>
            <w:tcW w:w="1946" w:type="dxa"/>
            <w:tcBorders>
              <w:top w:val="nil"/>
              <w:bottom w:val="nil"/>
              <w:right w:val="nil"/>
            </w:tcBorders>
            <w:shd w:val="clear" w:color="auto" w:fill="auto"/>
            <w:noWrap/>
            <w:hideMark/>
          </w:tcPr>
          <w:p w14:paraId="4676A8DE"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2-4</w:t>
            </w:r>
          </w:p>
        </w:tc>
        <w:tc>
          <w:tcPr>
            <w:tcW w:w="1004" w:type="dxa"/>
            <w:tcBorders>
              <w:top w:val="nil"/>
              <w:left w:val="nil"/>
              <w:bottom w:val="nil"/>
            </w:tcBorders>
            <w:shd w:val="clear" w:color="auto" w:fill="auto"/>
            <w:noWrap/>
            <w:hideMark/>
          </w:tcPr>
          <w:p w14:paraId="5139395E"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1,420 (65%)</w:t>
            </w:r>
          </w:p>
        </w:tc>
        <w:tc>
          <w:tcPr>
            <w:tcW w:w="1004" w:type="dxa"/>
            <w:tcBorders>
              <w:top w:val="nil"/>
              <w:left w:val="nil"/>
              <w:bottom w:val="nil"/>
              <w:right w:val="nil"/>
            </w:tcBorders>
            <w:shd w:val="clear" w:color="auto" w:fill="auto"/>
            <w:noWrap/>
            <w:hideMark/>
          </w:tcPr>
          <w:p w14:paraId="1B5ABA7F"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976 (66%)</w:t>
            </w:r>
          </w:p>
        </w:tc>
        <w:tc>
          <w:tcPr>
            <w:tcW w:w="886" w:type="dxa"/>
            <w:tcBorders>
              <w:top w:val="nil"/>
              <w:left w:val="nil"/>
              <w:bottom w:val="nil"/>
              <w:right w:val="nil"/>
            </w:tcBorders>
            <w:shd w:val="clear" w:color="auto" w:fill="auto"/>
            <w:noWrap/>
            <w:hideMark/>
          </w:tcPr>
          <w:p w14:paraId="02B14A78"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444 (63%)</w:t>
            </w:r>
          </w:p>
        </w:tc>
        <w:tc>
          <w:tcPr>
            <w:tcW w:w="1278" w:type="dxa"/>
            <w:tcBorders>
              <w:top w:val="nil"/>
              <w:left w:val="nil"/>
              <w:bottom w:val="nil"/>
              <w:right w:val="single" w:sz="4" w:space="0" w:color="auto"/>
            </w:tcBorders>
            <w:shd w:val="clear" w:color="auto" w:fill="auto"/>
            <w:noWrap/>
            <w:hideMark/>
          </w:tcPr>
          <w:p w14:paraId="66829723"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1.60 (1.25-2.08)</w:t>
            </w:r>
          </w:p>
        </w:tc>
        <w:tc>
          <w:tcPr>
            <w:tcW w:w="1172" w:type="dxa"/>
            <w:tcBorders>
              <w:top w:val="nil"/>
              <w:left w:val="single" w:sz="4" w:space="0" w:color="auto"/>
              <w:bottom w:val="nil"/>
              <w:right w:val="nil"/>
            </w:tcBorders>
            <w:shd w:val="clear" w:color="auto" w:fill="auto"/>
            <w:noWrap/>
            <w:hideMark/>
          </w:tcPr>
          <w:p w14:paraId="3AED06BD"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1,364 (65%)</w:t>
            </w:r>
          </w:p>
        </w:tc>
        <w:tc>
          <w:tcPr>
            <w:tcW w:w="810" w:type="dxa"/>
            <w:tcBorders>
              <w:top w:val="nil"/>
              <w:left w:val="nil"/>
              <w:bottom w:val="nil"/>
              <w:right w:val="nil"/>
            </w:tcBorders>
            <w:shd w:val="clear" w:color="auto" w:fill="auto"/>
            <w:noWrap/>
            <w:hideMark/>
          </w:tcPr>
          <w:p w14:paraId="32285628"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9 (56%)</w:t>
            </w:r>
          </w:p>
        </w:tc>
        <w:tc>
          <w:tcPr>
            <w:tcW w:w="1260" w:type="dxa"/>
            <w:tcBorders>
              <w:top w:val="nil"/>
              <w:left w:val="nil"/>
              <w:bottom w:val="nil"/>
            </w:tcBorders>
            <w:shd w:val="clear" w:color="auto" w:fill="auto"/>
            <w:noWrap/>
            <w:hideMark/>
          </w:tcPr>
          <w:p w14:paraId="507DF9AC"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2.74 (0.51-50.70)</w:t>
            </w:r>
          </w:p>
        </w:tc>
      </w:tr>
      <w:tr w:rsidR="0092526F" w:rsidRPr="00D37B2D" w14:paraId="21CADB99" w14:textId="77777777" w:rsidTr="006B73F2">
        <w:trPr>
          <w:trHeight w:val="20"/>
        </w:trPr>
        <w:tc>
          <w:tcPr>
            <w:tcW w:w="1946" w:type="dxa"/>
            <w:tcBorders>
              <w:top w:val="nil"/>
              <w:bottom w:val="nil"/>
              <w:right w:val="nil"/>
            </w:tcBorders>
            <w:shd w:val="clear" w:color="auto" w:fill="auto"/>
            <w:noWrap/>
            <w:hideMark/>
          </w:tcPr>
          <w:p w14:paraId="2FE0D457"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≥5</w:t>
            </w:r>
          </w:p>
        </w:tc>
        <w:tc>
          <w:tcPr>
            <w:tcW w:w="1004" w:type="dxa"/>
            <w:tcBorders>
              <w:top w:val="nil"/>
              <w:left w:val="nil"/>
              <w:bottom w:val="nil"/>
            </w:tcBorders>
            <w:shd w:val="clear" w:color="auto" w:fill="auto"/>
            <w:noWrap/>
            <w:hideMark/>
          </w:tcPr>
          <w:p w14:paraId="5F3EE5CB"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331 (15%)</w:t>
            </w:r>
          </w:p>
        </w:tc>
        <w:tc>
          <w:tcPr>
            <w:tcW w:w="1004" w:type="dxa"/>
            <w:tcBorders>
              <w:top w:val="nil"/>
              <w:left w:val="nil"/>
              <w:bottom w:val="nil"/>
              <w:right w:val="nil"/>
            </w:tcBorders>
            <w:shd w:val="clear" w:color="auto" w:fill="auto"/>
            <w:noWrap/>
            <w:hideMark/>
          </w:tcPr>
          <w:p w14:paraId="0B0294EF"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162 (11%)</w:t>
            </w:r>
          </w:p>
        </w:tc>
        <w:tc>
          <w:tcPr>
            <w:tcW w:w="886" w:type="dxa"/>
            <w:tcBorders>
              <w:top w:val="nil"/>
              <w:left w:val="nil"/>
              <w:bottom w:val="nil"/>
              <w:right w:val="nil"/>
            </w:tcBorders>
            <w:shd w:val="clear" w:color="auto" w:fill="auto"/>
            <w:noWrap/>
            <w:hideMark/>
          </w:tcPr>
          <w:p w14:paraId="7D1855C9"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169 (24%)</w:t>
            </w:r>
          </w:p>
        </w:tc>
        <w:tc>
          <w:tcPr>
            <w:tcW w:w="1278" w:type="dxa"/>
            <w:tcBorders>
              <w:top w:val="nil"/>
              <w:left w:val="nil"/>
              <w:bottom w:val="nil"/>
              <w:right w:val="single" w:sz="4" w:space="0" w:color="auto"/>
            </w:tcBorders>
            <w:shd w:val="clear" w:color="auto" w:fill="auto"/>
            <w:noWrap/>
            <w:hideMark/>
          </w:tcPr>
          <w:p w14:paraId="299FEC5E"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3.67 (2.69-5.05)</w:t>
            </w:r>
          </w:p>
        </w:tc>
        <w:tc>
          <w:tcPr>
            <w:tcW w:w="1172" w:type="dxa"/>
            <w:tcBorders>
              <w:top w:val="nil"/>
              <w:left w:val="single" w:sz="4" w:space="0" w:color="auto"/>
              <w:bottom w:val="nil"/>
              <w:right w:val="nil"/>
            </w:tcBorders>
            <w:shd w:val="clear" w:color="auto" w:fill="auto"/>
            <w:noWrap/>
            <w:hideMark/>
          </w:tcPr>
          <w:p w14:paraId="773B9ECC"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312 (15%)</w:t>
            </w:r>
          </w:p>
        </w:tc>
        <w:tc>
          <w:tcPr>
            <w:tcW w:w="810" w:type="dxa"/>
            <w:tcBorders>
              <w:top w:val="nil"/>
              <w:left w:val="nil"/>
              <w:bottom w:val="nil"/>
              <w:right w:val="nil"/>
            </w:tcBorders>
            <w:shd w:val="clear" w:color="auto" w:fill="auto"/>
            <w:noWrap/>
            <w:hideMark/>
          </w:tcPr>
          <w:p w14:paraId="4547F158"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6 (38%)</w:t>
            </w:r>
          </w:p>
        </w:tc>
        <w:tc>
          <w:tcPr>
            <w:tcW w:w="1260" w:type="dxa"/>
            <w:tcBorders>
              <w:top w:val="nil"/>
              <w:left w:val="nil"/>
              <w:bottom w:val="nil"/>
            </w:tcBorders>
            <w:shd w:val="clear" w:color="auto" w:fill="auto"/>
            <w:noWrap/>
            <w:hideMark/>
          </w:tcPr>
          <w:p w14:paraId="740292E9"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8.00 (1.36-151.00)</w:t>
            </w:r>
          </w:p>
        </w:tc>
      </w:tr>
      <w:tr w:rsidR="0092526F" w:rsidRPr="00D37B2D" w14:paraId="639D1D3B" w14:textId="77777777" w:rsidTr="006B73F2">
        <w:trPr>
          <w:trHeight w:val="20"/>
        </w:trPr>
        <w:tc>
          <w:tcPr>
            <w:tcW w:w="1946" w:type="dxa"/>
            <w:tcBorders>
              <w:top w:val="nil"/>
              <w:bottom w:val="nil"/>
              <w:right w:val="nil"/>
            </w:tcBorders>
            <w:shd w:val="clear" w:color="auto" w:fill="auto"/>
            <w:noWrap/>
          </w:tcPr>
          <w:p w14:paraId="7E57463C" w14:textId="77777777" w:rsidR="0092526F" w:rsidRPr="00D37B2D" w:rsidRDefault="0092526F" w:rsidP="006B73F2">
            <w:pPr>
              <w:spacing w:after="0" w:line="240" w:lineRule="auto"/>
              <w:rPr>
                <w:sz w:val="20"/>
                <w:szCs w:val="20"/>
              </w:rPr>
            </w:pPr>
            <w:r w:rsidRPr="00D37B2D">
              <w:rPr>
                <w:sz w:val="20"/>
                <w:szCs w:val="20"/>
              </w:rPr>
              <w:t>Pregnant (n miss = 4)</w:t>
            </w:r>
          </w:p>
        </w:tc>
        <w:tc>
          <w:tcPr>
            <w:tcW w:w="1004" w:type="dxa"/>
            <w:tcBorders>
              <w:top w:val="nil"/>
              <w:left w:val="nil"/>
              <w:bottom w:val="nil"/>
            </w:tcBorders>
            <w:shd w:val="clear" w:color="auto" w:fill="auto"/>
            <w:noWrap/>
          </w:tcPr>
          <w:p w14:paraId="752E5AD6" w14:textId="77777777" w:rsidR="0092526F" w:rsidRPr="00091B01" w:rsidRDefault="0092526F" w:rsidP="006B73F2">
            <w:pPr>
              <w:spacing w:after="0" w:line="240" w:lineRule="auto"/>
              <w:jc w:val="right"/>
              <w:rPr>
                <w:sz w:val="20"/>
                <w:szCs w:val="20"/>
              </w:rPr>
            </w:pPr>
          </w:p>
        </w:tc>
        <w:tc>
          <w:tcPr>
            <w:tcW w:w="1004" w:type="dxa"/>
            <w:tcBorders>
              <w:top w:val="nil"/>
              <w:left w:val="nil"/>
              <w:bottom w:val="nil"/>
              <w:right w:val="nil"/>
            </w:tcBorders>
            <w:shd w:val="clear" w:color="auto" w:fill="auto"/>
            <w:noWrap/>
          </w:tcPr>
          <w:p w14:paraId="0E5FCB71" w14:textId="77777777" w:rsidR="0092526F" w:rsidRPr="00091B01" w:rsidRDefault="0092526F" w:rsidP="006B73F2">
            <w:pPr>
              <w:spacing w:after="0" w:line="240" w:lineRule="auto"/>
              <w:jc w:val="right"/>
              <w:rPr>
                <w:sz w:val="20"/>
                <w:szCs w:val="20"/>
              </w:rPr>
            </w:pPr>
          </w:p>
        </w:tc>
        <w:tc>
          <w:tcPr>
            <w:tcW w:w="886" w:type="dxa"/>
            <w:tcBorders>
              <w:top w:val="nil"/>
              <w:left w:val="nil"/>
              <w:bottom w:val="nil"/>
              <w:right w:val="nil"/>
            </w:tcBorders>
            <w:shd w:val="clear" w:color="auto" w:fill="auto"/>
            <w:noWrap/>
          </w:tcPr>
          <w:p w14:paraId="0C0C5FBB" w14:textId="77777777" w:rsidR="0092526F" w:rsidRPr="00091B01" w:rsidRDefault="0092526F" w:rsidP="006B73F2">
            <w:pPr>
              <w:spacing w:after="0" w:line="240" w:lineRule="auto"/>
              <w:jc w:val="right"/>
              <w:rPr>
                <w:sz w:val="20"/>
                <w:szCs w:val="20"/>
              </w:rPr>
            </w:pPr>
          </w:p>
        </w:tc>
        <w:tc>
          <w:tcPr>
            <w:tcW w:w="1278" w:type="dxa"/>
            <w:tcBorders>
              <w:top w:val="nil"/>
              <w:left w:val="nil"/>
              <w:bottom w:val="nil"/>
              <w:right w:val="single" w:sz="4" w:space="0" w:color="auto"/>
            </w:tcBorders>
            <w:shd w:val="clear" w:color="auto" w:fill="auto"/>
            <w:noWrap/>
          </w:tcPr>
          <w:p w14:paraId="51C14CD1" w14:textId="77777777" w:rsidR="0092526F" w:rsidRPr="00091B01" w:rsidRDefault="0092526F" w:rsidP="006B73F2">
            <w:pPr>
              <w:spacing w:after="0" w:line="240" w:lineRule="auto"/>
              <w:jc w:val="right"/>
              <w:rPr>
                <w:sz w:val="20"/>
                <w:szCs w:val="20"/>
              </w:rPr>
            </w:pPr>
          </w:p>
        </w:tc>
        <w:tc>
          <w:tcPr>
            <w:tcW w:w="1172" w:type="dxa"/>
            <w:tcBorders>
              <w:top w:val="nil"/>
              <w:left w:val="single" w:sz="4" w:space="0" w:color="auto"/>
              <w:bottom w:val="nil"/>
              <w:right w:val="nil"/>
            </w:tcBorders>
            <w:shd w:val="clear" w:color="auto" w:fill="auto"/>
            <w:noWrap/>
          </w:tcPr>
          <w:p w14:paraId="7FACDD7E" w14:textId="77777777" w:rsidR="0092526F" w:rsidRPr="00091B01" w:rsidRDefault="0092526F" w:rsidP="006B73F2">
            <w:pPr>
              <w:spacing w:after="0" w:line="240" w:lineRule="auto"/>
              <w:jc w:val="right"/>
              <w:rPr>
                <w:sz w:val="20"/>
                <w:szCs w:val="20"/>
              </w:rPr>
            </w:pPr>
          </w:p>
        </w:tc>
        <w:tc>
          <w:tcPr>
            <w:tcW w:w="810" w:type="dxa"/>
            <w:tcBorders>
              <w:top w:val="nil"/>
              <w:left w:val="nil"/>
              <w:bottom w:val="nil"/>
              <w:right w:val="nil"/>
            </w:tcBorders>
            <w:shd w:val="clear" w:color="auto" w:fill="auto"/>
            <w:noWrap/>
          </w:tcPr>
          <w:p w14:paraId="25BA165F" w14:textId="77777777" w:rsidR="0092526F" w:rsidRPr="00091B01" w:rsidRDefault="0092526F" w:rsidP="006B73F2">
            <w:pPr>
              <w:spacing w:after="0" w:line="240" w:lineRule="auto"/>
              <w:jc w:val="right"/>
              <w:rPr>
                <w:sz w:val="20"/>
                <w:szCs w:val="20"/>
              </w:rPr>
            </w:pPr>
          </w:p>
        </w:tc>
        <w:tc>
          <w:tcPr>
            <w:tcW w:w="1260" w:type="dxa"/>
            <w:tcBorders>
              <w:top w:val="nil"/>
              <w:left w:val="nil"/>
              <w:bottom w:val="nil"/>
            </w:tcBorders>
            <w:shd w:val="clear" w:color="auto" w:fill="auto"/>
            <w:noWrap/>
          </w:tcPr>
          <w:p w14:paraId="6EF90E0E" w14:textId="77777777" w:rsidR="0092526F" w:rsidRPr="00091B01" w:rsidRDefault="0092526F" w:rsidP="006B73F2">
            <w:pPr>
              <w:spacing w:after="0" w:line="240" w:lineRule="auto"/>
              <w:jc w:val="right"/>
              <w:rPr>
                <w:sz w:val="20"/>
                <w:szCs w:val="20"/>
              </w:rPr>
            </w:pPr>
          </w:p>
        </w:tc>
      </w:tr>
      <w:tr w:rsidR="0092526F" w:rsidRPr="00D37B2D" w14:paraId="07E98F85" w14:textId="77777777" w:rsidTr="006B73F2">
        <w:trPr>
          <w:trHeight w:val="20"/>
        </w:trPr>
        <w:tc>
          <w:tcPr>
            <w:tcW w:w="1946" w:type="dxa"/>
            <w:tcBorders>
              <w:top w:val="nil"/>
              <w:bottom w:val="nil"/>
              <w:right w:val="nil"/>
            </w:tcBorders>
            <w:shd w:val="clear" w:color="auto" w:fill="auto"/>
            <w:noWrap/>
            <w:hideMark/>
          </w:tcPr>
          <w:p w14:paraId="1D773AE0"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No</w:t>
            </w:r>
          </w:p>
        </w:tc>
        <w:tc>
          <w:tcPr>
            <w:tcW w:w="1004" w:type="dxa"/>
            <w:tcBorders>
              <w:top w:val="nil"/>
              <w:left w:val="nil"/>
              <w:bottom w:val="nil"/>
            </w:tcBorders>
            <w:shd w:val="clear" w:color="auto" w:fill="auto"/>
            <w:noWrap/>
            <w:hideMark/>
          </w:tcPr>
          <w:p w14:paraId="021A6012"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145 (82%)</w:t>
            </w:r>
          </w:p>
        </w:tc>
        <w:tc>
          <w:tcPr>
            <w:tcW w:w="1004" w:type="dxa"/>
            <w:tcBorders>
              <w:top w:val="nil"/>
              <w:left w:val="nil"/>
              <w:bottom w:val="nil"/>
              <w:right w:val="nil"/>
            </w:tcBorders>
            <w:shd w:val="clear" w:color="auto" w:fill="auto"/>
            <w:noWrap/>
            <w:hideMark/>
          </w:tcPr>
          <w:p w14:paraId="48E44AF6"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127 (81%)</w:t>
            </w:r>
          </w:p>
        </w:tc>
        <w:tc>
          <w:tcPr>
            <w:tcW w:w="886" w:type="dxa"/>
            <w:tcBorders>
              <w:top w:val="nil"/>
              <w:left w:val="nil"/>
              <w:bottom w:val="nil"/>
              <w:right w:val="nil"/>
            </w:tcBorders>
            <w:shd w:val="clear" w:color="auto" w:fill="auto"/>
            <w:noWrap/>
            <w:hideMark/>
          </w:tcPr>
          <w:p w14:paraId="791C9097"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18 (90%)</w:t>
            </w:r>
          </w:p>
        </w:tc>
        <w:tc>
          <w:tcPr>
            <w:tcW w:w="1278" w:type="dxa"/>
            <w:tcBorders>
              <w:top w:val="nil"/>
              <w:left w:val="nil"/>
              <w:bottom w:val="nil"/>
              <w:right w:val="single" w:sz="4" w:space="0" w:color="auto"/>
            </w:tcBorders>
            <w:shd w:val="clear" w:color="auto" w:fill="auto"/>
            <w:noWrap/>
            <w:hideMark/>
          </w:tcPr>
          <w:p w14:paraId="57E3DDCD"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Ref</w:t>
            </w:r>
          </w:p>
        </w:tc>
        <w:tc>
          <w:tcPr>
            <w:tcW w:w="1172" w:type="dxa"/>
            <w:tcBorders>
              <w:top w:val="nil"/>
              <w:left w:val="single" w:sz="4" w:space="0" w:color="auto"/>
              <w:bottom w:val="nil"/>
              <w:right w:val="nil"/>
            </w:tcBorders>
            <w:shd w:val="clear" w:color="auto" w:fill="auto"/>
            <w:noWrap/>
            <w:hideMark/>
          </w:tcPr>
          <w:p w14:paraId="5BC0DF82"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141 (82%)</w:t>
            </w:r>
          </w:p>
        </w:tc>
        <w:tc>
          <w:tcPr>
            <w:tcW w:w="810" w:type="dxa"/>
            <w:tcBorders>
              <w:top w:val="nil"/>
              <w:left w:val="nil"/>
              <w:bottom w:val="nil"/>
              <w:right w:val="nil"/>
            </w:tcBorders>
            <w:shd w:val="clear" w:color="auto" w:fill="auto"/>
            <w:noWrap/>
            <w:hideMark/>
          </w:tcPr>
          <w:p w14:paraId="114B567F"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3 (100%)</w:t>
            </w:r>
          </w:p>
        </w:tc>
        <w:tc>
          <w:tcPr>
            <w:tcW w:w="1260" w:type="dxa"/>
            <w:tcBorders>
              <w:top w:val="nil"/>
              <w:left w:val="nil"/>
              <w:bottom w:val="nil"/>
            </w:tcBorders>
            <w:shd w:val="clear" w:color="auto" w:fill="auto"/>
            <w:noWrap/>
            <w:hideMark/>
          </w:tcPr>
          <w:p w14:paraId="1241F891"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Ref</w:t>
            </w:r>
          </w:p>
        </w:tc>
      </w:tr>
      <w:tr w:rsidR="0092526F" w:rsidRPr="00D37B2D" w14:paraId="450BD525" w14:textId="77777777" w:rsidTr="006B73F2">
        <w:trPr>
          <w:trHeight w:val="20"/>
        </w:trPr>
        <w:tc>
          <w:tcPr>
            <w:tcW w:w="1946" w:type="dxa"/>
            <w:tcBorders>
              <w:top w:val="nil"/>
              <w:bottom w:val="nil"/>
              <w:right w:val="nil"/>
            </w:tcBorders>
            <w:shd w:val="clear" w:color="auto" w:fill="auto"/>
            <w:noWrap/>
            <w:hideMark/>
          </w:tcPr>
          <w:p w14:paraId="2633A7AD"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Yes</w:t>
            </w:r>
          </w:p>
        </w:tc>
        <w:tc>
          <w:tcPr>
            <w:tcW w:w="1004" w:type="dxa"/>
            <w:tcBorders>
              <w:top w:val="nil"/>
              <w:left w:val="nil"/>
              <w:bottom w:val="nil"/>
            </w:tcBorders>
            <w:shd w:val="clear" w:color="auto" w:fill="auto"/>
            <w:noWrap/>
            <w:hideMark/>
          </w:tcPr>
          <w:p w14:paraId="26B460D4"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32 (18%)</w:t>
            </w:r>
          </w:p>
        </w:tc>
        <w:tc>
          <w:tcPr>
            <w:tcW w:w="1004" w:type="dxa"/>
            <w:tcBorders>
              <w:top w:val="nil"/>
              <w:left w:val="nil"/>
              <w:bottom w:val="nil"/>
              <w:right w:val="nil"/>
            </w:tcBorders>
            <w:shd w:val="clear" w:color="auto" w:fill="auto"/>
            <w:noWrap/>
            <w:hideMark/>
          </w:tcPr>
          <w:p w14:paraId="70F37BB4"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30 (19%)</w:t>
            </w:r>
          </w:p>
        </w:tc>
        <w:tc>
          <w:tcPr>
            <w:tcW w:w="886" w:type="dxa"/>
            <w:tcBorders>
              <w:top w:val="nil"/>
              <w:left w:val="nil"/>
              <w:bottom w:val="nil"/>
              <w:right w:val="nil"/>
            </w:tcBorders>
            <w:shd w:val="clear" w:color="auto" w:fill="auto"/>
            <w:noWrap/>
            <w:hideMark/>
          </w:tcPr>
          <w:p w14:paraId="47DDAEA9"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2 (10%)</w:t>
            </w:r>
          </w:p>
        </w:tc>
        <w:tc>
          <w:tcPr>
            <w:tcW w:w="1278" w:type="dxa"/>
            <w:tcBorders>
              <w:top w:val="nil"/>
              <w:left w:val="nil"/>
              <w:bottom w:val="nil"/>
              <w:right w:val="single" w:sz="4" w:space="0" w:color="auto"/>
            </w:tcBorders>
            <w:shd w:val="clear" w:color="auto" w:fill="auto"/>
            <w:noWrap/>
            <w:hideMark/>
          </w:tcPr>
          <w:p w14:paraId="1E82766B"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0.47 (0.07-1.75)</w:t>
            </w:r>
          </w:p>
        </w:tc>
        <w:tc>
          <w:tcPr>
            <w:tcW w:w="1172" w:type="dxa"/>
            <w:tcBorders>
              <w:top w:val="nil"/>
              <w:left w:val="single" w:sz="4" w:space="0" w:color="auto"/>
              <w:bottom w:val="nil"/>
              <w:right w:val="nil"/>
            </w:tcBorders>
            <w:shd w:val="clear" w:color="auto" w:fill="auto"/>
            <w:noWrap/>
            <w:hideMark/>
          </w:tcPr>
          <w:p w14:paraId="0E05A55D"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32 (18%)</w:t>
            </w:r>
          </w:p>
        </w:tc>
        <w:tc>
          <w:tcPr>
            <w:tcW w:w="810" w:type="dxa"/>
            <w:tcBorders>
              <w:top w:val="nil"/>
              <w:left w:val="nil"/>
              <w:bottom w:val="nil"/>
              <w:right w:val="nil"/>
            </w:tcBorders>
            <w:shd w:val="clear" w:color="auto" w:fill="auto"/>
            <w:noWrap/>
            <w:hideMark/>
          </w:tcPr>
          <w:p w14:paraId="09A5A6FF"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0 (0%)</w:t>
            </w:r>
          </w:p>
        </w:tc>
        <w:tc>
          <w:tcPr>
            <w:tcW w:w="1260" w:type="dxa"/>
            <w:tcBorders>
              <w:top w:val="nil"/>
              <w:left w:val="nil"/>
              <w:bottom w:val="nil"/>
            </w:tcBorders>
            <w:shd w:val="clear" w:color="auto" w:fill="auto"/>
            <w:noWrap/>
            <w:hideMark/>
          </w:tcPr>
          <w:p w14:paraId="33043FAE"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NC</w:t>
            </w:r>
          </w:p>
        </w:tc>
      </w:tr>
      <w:tr w:rsidR="0092526F" w:rsidRPr="00D37B2D" w14:paraId="4930B381" w14:textId="77777777" w:rsidTr="006B73F2">
        <w:trPr>
          <w:trHeight w:val="20"/>
        </w:trPr>
        <w:tc>
          <w:tcPr>
            <w:tcW w:w="1946" w:type="dxa"/>
            <w:tcBorders>
              <w:top w:val="nil"/>
              <w:bottom w:val="nil"/>
              <w:right w:val="nil"/>
            </w:tcBorders>
            <w:shd w:val="clear" w:color="auto" w:fill="auto"/>
            <w:noWrap/>
          </w:tcPr>
          <w:p w14:paraId="71FCCB99" w14:textId="77777777" w:rsidR="0092526F" w:rsidRPr="00D37B2D" w:rsidRDefault="0092526F" w:rsidP="006B73F2">
            <w:pPr>
              <w:spacing w:after="0" w:line="240" w:lineRule="auto"/>
              <w:rPr>
                <w:sz w:val="20"/>
                <w:szCs w:val="20"/>
              </w:rPr>
            </w:pPr>
            <w:r w:rsidRPr="00D37B2D">
              <w:rPr>
                <w:sz w:val="20"/>
                <w:szCs w:val="20"/>
              </w:rPr>
              <w:t>HIV status (n miss = 707)</w:t>
            </w:r>
          </w:p>
        </w:tc>
        <w:tc>
          <w:tcPr>
            <w:tcW w:w="1004" w:type="dxa"/>
            <w:tcBorders>
              <w:top w:val="nil"/>
              <w:left w:val="nil"/>
              <w:bottom w:val="nil"/>
            </w:tcBorders>
            <w:shd w:val="clear" w:color="auto" w:fill="auto"/>
            <w:noWrap/>
          </w:tcPr>
          <w:p w14:paraId="0A1BA0A6" w14:textId="77777777" w:rsidR="0092526F" w:rsidRPr="00091B01" w:rsidRDefault="0092526F" w:rsidP="006B73F2">
            <w:pPr>
              <w:spacing w:after="0" w:line="240" w:lineRule="auto"/>
              <w:jc w:val="right"/>
              <w:rPr>
                <w:sz w:val="20"/>
                <w:szCs w:val="20"/>
              </w:rPr>
            </w:pPr>
          </w:p>
        </w:tc>
        <w:tc>
          <w:tcPr>
            <w:tcW w:w="1004" w:type="dxa"/>
            <w:tcBorders>
              <w:top w:val="nil"/>
              <w:left w:val="nil"/>
              <w:bottom w:val="nil"/>
              <w:right w:val="nil"/>
            </w:tcBorders>
            <w:shd w:val="clear" w:color="auto" w:fill="auto"/>
            <w:noWrap/>
          </w:tcPr>
          <w:p w14:paraId="60EEC1B7" w14:textId="77777777" w:rsidR="0092526F" w:rsidRPr="00091B01" w:rsidRDefault="0092526F" w:rsidP="006B73F2">
            <w:pPr>
              <w:spacing w:after="0" w:line="240" w:lineRule="auto"/>
              <w:jc w:val="right"/>
              <w:rPr>
                <w:sz w:val="20"/>
                <w:szCs w:val="20"/>
              </w:rPr>
            </w:pPr>
          </w:p>
        </w:tc>
        <w:tc>
          <w:tcPr>
            <w:tcW w:w="886" w:type="dxa"/>
            <w:tcBorders>
              <w:top w:val="nil"/>
              <w:left w:val="nil"/>
              <w:bottom w:val="nil"/>
              <w:right w:val="nil"/>
            </w:tcBorders>
            <w:shd w:val="clear" w:color="auto" w:fill="auto"/>
            <w:noWrap/>
          </w:tcPr>
          <w:p w14:paraId="428A7946" w14:textId="77777777" w:rsidR="0092526F" w:rsidRPr="00091B01" w:rsidRDefault="0092526F" w:rsidP="006B73F2">
            <w:pPr>
              <w:spacing w:after="0" w:line="240" w:lineRule="auto"/>
              <w:jc w:val="right"/>
              <w:rPr>
                <w:sz w:val="20"/>
                <w:szCs w:val="20"/>
              </w:rPr>
            </w:pPr>
          </w:p>
        </w:tc>
        <w:tc>
          <w:tcPr>
            <w:tcW w:w="1278" w:type="dxa"/>
            <w:tcBorders>
              <w:top w:val="nil"/>
              <w:left w:val="nil"/>
              <w:bottom w:val="nil"/>
              <w:right w:val="single" w:sz="4" w:space="0" w:color="auto"/>
            </w:tcBorders>
            <w:shd w:val="clear" w:color="auto" w:fill="auto"/>
            <w:noWrap/>
          </w:tcPr>
          <w:p w14:paraId="555B4C91" w14:textId="77777777" w:rsidR="0092526F" w:rsidRPr="00091B01" w:rsidRDefault="0092526F" w:rsidP="006B73F2">
            <w:pPr>
              <w:spacing w:after="0" w:line="240" w:lineRule="auto"/>
              <w:jc w:val="right"/>
              <w:rPr>
                <w:sz w:val="20"/>
                <w:szCs w:val="20"/>
              </w:rPr>
            </w:pPr>
          </w:p>
        </w:tc>
        <w:tc>
          <w:tcPr>
            <w:tcW w:w="1172" w:type="dxa"/>
            <w:tcBorders>
              <w:top w:val="nil"/>
              <w:left w:val="single" w:sz="4" w:space="0" w:color="auto"/>
              <w:bottom w:val="nil"/>
              <w:right w:val="nil"/>
            </w:tcBorders>
            <w:shd w:val="clear" w:color="auto" w:fill="auto"/>
            <w:noWrap/>
          </w:tcPr>
          <w:p w14:paraId="2A954439" w14:textId="77777777" w:rsidR="0092526F" w:rsidRPr="00091B01" w:rsidRDefault="0092526F" w:rsidP="006B73F2">
            <w:pPr>
              <w:spacing w:after="0" w:line="240" w:lineRule="auto"/>
              <w:jc w:val="right"/>
              <w:rPr>
                <w:sz w:val="20"/>
                <w:szCs w:val="20"/>
              </w:rPr>
            </w:pPr>
          </w:p>
        </w:tc>
        <w:tc>
          <w:tcPr>
            <w:tcW w:w="810" w:type="dxa"/>
            <w:tcBorders>
              <w:top w:val="nil"/>
              <w:left w:val="nil"/>
              <w:bottom w:val="nil"/>
              <w:right w:val="nil"/>
            </w:tcBorders>
            <w:shd w:val="clear" w:color="auto" w:fill="auto"/>
            <w:noWrap/>
          </w:tcPr>
          <w:p w14:paraId="3B67079D" w14:textId="77777777" w:rsidR="0092526F" w:rsidRPr="00091B01" w:rsidRDefault="0092526F" w:rsidP="006B73F2">
            <w:pPr>
              <w:spacing w:after="0" w:line="240" w:lineRule="auto"/>
              <w:jc w:val="right"/>
              <w:rPr>
                <w:sz w:val="20"/>
                <w:szCs w:val="20"/>
              </w:rPr>
            </w:pPr>
          </w:p>
        </w:tc>
        <w:tc>
          <w:tcPr>
            <w:tcW w:w="1260" w:type="dxa"/>
            <w:tcBorders>
              <w:top w:val="nil"/>
              <w:left w:val="nil"/>
              <w:bottom w:val="nil"/>
            </w:tcBorders>
            <w:shd w:val="clear" w:color="auto" w:fill="auto"/>
            <w:noWrap/>
          </w:tcPr>
          <w:p w14:paraId="7A9BE1C1" w14:textId="77777777" w:rsidR="0092526F" w:rsidRPr="00091B01" w:rsidRDefault="0092526F" w:rsidP="006B73F2">
            <w:pPr>
              <w:spacing w:after="0" w:line="240" w:lineRule="auto"/>
              <w:jc w:val="right"/>
              <w:rPr>
                <w:sz w:val="20"/>
                <w:szCs w:val="20"/>
              </w:rPr>
            </w:pPr>
          </w:p>
        </w:tc>
      </w:tr>
      <w:tr w:rsidR="0092526F" w:rsidRPr="00D37B2D" w14:paraId="36EF1FFD" w14:textId="77777777" w:rsidTr="006B73F2">
        <w:trPr>
          <w:trHeight w:val="20"/>
        </w:trPr>
        <w:tc>
          <w:tcPr>
            <w:tcW w:w="1946" w:type="dxa"/>
            <w:tcBorders>
              <w:top w:val="nil"/>
              <w:bottom w:val="nil"/>
              <w:right w:val="nil"/>
            </w:tcBorders>
            <w:shd w:val="clear" w:color="auto" w:fill="auto"/>
            <w:noWrap/>
            <w:hideMark/>
          </w:tcPr>
          <w:p w14:paraId="6C634895"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Negative</w:t>
            </w:r>
          </w:p>
        </w:tc>
        <w:tc>
          <w:tcPr>
            <w:tcW w:w="1004" w:type="dxa"/>
            <w:tcBorders>
              <w:top w:val="nil"/>
              <w:left w:val="nil"/>
              <w:bottom w:val="nil"/>
            </w:tcBorders>
            <w:shd w:val="clear" w:color="auto" w:fill="auto"/>
            <w:noWrap/>
            <w:hideMark/>
          </w:tcPr>
          <w:p w14:paraId="37E46B79"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1,465 (98%)</w:t>
            </w:r>
          </w:p>
        </w:tc>
        <w:tc>
          <w:tcPr>
            <w:tcW w:w="1004" w:type="dxa"/>
            <w:tcBorders>
              <w:top w:val="nil"/>
              <w:left w:val="nil"/>
              <w:bottom w:val="nil"/>
              <w:right w:val="nil"/>
            </w:tcBorders>
            <w:shd w:val="clear" w:color="auto" w:fill="auto"/>
            <w:noWrap/>
            <w:hideMark/>
          </w:tcPr>
          <w:p w14:paraId="50FBD7CC"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961 (99%)</w:t>
            </w:r>
          </w:p>
        </w:tc>
        <w:tc>
          <w:tcPr>
            <w:tcW w:w="886" w:type="dxa"/>
            <w:tcBorders>
              <w:top w:val="nil"/>
              <w:left w:val="nil"/>
              <w:bottom w:val="nil"/>
              <w:right w:val="nil"/>
            </w:tcBorders>
            <w:shd w:val="clear" w:color="auto" w:fill="auto"/>
            <w:noWrap/>
            <w:hideMark/>
          </w:tcPr>
          <w:p w14:paraId="68929AF4"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504 (98%)</w:t>
            </w:r>
          </w:p>
        </w:tc>
        <w:tc>
          <w:tcPr>
            <w:tcW w:w="1278" w:type="dxa"/>
            <w:tcBorders>
              <w:top w:val="nil"/>
              <w:left w:val="nil"/>
              <w:bottom w:val="nil"/>
              <w:right w:val="single" w:sz="4" w:space="0" w:color="auto"/>
            </w:tcBorders>
            <w:shd w:val="clear" w:color="auto" w:fill="auto"/>
            <w:noWrap/>
            <w:hideMark/>
          </w:tcPr>
          <w:p w14:paraId="5B4F676B"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Ref</w:t>
            </w:r>
          </w:p>
        </w:tc>
        <w:tc>
          <w:tcPr>
            <w:tcW w:w="1172" w:type="dxa"/>
            <w:tcBorders>
              <w:top w:val="nil"/>
              <w:left w:val="single" w:sz="4" w:space="0" w:color="auto"/>
              <w:bottom w:val="nil"/>
              <w:right w:val="nil"/>
            </w:tcBorders>
            <w:shd w:val="clear" w:color="auto" w:fill="auto"/>
            <w:noWrap/>
            <w:hideMark/>
          </w:tcPr>
          <w:p w14:paraId="103F597A"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1,410 (98%)</w:t>
            </w:r>
          </w:p>
        </w:tc>
        <w:tc>
          <w:tcPr>
            <w:tcW w:w="810" w:type="dxa"/>
            <w:tcBorders>
              <w:top w:val="nil"/>
              <w:left w:val="nil"/>
              <w:bottom w:val="nil"/>
              <w:right w:val="nil"/>
            </w:tcBorders>
            <w:shd w:val="clear" w:color="auto" w:fill="auto"/>
            <w:noWrap/>
            <w:hideMark/>
          </w:tcPr>
          <w:p w14:paraId="69585C7C"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9 (90%)</w:t>
            </w:r>
          </w:p>
        </w:tc>
        <w:tc>
          <w:tcPr>
            <w:tcW w:w="1260" w:type="dxa"/>
            <w:tcBorders>
              <w:top w:val="nil"/>
              <w:left w:val="nil"/>
              <w:bottom w:val="nil"/>
            </w:tcBorders>
            <w:shd w:val="clear" w:color="auto" w:fill="auto"/>
            <w:noWrap/>
            <w:hideMark/>
          </w:tcPr>
          <w:p w14:paraId="7DE0DF9A"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Ref</w:t>
            </w:r>
          </w:p>
        </w:tc>
      </w:tr>
      <w:tr w:rsidR="0092526F" w:rsidRPr="00D37B2D" w14:paraId="5BEE8660" w14:textId="77777777" w:rsidTr="006B73F2">
        <w:trPr>
          <w:trHeight w:val="20"/>
        </w:trPr>
        <w:tc>
          <w:tcPr>
            <w:tcW w:w="1946" w:type="dxa"/>
            <w:tcBorders>
              <w:top w:val="nil"/>
              <w:bottom w:val="nil"/>
              <w:right w:val="nil"/>
            </w:tcBorders>
            <w:shd w:val="clear" w:color="auto" w:fill="auto"/>
            <w:noWrap/>
            <w:hideMark/>
          </w:tcPr>
          <w:p w14:paraId="0EAB0F4B"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lastRenderedPageBreak/>
              <w:t xml:space="preserve"> Positive</w:t>
            </w:r>
          </w:p>
        </w:tc>
        <w:tc>
          <w:tcPr>
            <w:tcW w:w="1004" w:type="dxa"/>
            <w:tcBorders>
              <w:top w:val="nil"/>
              <w:left w:val="nil"/>
              <w:bottom w:val="nil"/>
            </w:tcBorders>
            <w:shd w:val="clear" w:color="auto" w:fill="auto"/>
            <w:noWrap/>
            <w:hideMark/>
          </w:tcPr>
          <w:p w14:paraId="537676AE"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25 (2%)</w:t>
            </w:r>
          </w:p>
        </w:tc>
        <w:tc>
          <w:tcPr>
            <w:tcW w:w="1004" w:type="dxa"/>
            <w:tcBorders>
              <w:top w:val="nil"/>
              <w:left w:val="nil"/>
              <w:bottom w:val="nil"/>
              <w:right w:val="nil"/>
            </w:tcBorders>
            <w:shd w:val="clear" w:color="auto" w:fill="auto"/>
            <w:noWrap/>
            <w:hideMark/>
          </w:tcPr>
          <w:p w14:paraId="02B3C12A"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14 (1%)</w:t>
            </w:r>
          </w:p>
        </w:tc>
        <w:tc>
          <w:tcPr>
            <w:tcW w:w="886" w:type="dxa"/>
            <w:tcBorders>
              <w:top w:val="nil"/>
              <w:left w:val="nil"/>
              <w:bottom w:val="nil"/>
              <w:right w:val="nil"/>
            </w:tcBorders>
            <w:shd w:val="clear" w:color="auto" w:fill="auto"/>
            <w:noWrap/>
            <w:hideMark/>
          </w:tcPr>
          <w:p w14:paraId="45061477"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11 (2%)</w:t>
            </w:r>
          </w:p>
        </w:tc>
        <w:tc>
          <w:tcPr>
            <w:tcW w:w="1278" w:type="dxa"/>
            <w:tcBorders>
              <w:top w:val="nil"/>
              <w:left w:val="nil"/>
              <w:bottom w:val="nil"/>
              <w:right w:val="single" w:sz="4" w:space="0" w:color="auto"/>
            </w:tcBorders>
            <w:shd w:val="clear" w:color="auto" w:fill="auto"/>
            <w:noWrap/>
            <w:hideMark/>
          </w:tcPr>
          <w:p w14:paraId="154BF985"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1.50 (0.66-3.32)</w:t>
            </w:r>
          </w:p>
        </w:tc>
        <w:tc>
          <w:tcPr>
            <w:tcW w:w="1172" w:type="dxa"/>
            <w:tcBorders>
              <w:top w:val="nil"/>
              <w:left w:val="single" w:sz="4" w:space="0" w:color="auto"/>
              <w:bottom w:val="nil"/>
              <w:right w:val="nil"/>
            </w:tcBorders>
            <w:shd w:val="clear" w:color="auto" w:fill="auto"/>
            <w:noWrap/>
            <w:hideMark/>
          </w:tcPr>
          <w:p w14:paraId="1EB01718"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24 (2%)</w:t>
            </w:r>
          </w:p>
        </w:tc>
        <w:tc>
          <w:tcPr>
            <w:tcW w:w="810" w:type="dxa"/>
            <w:tcBorders>
              <w:top w:val="nil"/>
              <w:left w:val="nil"/>
              <w:bottom w:val="nil"/>
              <w:right w:val="nil"/>
            </w:tcBorders>
            <w:shd w:val="clear" w:color="auto" w:fill="auto"/>
            <w:noWrap/>
            <w:hideMark/>
          </w:tcPr>
          <w:p w14:paraId="6472BAE6"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 (10%)</w:t>
            </w:r>
          </w:p>
        </w:tc>
        <w:tc>
          <w:tcPr>
            <w:tcW w:w="1260" w:type="dxa"/>
            <w:tcBorders>
              <w:top w:val="nil"/>
              <w:left w:val="nil"/>
              <w:bottom w:val="nil"/>
            </w:tcBorders>
            <w:shd w:val="clear" w:color="auto" w:fill="auto"/>
            <w:noWrap/>
            <w:hideMark/>
          </w:tcPr>
          <w:p w14:paraId="2078F8D3"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6.53 (0.35-36.80)</w:t>
            </w:r>
          </w:p>
        </w:tc>
      </w:tr>
      <w:tr w:rsidR="0092526F" w:rsidRPr="00D37B2D" w14:paraId="7066DE04" w14:textId="77777777" w:rsidTr="006B73F2">
        <w:trPr>
          <w:trHeight w:val="20"/>
        </w:trPr>
        <w:tc>
          <w:tcPr>
            <w:tcW w:w="1946" w:type="dxa"/>
            <w:tcBorders>
              <w:top w:val="nil"/>
              <w:bottom w:val="nil"/>
              <w:right w:val="nil"/>
            </w:tcBorders>
            <w:shd w:val="clear" w:color="auto" w:fill="auto"/>
            <w:noWrap/>
          </w:tcPr>
          <w:p w14:paraId="68A5F4E7" w14:textId="77777777" w:rsidR="0092526F" w:rsidRPr="00D37B2D" w:rsidRDefault="0092526F" w:rsidP="006B73F2">
            <w:pPr>
              <w:spacing w:after="0" w:line="240" w:lineRule="auto"/>
              <w:rPr>
                <w:sz w:val="20"/>
                <w:szCs w:val="20"/>
              </w:rPr>
            </w:pPr>
            <w:r w:rsidRPr="00D37B2D">
              <w:rPr>
                <w:sz w:val="20"/>
                <w:szCs w:val="20"/>
              </w:rPr>
              <w:t>Malnourished (n miss = 196)</w:t>
            </w:r>
          </w:p>
        </w:tc>
        <w:tc>
          <w:tcPr>
            <w:tcW w:w="1004" w:type="dxa"/>
            <w:tcBorders>
              <w:top w:val="nil"/>
              <w:left w:val="nil"/>
              <w:bottom w:val="nil"/>
            </w:tcBorders>
            <w:shd w:val="clear" w:color="auto" w:fill="auto"/>
            <w:noWrap/>
          </w:tcPr>
          <w:p w14:paraId="41B12E90" w14:textId="77777777" w:rsidR="0092526F" w:rsidRPr="00091B01" w:rsidRDefault="0092526F" w:rsidP="006B73F2">
            <w:pPr>
              <w:spacing w:after="0" w:line="240" w:lineRule="auto"/>
              <w:jc w:val="right"/>
              <w:rPr>
                <w:sz w:val="20"/>
                <w:szCs w:val="20"/>
              </w:rPr>
            </w:pPr>
          </w:p>
        </w:tc>
        <w:tc>
          <w:tcPr>
            <w:tcW w:w="1004" w:type="dxa"/>
            <w:tcBorders>
              <w:top w:val="nil"/>
              <w:left w:val="nil"/>
              <w:bottom w:val="nil"/>
              <w:right w:val="nil"/>
            </w:tcBorders>
            <w:shd w:val="clear" w:color="auto" w:fill="auto"/>
            <w:noWrap/>
          </w:tcPr>
          <w:p w14:paraId="455432B0" w14:textId="77777777" w:rsidR="0092526F" w:rsidRPr="00091B01" w:rsidRDefault="0092526F" w:rsidP="006B73F2">
            <w:pPr>
              <w:spacing w:after="0" w:line="240" w:lineRule="auto"/>
              <w:jc w:val="right"/>
              <w:rPr>
                <w:sz w:val="20"/>
                <w:szCs w:val="20"/>
              </w:rPr>
            </w:pPr>
          </w:p>
        </w:tc>
        <w:tc>
          <w:tcPr>
            <w:tcW w:w="886" w:type="dxa"/>
            <w:tcBorders>
              <w:top w:val="nil"/>
              <w:left w:val="nil"/>
              <w:bottom w:val="nil"/>
              <w:right w:val="nil"/>
            </w:tcBorders>
            <w:shd w:val="clear" w:color="auto" w:fill="auto"/>
            <w:noWrap/>
          </w:tcPr>
          <w:p w14:paraId="4A2964C0" w14:textId="77777777" w:rsidR="0092526F" w:rsidRPr="00091B01" w:rsidRDefault="0092526F" w:rsidP="006B73F2">
            <w:pPr>
              <w:spacing w:after="0" w:line="240" w:lineRule="auto"/>
              <w:jc w:val="right"/>
              <w:rPr>
                <w:sz w:val="20"/>
                <w:szCs w:val="20"/>
              </w:rPr>
            </w:pPr>
          </w:p>
        </w:tc>
        <w:tc>
          <w:tcPr>
            <w:tcW w:w="1278" w:type="dxa"/>
            <w:tcBorders>
              <w:top w:val="nil"/>
              <w:left w:val="nil"/>
              <w:bottom w:val="nil"/>
              <w:right w:val="single" w:sz="4" w:space="0" w:color="auto"/>
            </w:tcBorders>
            <w:shd w:val="clear" w:color="auto" w:fill="auto"/>
            <w:noWrap/>
          </w:tcPr>
          <w:p w14:paraId="310AF949" w14:textId="77777777" w:rsidR="0092526F" w:rsidRPr="00091B01" w:rsidRDefault="0092526F" w:rsidP="006B73F2">
            <w:pPr>
              <w:spacing w:after="0" w:line="240" w:lineRule="auto"/>
              <w:jc w:val="right"/>
              <w:rPr>
                <w:sz w:val="20"/>
                <w:szCs w:val="20"/>
              </w:rPr>
            </w:pPr>
          </w:p>
        </w:tc>
        <w:tc>
          <w:tcPr>
            <w:tcW w:w="1172" w:type="dxa"/>
            <w:tcBorders>
              <w:top w:val="nil"/>
              <w:left w:val="single" w:sz="4" w:space="0" w:color="auto"/>
              <w:bottom w:val="nil"/>
              <w:right w:val="nil"/>
            </w:tcBorders>
            <w:shd w:val="clear" w:color="auto" w:fill="auto"/>
            <w:noWrap/>
          </w:tcPr>
          <w:p w14:paraId="0D0A2FB4" w14:textId="77777777" w:rsidR="0092526F" w:rsidRPr="00091B01" w:rsidRDefault="0092526F" w:rsidP="006B73F2">
            <w:pPr>
              <w:spacing w:after="0" w:line="240" w:lineRule="auto"/>
              <w:jc w:val="right"/>
              <w:rPr>
                <w:sz w:val="20"/>
                <w:szCs w:val="20"/>
              </w:rPr>
            </w:pPr>
          </w:p>
        </w:tc>
        <w:tc>
          <w:tcPr>
            <w:tcW w:w="810" w:type="dxa"/>
            <w:tcBorders>
              <w:top w:val="nil"/>
              <w:left w:val="nil"/>
              <w:bottom w:val="nil"/>
              <w:right w:val="nil"/>
            </w:tcBorders>
            <w:shd w:val="clear" w:color="auto" w:fill="auto"/>
            <w:noWrap/>
          </w:tcPr>
          <w:p w14:paraId="5AD4B91F" w14:textId="77777777" w:rsidR="0092526F" w:rsidRPr="00091B01" w:rsidRDefault="0092526F" w:rsidP="006B73F2">
            <w:pPr>
              <w:spacing w:after="0" w:line="240" w:lineRule="auto"/>
              <w:jc w:val="right"/>
              <w:rPr>
                <w:sz w:val="20"/>
                <w:szCs w:val="20"/>
              </w:rPr>
            </w:pPr>
          </w:p>
        </w:tc>
        <w:tc>
          <w:tcPr>
            <w:tcW w:w="1260" w:type="dxa"/>
            <w:tcBorders>
              <w:top w:val="nil"/>
              <w:left w:val="nil"/>
              <w:bottom w:val="nil"/>
            </w:tcBorders>
            <w:shd w:val="clear" w:color="auto" w:fill="auto"/>
            <w:noWrap/>
          </w:tcPr>
          <w:p w14:paraId="2DCEC4F6" w14:textId="77777777" w:rsidR="0092526F" w:rsidRPr="00091B01" w:rsidRDefault="0092526F" w:rsidP="006B73F2">
            <w:pPr>
              <w:spacing w:after="0" w:line="240" w:lineRule="auto"/>
              <w:jc w:val="right"/>
              <w:rPr>
                <w:sz w:val="20"/>
                <w:szCs w:val="20"/>
              </w:rPr>
            </w:pPr>
          </w:p>
        </w:tc>
      </w:tr>
      <w:tr w:rsidR="0092526F" w:rsidRPr="00D37B2D" w14:paraId="6B106BBA" w14:textId="77777777" w:rsidTr="006B73F2">
        <w:trPr>
          <w:trHeight w:val="20"/>
        </w:trPr>
        <w:tc>
          <w:tcPr>
            <w:tcW w:w="1946" w:type="dxa"/>
            <w:tcBorders>
              <w:top w:val="nil"/>
              <w:bottom w:val="nil"/>
              <w:right w:val="nil"/>
            </w:tcBorders>
            <w:shd w:val="clear" w:color="auto" w:fill="auto"/>
            <w:noWrap/>
            <w:hideMark/>
          </w:tcPr>
          <w:p w14:paraId="356038B0"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Not malnourished</w:t>
            </w:r>
          </w:p>
        </w:tc>
        <w:tc>
          <w:tcPr>
            <w:tcW w:w="1004" w:type="dxa"/>
            <w:tcBorders>
              <w:top w:val="nil"/>
              <w:left w:val="nil"/>
              <w:bottom w:val="nil"/>
            </w:tcBorders>
            <w:shd w:val="clear" w:color="auto" w:fill="auto"/>
            <w:noWrap/>
            <w:hideMark/>
          </w:tcPr>
          <w:p w14:paraId="476B8DE1"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1,056 (94%)</w:t>
            </w:r>
          </w:p>
        </w:tc>
        <w:tc>
          <w:tcPr>
            <w:tcW w:w="1004" w:type="dxa"/>
            <w:tcBorders>
              <w:top w:val="nil"/>
              <w:left w:val="nil"/>
              <w:bottom w:val="nil"/>
              <w:right w:val="nil"/>
            </w:tcBorders>
            <w:shd w:val="clear" w:color="auto" w:fill="auto"/>
            <w:noWrap/>
            <w:hideMark/>
          </w:tcPr>
          <w:p w14:paraId="042ED7B2"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686 (94%)</w:t>
            </w:r>
          </w:p>
        </w:tc>
        <w:tc>
          <w:tcPr>
            <w:tcW w:w="886" w:type="dxa"/>
            <w:tcBorders>
              <w:top w:val="nil"/>
              <w:left w:val="nil"/>
              <w:bottom w:val="nil"/>
              <w:right w:val="nil"/>
            </w:tcBorders>
            <w:shd w:val="clear" w:color="auto" w:fill="auto"/>
            <w:noWrap/>
            <w:hideMark/>
          </w:tcPr>
          <w:p w14:paraId="14156ACF"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370 (93%)</w:t>
            </w:r>
          </w:p>
        </w:tc>
        <w:tc>
          <w:tcPr>
            <w:tcW w:w="1278" w:type="dxa"/>
            <w:tcBorders>
              <w:top w:val="nil"/>
              <w:left w:val="nil"/>
              <w:bottom w:val="nil"/>
              <w:right w:val="single" w:sz="4" w:space="0" w:color="auto"/>
            </w:tcBorders>
            <w:shd w:val="clear" w:color="auto" w:fill="auto"/>
            <w:noWrap/>
            <w:hideMark/>
          </w:tcPr>
          <w:p w14:paraId="14AF41F2"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Ref</w:t>
            </w:r>
          </w:p>
        </w:tc>
        <w:tc>
          <w:tcPr>
            <w:tcW w:w="1172" w:type="dxa"/>
            <w:tcBorders>
              <w:top w:val="nil"/>
              <w:left w:val="single" w:sz="4" w:space="0" w:color="auto"/>
              <w:bottom w:val="nil"/>
              <w:right w:val="nil"/>
            </w:tcBorders>
            <w:shd w:val="clear" w:color="auto" w:fill="auto"/>
            <w:noWrap/>
            <w:hideMark/>
          </w:tcPr>
          <w:p w14:paraId="2281A3FA"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1,023 (94%)</w:t>
            </w:r>
          </w:p>
        </w:tc>
        <w:tc>
          <w:tcPr>
            <w:tcW w:w="810" w:type="dxa"/>
            <w:tcBorders>
              <w:top w:val="nil"/>
              <w:left w:val="nil"/>
              <w:bottom w:val="nil"/>
              <w:right w:val="nil"/>
            </w:tcBorders>
            <w:shd w:val="clear" w:color="auto" w:fill="auto"/>
            <w:noWrap/>
            <w:hideMark/>
          </w:tcPr>
          <w:p w14:paraId="627C7719"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4 (100%)</w:t>
            </w:r>
          </w:p>
        </w:tc>
        <w:tc>
          <w:tcPr>
            <w:tcW w:w="1260" w:type="dxa"/>
            <w:tcBorders>
              <w:top w:val="nil"/>
              <w:left w:val="nil"/>
              <w:bottom w:val="nil"/>
            </w:tcBorders>
            <w:shd w:val="clear" w:color="auto" w:fill="auto"/>
            <w:noWrap/>
            <w:hideMark/>
          </w:tcPr>
          <w:p w14:paraId="5BF1ECA5"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Ref</w:t>
            </w:r>
          </w:p>
        </w:tc>
      </w:tr>
      <w:tr w:rsidR="0092526F" w:rsidRPr="00D37B2D" w14:paraId="757163BC" w14:textId="77777777" w:rsidTr="006B73F2">
        <w:trPr>
          <w:trHeight w:val="20"/>
        </w:trPr>
        <w:tc>
          <w:tcPr>
            <w:tcW w:w="1946" w:type="dxa"/>
            <w:tcBorders>
              <w:top w:val="nil"/>
              <w:bottom w:val="nil"/>
              <w:right w:val="nil"/>
            </w:tcBorders>
            <w:shd w:val="clear" w:color="auto" w:fill="auto"/>
            <w:noWrap/>
            <w:hideMark/>
          </w:tcPr>
          <w:p w14:paraId="7001AD16"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Moderate</w:t>
            </w:r>
          </w:p>
        </w:tc>
        <w:tc>
          <w:tcPr>
            <w:tcW w:w="1004" w:type="dxa"/>
            <w:tcBorders>
              <w:top w:val="nil"/>
              <w:left w:val="nil"/>
              <w:bottom w:val="nil"/>
            </w:tcBorders>
            <w:shd w:val="clear" w:color="auto" w:fill="auto"/>
            <w:noWrap/>
            <w:hideMark/>
          </w:tcPr>
          <w:p w14:paraId="0B5A2233"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56 (5%)</w:t>
            </w:r>
          </w:p>
        </w:tc>
        <w:tc>
          <w:tcPr>
            <w:tcW w:w="1004" w:type="dxa"/>
            <w:tcBorders>
              <w:top w:val="nil"/>
              <w:left w:val="nil"/>
              <w:bottom w:val="nil"/>
              <w:right w:val="nil"/>
            </w:tcBorders>
            <w:shd w:val="clear" w:color="auto" w:fill="auto"/>
            <w:noWrap/>
            <w:hideMark/>
          </w:tcPr>
          <w:p w14:paraId="1BDEC616"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31 (4%)</w:t>
            </w:r>
          </w:p>
        </w:tc>
        <w:tc>
          <w:tcPr>
            <w:tcW w:w="886" w:type="dxa"/>
            <w:tcBorders>
              <w:top w:val="nil"/>
              <w:left w:val="nil"/>
              <w:bottom w:val="nil"/>
              <w:right w:val="nil"/>
            </w:tcBorders>
            <w:shd w:val="clear" w:color="auto" w:fill="auto"/>
            <w:noWrap/>
            <w:hideMark/>
          </w:tcPr>
          <w:p w14:paraId="4C61FF60"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25 (6%)</w:t>
            </w:r>
          </w:p>
        </w:tc>
        <w:tc>
          <w:tcPr>
            <w:tcW w:w="1278" w:type="dxa"/>
            <w:tcBorders>
              <w:top w:val="nil"/>
              <w:left w:val="nil"/>
              <w:bottom w:val="nil"/>
              <w:right w:val="single" w:sz="4" w:space="0" w:color="auto"/>
            </w:tcBorders>
            <w:shd w:val="clear" w:color="auto" w:fill="auto"/>
            <w:noWrap/>
            <w:hideMark/>
          </w:tcPr>
          <w:p w14:paraId="668EE75B"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1.50 (0.86-2.57)</w:t>
            </w:r>
          </w:p>
        </w:tc>
        <w:tc>
          <w:tcPr>
            <w:tcW w:w="1172" w:type="dxa"/>
            <w:tcBorders>
              <w:top w:val="nil"/>
              <w:left w:val="single" w:sz="4" w:space="0" w:color="auto"/>
              <w:bottom w:val="nil"/>
              <w:right w:val="nil"/>
            </w:tcBorders>
            <w:shd w:val="clear" w:color="auto" w:fill="auto"/>
            <w:noWrap/>
            <w:hideMark/>
          </w:tcPr>
          <w:p w14:paraId="134E73F7"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56 (5%)</w:t>
            </w:r>
          </w:p>
        </w:tc>
        <w:tc>
          <w:tcPr>
            <w:tcW w:w="810" w:type="dxa"/>
            <w:tcBorders>
              <w:top w:val="nil"/>
              <w:left w:val="nil"/>
              <w:bottom w:val="nil"/>
              <w:right w:val="nil"/>
            </w:tcBorders>
            <w:shd w:val="clear" w:color="auto" w:fill="auto"/>
            <w:noWrap/>
            <w:hideMark/>
          </w:tcPr>
          <w:p w14:paraId="43C37F68"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0 (0%)</w:t>
            </w:r>
          </w:p>
        </w:tc>
        <w:tc>
          <w:tcPr>
            <w:tcW w:w="1260" w:type="dxa"/>
            <w:tcBorders>
              <w:top w:val="nil"/>
              <w:left w:val="nil"/>
              <w:bottom w:val="nil"/>
            </w:tcBorders>
            <w:shd w:val="clear" w:color="auto" w:fill="auto"/>
            <w:noWrap/>
            <w:hideMark/>
          </w:tcPr>
          <w:p w14:paraId="3DFB86DB"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NC</w:t>
            </w:r>
          </w:p>
        </w:tc>
      </w:tr>
      <w:tr w:rsidR="0092526F" w:rsidRPr="00D37B2D" w14:paraId="488A9C75" w14:textId="77777777" w:rsidTr="006B73F2">
        <w:trPr>
          <w:trHeight w:val="20"/>
        </w:trPr>
        <w:tc>
          <w:tcPr>
            <w:tcW w:w="1946" w:type="dxa"/>
            <w:tcBorders>
              <w:top w:val="nil"/>
              <w:bottom w:val="nil"/>
              <w:right w:val="nil"/>
            </w:tcBorders>
            <w:shd w:val="clear" w:color="auto" w:fill="auto"/>
            <w:noWrap/>
            <w:hideMark/>
          </w:tcPr>
          <w:p w14:paraId="1A0C1DE2"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Severe</w:t>
            </w:r>
          </w:p>
        </w:tc>
        <w:tc>
          <w:tcPr>
            <w:tcW w:w="1004" w:type="dxa"/>
            <w:tcBorders>
              <w:top w:val="nil"/>
              <w:left w:val="nil"/>
              <w:bottom w:val="nil"/>
            </w:tcBorders>
            <w:shd w:val="clear" w:color="auto" w:fill="auto"/>
            <w:noWrap/>
            <w:hideMark/>
          </w:tcPr>
          <w:p w14:paraId="5DE320DF"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14 (1%)</w:t>
            </w:r>
          </w:p>
        </w:tc>
        <w:tc>
          <w:tcPr>
            <w:tcW w:w="1004" w:type="dxa"/>
            <w:tcBorders>
              <w:top w:val="nil"/>
              <w:left w:val="nil"/>
              <w:bottom w:val="nil"/>
              <w:right w:val="nil"/>
            </w:tcBorders>
            <w:shd w:val="clear" w:color="auto" w:fill="auto"/>
            <w:noWrap/>
            <w:hideMark/>
          </w:tcPr>
          <w:p w14:paraId="6D70E692"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12 (2%)</w:t>
            </w:r>
          </w:p>
        </w:tc>
        <w:tc>
          <w:tcPr>
            <w:tcW w:w="886" w:type="dxa"/>
            <w:tcBorders>
              <w:top w:val="nil"/>
              <w:left w:val="nil"/>
              <w:bottom w:val="nil"/>
              <w:right w:val="nil"/>
            </w:tcBorders>
            <w:shd w:val="clear" w:color="auto" w:fill="auto"/>
            <w:noWrap/>
            <w:hideMark/>
          </w:tcPr>
          <w:p w14:paraId="1F4A6DE5"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2 (1%)</w:t>
            </w:r>
          </w:p>
        </w:tc>
        <w:tc>
          <w:tcPr>
            <w:tcW w:w="1278" w:type="dxa"/>
            <w:tcBorders>
              <w:top w:val="nil"/>
              <w:left w:val="nil"/>
              <w:bottom w:val="nil"/>
              <w:right w:val="single" w:sz="4" w:space="0" w:color="auto"/>
            </w:tcBorders>
            <w:shd w:val="clear" w:color="auto" w:fill="auto"/>
            <w:noWrap/>
            <w:hideMark/>
          </w:tcPr>
          <w:p w14:paraId="0566B19A"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0.31 (0.05-1.14)</w:t>
            </w:r>
          </w:p>
        </w:tc>
        <w:tc>
          <w:tcPr>
            <w:tcW w:w="1172" w:type="dxa"/>
            <w:tcBorders>
              <w:top w:val="nil"/>
              <w:left w:val="single" w:sz="4" w:space="0" w:color="auto"/>
              <w:bottom w:val="nil"/>
              <w:right w:val="nil"/>
            </w:tcBorders>
            <w:shd w:val="clear" w:color="auto" w:fill="auto"/>
            <w:noWrap/>
            <w:hideMark/>
          </w:tcPr>
          <w:p w14:paraId="4FB81864"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14 (1%)</w:t>
            </w:r>
          </w:p>
        </w:tc>
        <w:tc>
          <w:tcPr>
            <w:tcW w:w="810" w:type="dxa"/>
            <w:tcBorders>
              <w:top w:val="nil"/>
              <w:left w:val="nil"/>
              <w:bottom w:val="nil"/>
              <w:right w:val="nil"/>
            </w:tcBorders>
            <w:shd w:val="clear" w:color="auto" w:fill="auto"/>
            <w:noWrap/>
            <w:hideMark/>
          </w:tcPr>
          <w:p w14:paraId="648C9E0D"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0 (0%)</w:t>
            </w:r>
          </w:p>
        </w:tc>
        <w:tc>
          <w:tcPr>
            <w:tcW w:w="1260" w:type="dxa"/>
            <w:tcBorders>
              <w:top w:val="nil"/>
              <w:left w:val="nil"/>
              <w:bottom w:val="nil"/>
            </w:tcBorders>
            <w:shd w:val="clear" w:color="auto" w:fill="auto"/>
            <w:noWrap/>
            <w:hideMark/>
          </w:tcPr>
          <w:p w14:paraId="01983DE1"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NC</w:t>
            </w:r>
          </w:p>
        </w:tc>
      </w:tr>
      <w:tr w:rsidR="0092526F" w:rsidRPr="00D37B2D" w14:paraId="6D36910F" w14:textId="77777777" w:rsidTr="006B73F2">
        <w:trPr>
          <w:trHeight w:val="20"/>
        </w:trPr>
        <w:tc>
          <w:tcPr>
            <w:tcW w:w="1946" w:type="dxa"/>
            <w:tcBorders>
              <w:top w:val="nil"/>
              <w:bottom w:val="nil"/>
              <w:right w:val="nil"/>
            </w:tcBorders>
            <w:shd w:val="clear" w:color="auto" w:fill="auto"/>
            <w:noWrap/>
          </w:tcPr>
          <w:p w14:paraId="08A1056E" w14:textId="77777777" w:rsidR="0092526F" w:rsidRPr="00D37B2D" w:rsidRDefault="0092526F" w:rsidP="006B73F2">
            <w:pPr>
              <w:spacing w:after="0" w:line="240" w:lineRule="auto"/>
              <w:rPr>
                <w:sz w:val="20"/>
                <w:szCs w:val="20"/>
              </w:rPr>
            </w:pPr>
            <w:r w:rsidRPr="00D37B2D">
              <w:rPr>
                <w:sz w:val="20"/>
                <w:szCs w:val="20"/>
              </w:rPr>
              <w:t>Received care before presentation (n miss = 21)</w:t>
            </w:r>
          </w:p>
        </w:tc>
        <w:tc>
          <w:tcPr>
            <w:tcW w:w="1004" w:type="dxa"/>
            <w:tcBorders>
              <w:top w:val="nil"/>
              <w:left w:val="nil"/>
              <w:bottom w:val="nil"/>
            </w:tcBorders>
            <w:shd w:val="clear" w:color="auto" w:fill="auto"/>
            <w:noWrap/>
          </w:tcPr>
          <w:p w14:paraId="245A127F" w14:textId="77777777" w:rsidR="0092526F" w:rsidRPr="00091B01" w:rsidRDefault="0092526F" w:rsidP="006B73F2">
            <w:pPr>
              <w:spacing w:after="0" w:line="240" w:lineRule="auto"/>
              <w:jc w:val="right"/>
              <w:rPr>
                <w:sz w:val="20"/>
                <w:szCs w:val="20"/>
              </w:rPr>
            </w:pPr>
          </w:p>
        </w:tc>
        <w:tc>
          <w:tcPr>
            <w:tcW w:w="1004" w:type="dxa"/>
            <w:tcBorders>
              <w:top w:val="nil"/>
              <w:left w:val="nil"/>
              <w:bottom w:val="nil"/>
              <w:right w:val="nil"/>
            </w:tcBorders>
            <w:shd w:val="clear" w:color="auto" w:fill="auto"/>
            <w:noWrap/>
          </w:tcPr>
          <w:p w14:paraId="2E845B31" w14:textId="77777777" w:rsidR="0092526F" w:rsidRPr="00091B01" w:rsidRDefault="0092526F" w:rsidP="006B73F2">
            <w:pPr>
              <w:spacing w:after="0" w:line="240" w:lineRule="auto"/>
              <w:jc w:val="right"/>
              <w:rPr>
                <w:sz w:val="20"/>
                <w:szCs w:val="20"/>
              </w:rPr>
            </w:pPr>
          </w:p>
        </w:tc>
        <w:tc>
          <w:tcPr>
            <w:tcW w:w="886" w:type="dxa"/>
            <w:tcBorders>
              <w:top w:val="nil"/>
              <w:left w:val="nil"/>
              <w:bottom w:val="nil"/>
              <w:right w:val="nil"/>
            </w:tcBorders>
            <w:shd w:val="clear" w:color="auto" w:fill="auto"/>
            <w:noWrap/>
          </w:tcPr>
          <w:p w14:paraId="26AB4477" w14:textId="77777777" w:rsidR="0092526F" w:rsidRPr="00091B01" w:rsidRDefault="0092526F" w:rsidP="006B73F2">
            <w:pPr>
              <w:spacing w:after="0" w:line="240" w:lineRule="auto"/>
              <w:jc w:val="right"/>
              <w:rPr>
                <w:sz w:val="20"/>
                <w:szCs w:val="20"/>
              </w:rPr>
            </w:pPr>
          </w:p>
        </w:tc>
        <w:tc>
          <w:tcPr>
            <w:tcW w:w="1278" w:type="dxa"/>
            <w:tcBorders>
              <w:top w:val="nil"/>
              <w:left w:val="nil"/>
              <w:bottom w:val="nil"/>
              <w:right w:val="single" w:sz="4" w:space="0" w:color="auto"/>
            </w:tcBorders>
            <w:shd w:val="clear" w:color="auto" w:fill="auto"/>
            <w:noWrap/>
          </w:tcPr>
          <w:p w14:paraId="136E3EA8" w14:textId="77777777" w:rsidR="0092526F" w:rsidRPr="00091B01" w:rsidRDefault="0092526F" w:rsidP="006B73F2">
            <w:pPr>
              <w:spacing w:after="0" w:line="240" w:lineRule="auto"/>
              <w:jc w:val="right"/>
              <w:rPr>
                <w:sz w:val="20"/>
                <w:szCs w:val="20"/>
              </w:rPr>
            </w:pPr>
          </w:p>
        </w:tc>
        <w:tc>
          <w:tcPr>
            <w:tcW w:w="1172" w:type="dxa"/>
            <w:tcBorders>
              <w:top w:val="nil"/>
              <w:left w:val="single" w:sz="4" w:space="0" w:color="auto"/>
              <w:bottom w:val="nil"/>
              <w:right w:val="nil"/>
            </w:tcBorders>
            <w:shd w:val="clear" w:color="auto" w:fill="auto"/>
            <w:noWrap/>
          </w:tcPr>
          <w:p w14:paraId="07667A11" w14:textId="77777777" w:rsidR="0092526F" w:rsidRPr="00091B01" w:rsidRDefault="0092526F" w:rsidP="006B73F2">
            <w:pPr>
              <w:spacing w:after="0" w:line="240" w:lineRule="auto"/>
              <w:jc w:val="right"/>
              <w:rPr>
                <w:sz w:val="20"/>
                <w:szCs w:val="20"/>
              </w:rPr>
            </w:pPr>
          </w:p>
        </w:tc>
        <w:tc>
          <w:tcPr>
            <w:tcW w:w="810" w:type="dxa"/>
            <w:tcBorders>
              <w:top w:val="nil"/>
              <w:left w:val="nil"/>
              <w:bottom w:val="nil"/>
              <w:right w:val="nil"/>
            </w:tcBorders>
            <w:shd w:val="clear" w:color="auto" w:fill="auto"/>
            <w:noWrap/>
          </w:tcPr>
          <w:p w14:paraId="01659926" w14:textId="77777777" w:rsidR="0092526F" w:rsidRPr="00091B01" w:rsidRDefault="0092526F" w:rsidP="006B73F2">
            <w:pPr>
              <w:spacing w:after="0" w:line="240" w:lineRule="auto"/>
              <w:jc w:val="right"/>
              <w:rPr>
                <w:sz w:val="20"/>
                <w:szCs w:val="20"/>
              </w:rPr>
            </w:pPr>
          </w:p>
        </w:tc>
        <w:tc>
          <w:tcPr>
            <w:tcW w:w="1260" w:type="dxa"/>
            <w:tcBorders>
              <w:top w:val="nil"/>
              <w:left w:val="nil"/>
              <w:bottom w:val="nil"/>
            </w:tcBorders>
            <w:shd w:val="clear" w:color="auto" w:fill="auto"/>
            <w:noWrap/>
          </w:tcPr>
          <w:p w14:paraId="31B0F869" w14:textId="77777777" w:rsidR="0092526F" w:rsidRPr="00091B01" w:rsidRDefault="0092526F" w:rsidP="006B73F2">
            <w:pPr>
              <w:spacing w:after="0" w:line="240" w:lineRule="auto"/>
              <w:jc w:val="right"/>
              <w:rPr>
                <w:sz w:val="20"/>
                <w:szCs w:val="20"/>
              </w:rPr>
            </w:pPr>
          </w:p>
        </w:tc>
      </w:tr>
      <w:tr w:rsidR="0092526F" w:rsidRPr="00D37B2D" w14:paraId="7AD72958" w14:textId="77777777" w:rsidTr="006B73F2">
        <w:trPr>
          <w:trHeight w:val="20"/>
        </w:trPr>
        <w:tc>
          <w:tcPr>
            <w:tcW w:w="1946" w:type="dxa"/>
            <w:tcBorders>
              <w:top w:val="nil"/>
              <w:bottom w:val="nil"/>
              <w:right w:val="nil"/>
            </w:tcBorders>
            <w:shd w:val="clear" w:color="auto" w:fill="auto"/>
            <w:noWrap/>
            <w:hideMark/>
          </w:tcPr>
          <w:p w14:paraId="6167EBA3"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No</w:t>
            </w:r>
          </w:p>
        </w:tc>
        <w:tc>
          <w:tcPr>
            <w:tcW w:w="1004" w:type="dxa"/>
            <w:tcBorders>
              <w:top w:val="nil"/>
              <w:left w:val="nil"/>
              <w:bottom w:val="nil"/>
            </w:tcBorders>
            <w:shd w:val="clear" w:color="auto" w:fill="auto"/>
            <w:noWrap/>
            <w:hideMark/>
          </w:tcPr>
          <w:p w14:paraId="6AC7C61F"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1,444 (66%)</w:t>
            </w:r>
          </w:p>
        </w:tc>
        <w:tc>
          <w:tcPr>
            <w:tcW w:w="1004" w:type="dxa"/>
            <w:tcBorders>
              <w:top w:val="nil"/>
              <w:left w:val="nil"/>
              <w:bottom w:val="nil"/>
              <w:right w:val="nil"/>
            </w:tcBorders>
            <w:shd w:val="clear" w:color="auto" w:fill="auto"/>
            <w:noWrap/>
            <w:hideMark/>
          </w:tcPr>
          <w:p w14:paraId="0D088169"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1,101 (75%)</w:t>
            </w:r>
          </w:p>
        </w:tc>
        <w:tc>
          <w:tcPr>
            <w:tcW w:w="886" w:type="dxa"/>
            <w:tcBorders>
              <w:top w:val="nil"/>
              <w:left w:val="nil"/>
              <w:bottom w:val="nil"/>
              <w:right w:val="nil"/>
            </w:tcBorders>
            <w:shd w:val="clear" w:color="auto" w:fill="auto"/>
            <w:noWrap/>
            <w:hideMark/>
          </w:tcPr>
          <w:p w14:paraId="1A594D39"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343 (49%)</w:t>
            </w:r>
          </w:p>
        </w:tc>
        <w:tc>
          <w:tcPr>
            <w:tcW w:w="1278" w:type="dxa"/>
            <w:tcBorders>
              <w:top w:val="nil"/>
              <w:left w:val="nil"/>
              <w:bottom w:val="nil"/>
              <w:right w:val="single" w:sz="4" w:space="0" w:color="auto"/>
            </w:tcBorders>
            <w:shd w:val="clear" w:color="auto" w:fill="auto"/>
            <w:noWrap/>
            <w:hideMark/>
          </w:tcPr>
          <w:p w14:paraId="6EF44065"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Ref</w:t>
            </w:r>
          </w:p>
        </w:tc>
        <w:tc>
          <w:tcPr>
            <w:tcW w:w="1172" w:type="dxa"/>
            <w:tcBorders>
              <w:top w:val="nil"/>
              <w:left w:val="single" w:sz="4" w:space="0" w:color="auto"/>
              <w:bottom w:val="nil"/>
              <w:right w:val="nil"/>
            </w:tcBorders>
            <w:shd w:val="clear" w:color="auto" w:fill="auto"/>
            <w:noWrap/>
            <w:hideMark/>
          </w:tcPr>
          <w:p w14:paraId="2B5767D7"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1,408 (67%)</w:t>
            </w:r>
          </w:p>
        </w:tc>
        <w:tc>
          <w:tcPr>
            <w:tcW w:w="810" w:type="dxa"/>
            <w:tcBorders>
              <w:top w:val="nil"/>
              <w:left w:val="nil"/>
              <w:bottom w:val="nil"/>
              <w:right w:val="nil"/>
            </w:tcBorders>
            <w:shd w:val="clear" w:color="auto" w:fill="auto"/>
            <w:noWrap/>
            <w:hideMark/>
          </w:tcPr>
          <w:p w14:paraId="53377467"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9 (56%)</w:t>
            </w:r>
          </w:p>
        </w:tc>
        <w:tc>
          <w:tcPr>
            <w:tcW w:w="1260" w:type="dxa"/>
            <w:tcBorders>
              <w:top w:val="nil"/>
              <w:left w:val="nil"/>
              <w:bottom w:val="nil"/>
            </w:tcBorders>
            <w:shd w:val="clear" w:color="auto" w:fill="auto"/>
            <w:noWrap/>
            <w:hideMark/>
          </w:tcPr>
          <w:p w14:paraId="11797055"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Ref</w:t>
            </w:r>
          </w:p>
        </w:tc>
      </w:tr>
      <w:tr w:rsidR="0092526F" w:rsidRPr="00D37B2D" w14:paraId="34AF5C02" w14:textId="77777777" w:rsidTr="006B73F2">
        <w:trPr>
          <w:trHeight w:val="20"/>
        </w:trPr>
        <w:tc>
          <w:tcPr>
            <w:tcW w:w="1946" w:type="dxa"/>
            <w:tcBorders>
              <w:top w:val="nil"/>
              <w:bottom w:val="nil"/>
              <w:right w:val="nil"/>
            </w:tcBorders>
            <w:shd w:val="clear" w:color="auto" w:fill="auto"/>
            <w:noWrap/>
            <w:hideMark/>
          </w:tcPr>
          <w:p w14:paraId="2B5A0537"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Yes</w:t>
            </w:r>
          </w:p>
        </w:tc>
        <w:tc>
          <w:tcPr>
            <w:tcW w:w="1004" w:type="dxa"/>
            <w:tcBorders>
              <w:top w:val="nil"/>
              <w:left w:val="nil"/>
              <w:bottom w:val="nil"/>
            </w:tcBorders>
            <w:shd w:val="clear" w:color="auto" w:fill="auto"/>
            <w:noWrap/>
            <w:hideMark/>
          </w:tcPr>
          <w:p w14:paraId="3786C65A"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732 (34%)</w:t>
            </w:r>
          </w:p>
        </w:tc>
        <w:tc>
          <w:tcPr>
            <w:tcW w:w="1004" w:type="dxa"/>
            <w:tcBorders>
              <w:top w:val="nil"/>
              <w:left w:val="nil"/>
              <w:bottom w:val="nil"/>
              <w:right w:val="nil"/>
            </w:tcBorders>
            <w:shd w:val="clear" w:color="auto" w:fill="auto"/>
            <w:noWrap/>
            <w:hideMark/>
          </w:tcPr>
          <w:p w14:paraId="48744D73" w14:textId="77777777" w:rsidR="0092526F" w:rsidRPr="001830D4" w:rsidRDefault="0092526F" w:rsidP="006B73F2">
            <w:pPr>
              <w:spacing w:after="0" w:line="240" w:lineRule="auto"/>
              <w:jc w:val="right"/>
              <w:rPr>
                <w:rFonts w:ascii="Calibri" w:hAnsi="Calibri"/>
                <w:b/>
                <w:bCs/>
                <w:color w:val="000000"/>
                <w:kern w:val="0"/>
                <w:sz w:val="20"/>
                <w:szCs w:val="20"/>
                <w14:ligatures w14:val="none"/>
              </w:rPr>
            </w:pPr>
            <w:r w:rsidRPr="001830D4">
              <w:rPr>
                <w:b/>
                <w:bCs/>
                <w:sz w:val="20"/>
                <w:szCs w:val="20"/>
              </w:rPr>
              <w:t>371 (25%)</w:t>
            </w:r>
          </w:p>
        </w:tc>
        <w:tc>
          <w:tcPr>
            <w:tcW w:w="886" w:type="dxa"/>
            <w:tcBorders>
              <w:top w:val="nil"/>
              <w:left w:val="nil"/>
              <w:bottom w:val="nil"/>
              <w:right w:val="nil"/>
            </w:tcBorders>
            <w:shd w:val="clear" w:color="auto" w:fill="auto"/>
            <w:noWrap/>
            <w:hideMark/>
          </w:tcPr>
          <w:p w14:paraId="30CC1E0E" w14:textId="77777777" w:rsidR="0092526F" w:rsidRPr="001830D4" w:rsidRDefault="0092526F" w:rsidP="006B73F2">
            <w:pPr>
              <w:spacing w:after="0" w:line="240" w:lineRule="auto"/>
              <w:jc w:val="right"/>
              <w:rPr>
                <w:rFonts w:ascii="Calibri" w:hAnsi="Calibri"/>
                <w:b/>
                <w:bCs/>
                <w:color w:val="000000"/>
                <w:kern w:val="0"/>
                <w:sz w:val="20"/>
                <w:szCs w:val="20"/>
                <w14:ligatures w14:val="none"/>
              </w:rPr>
            </w:pPr>
            <w:r w:rsidRPr="001830D4">
              <w:rPr>
                <w:b/>
                <w:bCs/>
                <w:sz w:val="20"/>
                <w:szCs w:val="20"/>
              </w:rPr>
              <w:t>361 (51%)</w:t>
            </w:r>
          </w:p>
        </w:tc>
        <w:tc>
          <w:tcPr>
            <w:tcW w:w="1278" w:type="dxa"/>
            <w:tcBorders>
              <w:top w:val="nil"/>
              <w:left w:val="nil"/>
              <w:bottom w:val="nil"/>
              <w:right w:val="single" w:sz="4" w:space="0" w:color="auto"/>
            </w:tcBorders>
            <w:shd w:val="clear" w:color="auto" w:fill="auto"/>
            <w:noWrap/>
            <w:hideMark/>
          </w:tcPr>
          <w:p w14:paraId="21A9BA6E" w14:textId="77777777" w:rsidR="0092526F" w:rsidRPr="001830D4" w:rsidRDefault="0092526F" w:rsidP="006B73F2">
            <w:pPr>
              <w:spacing w:after="0" w:line="240" w:lineRule="auto"/>
              <w:jc w:val="right"/>
              <w:rPr>
                <w:rFonts w:ascii="Calibri" w:hAnsi="Calibri"/>
                <w:b/>
                <w:bCs/>
                <w:color w:val="000000"/>
                <w:kern w:val="0"/>
                <w:sz w:val="20"/>
                <w:szCs w:val="20"/>
                <w14:ligatures w14:val="none"/>
              </w:rPr>
            </w:pPr>
            <w:r w:rsidRPr="001830D4">
              <w:rPr>
                <w:b/>
                <w:bCs/>
                <w:sz w:val="20"/>
                <w:szCs w:val="20"/>
              </w:rPr>
              <w:t>3.12 (2.59-3.77)</w:t>
            </w:r>
          </w:p>
        </w:tc>
        <w:tc>
          <w:tcPr>
            <w:tcW w:w="1172" w:type="dxa"/>
            <w:tcBorders>
              <w:top w:val="nil"/>
              <w:left w:val="single" w:sz="4" w:space="0" w:color="auto"/>
              <w:bottom w:val="nil"/>
              <w:right w:val="nil"/>
            </w:tcBorders>
            <w:shd w:val="clear" w:color="auto" w:fill="auto"/>
            <w:noWrap/>
            <w:hideMark/>
          </w:tcPr>
          <w:p w14:paraId="0761E269"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684 (33%)</w:t>
            </w:r>
          </w:p>
        </w:tc>
        <w:tc>
          <w:tcPr>
            <w:tcW w:w="810" w:type="dxa"/>
            <w:tcBorders>
              <w:top w:val="nil"/>
              <w:left w:val="nil"/>
              <w:bottom w:val="nil"/>
              <w:right w:val="nil"/>
            </w:tcBorders>
            <w:shd w:val="clear" w:color="auto" w:fill="auto"/>
            <w:noWrap/>
            <w:hideMark/>
          </w:tcPr>
          <w:p w14:paraId="51377E75"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7 (44%)</w:t>
            </w:r>
          </w:p>
        </w:tc>
        <w:tc>
          <w:tcPr>
            <w:tcW w:w="1260" w:type="dxa"/>
            <w:tcBorders>
              <w:top w:val="nil"/>
              <w:left w:val="nil"/>
              <w:bottom w:val="nil"/>
            </w:tcBorders>
            <w:shd w:val="clear" w:color="auto" w:fill="auto"/>
            <w:noWrap/>
            <w:hideMark/>
          </w:tcPr>
          <w:p w14:paraId="58FB1DB4"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1.60 (0.57-4.31)</w:t>
            </w:r>
          </w:p>
        </w:tc>
      </w:tr>
      <w:tr w:rsidR="0092526F" w:rsidRPr="00D37B2D" w14:paraId="678A1517" w14:textId="77777777" w:rsidTr="006B73F2">
        <w:trPr>
          <w:trHeight w:val="20"/>
        </w:trPr>
        <w:tc>
          <w:tcPr>
            <w:tcW w:w="1946" w:type="dxa"/>
            <w:tcBorders>
              <w:top w:val="nil"/>
              <w:bottom w:val="nil"/>
              <w:right w:val="nil"/>
            </w:tcBorders>
            <w:shd w:val="clear" w:color="auto" w:fill="auto"/>
            <w:noWrap/>
          </w:tcPr>
          <w:p w14:paraId="4669757E" w14:textId="77777777" w:rsidR="0092526F" w:rsidRPr="00D37B2D" w:rsidRDefault="0092526F" w:rsidP="006B73F2">
            <w:pPr>
              <w:spacing w:after="0" w:line="240" w:lineRule="auto"/>
              <w:rPr>
                <w:sz w:val="20"/>
                <w:szCs w:val="20"/>
              </w:rPr>
            </w:pPr>
          </w:p>
          <w:p w14:paraId="56CD4886" w14:textId="77777777" w:rsidR="0092526F" w:rsidRPr="00D37B2D" w:rsidRDefault="0092526F" w:rsidP="006B73F2">
            <w:pPr>
              <w:spacing w:after="0" w:line="240" w:lineRule="auto"/>
              <w:rPr>
                <w:sz w:val="20"/>
                <w:szCs w:val="20"/>
              </w:rPr>
            </w:pPr>
            <w:r w:rsidRPr="00D37B2D">
              <w:rPr>
                <w:sz w:val="20"/>
                <w:szCs w:val="20"/>
              </w:rPr>
              <w:t>Referred from another HF (n miss = 136)</w:t>
            </w:r>
          </w:p>
        </w:tc>
        <w:tc>
          <w:tcPr>
            <w:tcW w:w="1004" w:type="dxa"/>
            <w:tcBorders>
              <w:top w:val="nil"/>
              <w:left w:val="nil"/>
              <w:bottom w:val="nil"/>
            </w:tcBorders>
            <w:shd w:val="clear" w:color="auto" w:fill="auto"/>
            <w:noWrap/>
          </w:tcPr>
          <w:p w14:paraId="1C643026" w14:textId="77777777" w:rsidR="0092526F" w:rsidRPr="00091B01" w:rsidRDefault="0092526F" w:rsidP="006B73F2">
            <w:pPr>
              <w:spacing w:after="0" w:line="240" w:lineRule="auto"/>
              <w:jc w:val="right"/>
              <w:rPr>
                <w:sz w:val="20"/>
                <w:szCs w:val="20"/>
              </w:rPr>
            </w:pPr>
          </w:p>
        </w:tc>
        <w:tc>
          <w:tcPr>
            <w:tcW w:w="1004" w:type="dxa"/>
            <w:tcBorders>
              <w:top w:val="nil"/>
              <w:left w:val="nil"/>
              <w:bottom w:val="nil"/>
              <w:right w:val="nil"/>
            </w:tcBorders>
            <w:shd w:val="clear" w:color="auto" w:fill="auto"/>
            <w:noWrap/>
          </w:tcPr>
          <w:p w14:paraId="4A97D1C2" w14:textId="77777777" w:rsidR="0092526F" w:rsidRPr="00091B01" w:rsidRDefault="0092526F" w:rsidP="006B73F2">
            <w:pPr>
              <w:spacing w:after="0" w:line="240" w:lineRule="auto"/>
              <w:jc w:val="right"/>
              <w:rPr>
                <w:sz w:val="20"/>
                <w:szCs w:val="20"/>
              </w:rPr>
            </w:pPr>
          </w:p>
        </w:tc>
        <w:tc>
          <w:tcPr>
            <w:tcW w:w="886" w:type="dxa"/>
            <w:tcBorders>
              <w:top w:val="nil"/>
              <w:left w:val="nil"/>
              <w:bottom w:val="nil"/>
              <w:right w:val="nil"/>
            </w:tcBorders>
            <w:shd w:val="clear" w:color="auto" w:fill="auto"/>
            <w:noWrap/>
          </w:tcPr>
          <w:p w14:paraId="3D56E2E8" w14:textId="77777777" w:rsidR="0092526F" w:rsidRPr="00091B01" w:rsidRDefault="0092526F" w:rsidP="006B73F2">
            <w:pPr>
              <w:spacing w:after="0" w:line="240" w:lineRule="auto"/>
              <w:jc w:val="right"/>
              <w:rPr>
                <w:sz w:val="20"/>
                <w:szCs w:val="20"/>
              </w:rPr>
            </w:pPr>
          </w:p>
        </w:tc>
        <w:tc>
          <w:tcPr>
            <w:tcW w:w="1278" w:type="dxa"/>
            <w:tcBorders>
              <w:top w:val="nil"/>
              <w:left w:val="nil"/>
              <w:bottom w:val="nil"/>
              <w:right w:val="single" w:sz="4" w:space="0" w:color="auto"/>
            </w:tcBorders>
            <w:shd w:val="clear" w:color="auto" w:fill="auto"/>
            <w:noWrap/>
          </w:tcPr>
          <w:p w14:paraId="494BB98B" w14:textId="77777777" w:rsidR="0092526F" w:rsidRPr="00091B01" w:rsidRDefault="0092526F" w:rsidP="006B73F2">
            <w:pPr>
              <w:spacing w:after="0" w:line="240" w:lineRule="auto"/>
              <w:jc w:val="right"/>
              <w:rPr>
                <w:sz w:val="20"/>
                <w:szCs w:val="20"/>
              </w:rPr>
            </w:pPr>
          </w:p>
        </w:tc>
        <w:tc>
          <w:tcPr>
            <w:tcW w:w="1172" w:type="dxa"/>
            <w:tcBorders>
              <w:top w:val="nil"/>
              <w:left w:val="single" w:sz="4" w:space="0" w:color="auto"/>
              <w:bottom w:val="nil"/>
              <w:right w:val="nil"/>
            </w:tcBorders>
            <w:shd w:val="clear" w:color="auto" w:fill="auto"/>
            <w:noWrap/>
          </w:tcPr>
          <w:p w14:paraId="7919EC79" w14:textId="77777777" w:rsidR="0092526F" w:rsidRPr="00091B01" w:rsidRDefault="0092526F" w:rsidP="006B73F2">
            <w:pPr>
              <w:spacing w:after="0" w:line="240" w:lineRule="auto"/>
              <w:jc w:val="right"/>
              <w:rPr>
                <w:sz w:val="20"/>
                <w:szCs w:val="20"/>
              </w:rPr>
            </w:pPr>
          </w:p>
        </w:tc>
        <w:tc>
          <w:tcPr>
            <w:tcW w:w="810" w:type="dxa"/>
            <w:tcBorders>
              <w:top w:val="nil"/>
              <w:left w:val="nil"/>
              <w:bottom w:val="nil"/>
              <w:right w:val="nil"/>
            </w:tcBorders>
            <w:shd w:val="clear" w:color="auto" w:fill="auto"/>
            <w:noWrap/>
          </w:tcPr>
          <w:p w14:paraId="7291DC22" w14:textId="77777777" w:rsidR="0092526F" w:rsidRPr="00091B01" w:rsidRDefault="0092526F" w:rsidP="006B73F2">
            <w:pPr>
              <w:spacing w:after="0" w:line="240" w:lineRule="auto"/>
              <w:jc w:val="right"/>
              <w:rPr>
                <w:sz w:val="20"/>
                <w:szCs w:val="20"/>
              </w:rPr>
            </w:pPr>
          </w:p>
        </w:tc>
        <w:tc>
          <w:tcPr>
            <w:tcW w:w="1260" w:type="dxa"/>
            <w:tcBorders>
              <w:top w:val="nil"/>
              <w:left w:val="nil"/>
              <w:bottom w:val="nil"/>
            </w:tcBorders>
            <w:shd w:val="clear" w:color="auto" w:fill="auto"/>
            <w:noWrap/>
          </w:tcPr>
          <w:p w14:paraId="60B7000E" w14:textId="77777777" w:rsidR="0092526F" w:rsidRPr="00091B01" w:rsidRDefault="0092526F" w:rsidP="006B73F2">
            <w:pPr>
              <w:spacing w:after="0" w:line="240" w:lineRule="auto"/>
              <w:jc w:val="right"/>
              <w:rPr>
                <w:sz w:val="20"/>
                <w:szCs w:val="20"/>
              </w:rPr>
            </w:pPr>
          </w:p>
        </w:tc>
      </w:tr>
      <w:tr w:rsidR="0092526F" w:rsidRPr="00D37B2D" w14:paraId="299ADF9F" w14:textId="77777777" w:rsidTr="006B73F2">
        <w:trPr>
          <w:trHeight w:val="20"/>
        </w:trPr>
        <w:tc>
          <w:tcPr>
            <w:tcW w:w="1946" w:type="dxa"/>
            <w:tcBorders>
              <w:top w:val="nil"/>
              <w:bottom w:val="nil"/>
              <w:right w:val="nil"/>
            </w:tcBorders>
            <w:shd w:val="clear" w:color="auto" w:fill="auto"/>
            <w:noWrap/>
            <w:hideMark/>
          </w:tcPr>
          <w:p w14:paraId="375804CC"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No</w:t>
            </w:r>
          </w:p>
        </w:tc>
        <w:tc>
          <w:tcPr>
            <w:tcW w:w="1004" w:type="dxa"/>
            <w:tcBorders>
              <w:top w:val="nil"/>
              <w:left w:val="nil"/>
              <w:bottom w:val="nil"/>
            </w:tcBorders>
            <w:shd w:val="clear" w:color="auto" w:fill="auto"/>
            <w:noWrap/>
            <w:hideMark/>
          </w:tcPr>
          <w:p w14:paraId="46BCE019"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1,727 (84%)</w:t>
            </w:r>
          </w:p>
        </w:tc>
        <w:tc>
          <w:tcPr>
            <w:tcW w:w="1004" w:type="dxa"/>
            <w:tcBorders>
              <w:top w:val="nil"/>
              <w:left w:val="nil"/>
              <w:bottom w:val="nil"/>
              <w:right w:val="nil"/>
            </w:tcBorders>
            <w:shd w:val="clear" w:color="auto" w:fill="auto"/>
            <w:noWrap/>
            <w:hideMark/>
          </w:tcPr>
          <w:p w14:paraId="56EDFEB1"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1,236 (89%)</w:t>
            </w:r>
          </w:p>
        </w:tc>
        <w:tc>
          <w:tcPr>
            <w:tcW w:w="886" w:type="dxa"/>
            <w:tcBorders>
              <w:top w:val="nil"/>
              <w:left w:val="nil"/>
              <w:bottom w:val="nil"/>
              <w:right w:val="nil"/>
            </w:tcBorders>
            <w:shd w:val="clear" w:color="auto" w:fill="auto"/>
            <w:noWrap/>
            <w:hideMark/>
          </w:tcPr>
          <w:p w14:paraId="03509D74"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491 (73%)</w:t>
            </w:r>
          </w:p>
        </w:tc>
        <w:tc>
          <w:tcPr>
            <w:tcW w:w="1278" w:type="dxa"/>
            <w:tcBorders>
              <w:top w:val="nil"/>
              <w:left w:val="nil"/>
              <w:bottom w:val="nil"/>
              <w:right w:val="single" w:sz="4" w:space="0" w:color="auto"/>
            </w:tcBorders>
            <w:shd w:val="clear" w:color="auto" w:fill="auto"/>
            <w:noWrap/>
            <w:hideMark/>
          </w:tcPr>
          <w:p w14:paraId="46B513C0"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Ref</w:t>
            </w:r>
          </w:p>
        </w:tc>
        <w:tc>
          <w:tcPr>
            <w:tcW w:w="1172" w:type="dxa"/>
            <w:tcBorders>
              <w:top w:val="nil"/>
              <w:left w:val="single" w:sz="4" w:space="0" w:color="auto"/>
              <w:bottom w:val="nil"/>
              <w:right w:val="nil"/>
            </w:tcBorders>
            <w:shd w:val="clear" w:color="auto" w:fill="auto"/>
            <w:noWrap/>
            <w:hideMark/>
          </w:tcPr>
          <w:p w14:paraId="2BC397D4"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1,696 (84%)</w:t>
            </w:r>
          </w:p>
        </w:tc>
        <w:tc>
          <w:tcPr>
            <w:tcW w:w="810" w:type="dxa"/>
            <w:tcBorders>
              <w:top w:val="nil"/>
              <w:left w:val="nil"/>
              <w:bottom w:val="nil"/>
              <w:right w:val="nil"/>
            </w:tcBorders>
            <w:shd w:val="clear" w:color="auto" w:fill="auto"/>
            <w:noWrap/>
            <w:hideMark/>
          </w:tcPr>
          <w:p w14:paraId="09A459CA"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10 (63%)</w:t>
            </w:r>
          </w:p>
        </w:tc>
        <w:tc>
          <w:tcPr>
            <w:tcW w:w="1260" w:type="dxa"/>
            <w:tcBorders>
              <w:top w:val="nil"/>
              <w:left w:val="nil"/>
              <w:bottom w:val="nil"/>
            </w:tcBorders>
            <w:shd w:val="clear" w:color="auto" w:fill="auto"/>
            <w:noWrap/>
            <w:hideMark/>
          </w:tcPr>
          <w:p w14:paraId="01154F96"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Ref</w:t>
            </w:r>
          </w:p>
        </w:tc>
      </w:tr>
      <w:tr w:rsidR="0092526F" w:rsidRPr="00D37B2D" w14:paraId="14E2C48F" w14:textId="77777777" w:rsidTr="006B73F2">
        <w:trPr>
          <w:trHeight w:val="20"/>
        </w:trPr>
        <w:tc>
          <w:tcPr>
            <w:tcW w:w="1946" w:type="dxa"/>
            <w:tcBorders>
              <w:top w:val="nil"/>
              <w:bottom w:val="nil"/>
              <w:right w:val="nil"/>
            </w:tcBorders>
            <w:shd w:val="clear" w:color="auto" w:fill="auto"/>
            <w:noWrap/>
            <w:hideMark/>
          </w:tcPr>
          <w:p w14:paraId="35819E18" w14:textId="77777777" w:rsidR="0092526F" w:rsidRPr="00091B01" w:rsidRDefault="0092526F" w:rsidP="006B73F2">
            <w:pPr>
              <w:spacing w:after="0" w:line="240" w:lineRule="auto"/>
              <w:jc w:val="right"/>
              <w:rPr>
                <w:rFonts w:ascii="Calibri" w:hAnsi="Calibri"/>
                <w:b/>
                <w:bCs/>
                <w:color w:val="000000"/>
                <w:kern w:val="0"/>
                <w:sz w:val="20"/>
                <w:szCs w:val="20"/>
                <w14:ligatures w14:val="none"/>
              </w:rPr>
            </w:pPr>
            <w:r w:rsidRPr="00091B01">
              <w:rPr>
                <w:b/>
                <w:bCs/>
                <w:sz w:val="20"/>
                <w:szCs w:val="20"/>
              </w:rPr>
              <w:t xml:space="preserve">  Yes</w:t>
            </w:r>
          </w:p>
        </w:tc>
        <w:tc>
          <w:tcPr>
            <w:tcW w:w="1004" w:type="dxa"/>
            <w:tcBorders>
              <w:top w:val="nil"/>
              <w:left w:val="nil"/>
              <w:bottom w:val="nil"/>
            </w:tcBorders>
            <w:shd w:val="clear" w:color="auto" w:fill="auto"/>
            <w:noWrap/>
            <w:hideMark/>
          </w:tcPr>
          <w:p w14:paraId="489AE110" w14:textId="77777777" w:rsidR="0092526F" w:rsidRPr="00091B01" w:rsidRDefault="0092526F" w:rsidP="006B73F2">
            <w:pPr>
              <w:spacing w:after="0" w:line="240" w:lineRule="auto"/>
              <w:jc w:val="right"/>
              <w:rPr>
                <w:rFonts w:ascii="Calibri" w:hAnsi="Calibri"/>
                <w:b/>
                <w:bCs/>
                <w:color w:val="000000"/>
                <w:kern w:val="0"/>
                <w:sz w:val="20"/>
                <w:szCs w:val="20"/>
                <w14:ligatures w14:val="none"/>
              </w:rPr>
            </w:pPr>
            <w:r w:rsidRPr="00091B01">
              <w:rPr>
                <w:b/>
                <w:bCs/>
                <w:sz w:val="20"/>
                <w:szCs w:val="20"/>
              </w:rPr>
              <w:t>334 (16%)</w:t>
            </w:r>
          </w:p>
        </w:tc>
        <w:tc>
          <w:tcPr>
            <w:tcW w:w="1004" w:type="dxa"/>
            <w:tcBorders>
              <w:top w:val="nil"/>
              <w:left w:val="nil"/>
              <w:bottom w:val="nil"/>
              <w:right w:val="nil"/>
            </w:tcBorders>
            <w:shd w:val="clear" w:color="auto" w:fill="auto"/>
            <w:noWrap/>
            <w:hideMark/>
          </w:tcPr>
          <w:p w14:paraId="78B8F8FA" w14:textId="77777777" w:rsidR="0092526F" w:rsidRPr="00091B01" w:rsidRDefault="0092526F" w:rsidP="006B73F2">
            <w:pPr>
              <w:spacing w:after="0" w:line="240" w:lineRule="auto"/>
              <w:jc w:val="right"/>
              <w:rPr>
                <w:rFonts w:ascii="Calibri" w:hAnsi="Calibri"/>
                <w:b/>
                <w:bCs/>
                <w:color w:val="000000"/>
                <w:kern w:val="0"/>
                <w:sz w:val="20"/>
                <w:szCs w:val="20"/>
                <w14:ligatures w14:val="none"/>
              </w:rPr>
            </w:pPr>
            <w:r w:rsidRPr="00091B01">
              <w:rPr>
                <w:b/>
                <w:bCs/>
                <w:sz w:val="20"/>
                <w:szCs w:val="20"/>
              </w:rPr>
              <w:t>152 (11%)</w:t>
            </w:r>
          </w:p>
        </w:tc>
        <w:tc>
          <w:tcPr>
            <w:tcW w:w="886" w:type="dxa"/>
            <w:tcBorders>
              <w:top w:val="nil"/>
              <w:left w:val="nil"/>
              <w:bottom w:val="nil"/>
              <w:right w:val="nil"/>
            </w:tcBorders>
            <w:shd w:val="clear" w:color="auto" w:fill="auto"/>
            <w:noWrap/>
            <w:hideMark/>
          </w:tcPr>
          <w:p w14:paraId="6B348AAD" w14:textId="77777777" w:rsidR="0092526F" w:rsidRPr="00091B01" w:rsidRDefault="0092526F" w:rsidP="006B73F2">
            <w:pPr>
              <w:spacing w:after="0" w:line="240" w:lineRule="auto"/>
              <w:jc w:val="right"/>
              <w:rPr>
                <w:rFonts w:ascii="Calibri" w:hAnsi="Calibri"/>
                <w:b/>
                <w:bCs/>
                <w:color w:val="000000"/>
                <w:kern w:val="0"/>
                <w:sz w:val="20"/>
                <w:szCs w:val="20"/>
                <w14:ligatures w14:val="none"/>
              </w:rPr>
            </w:pPr>
            <w:r w:rsidRPr="00091B01">
              <w:rPr>
                <w:b/>
                <w:bCs/>
                <w:sz w:val="20"/>
                <w:szCs w:val="20"/>
              </w:rPr>
              <w:t>182 (27%)</w:t>
            </w:r>
          </w:p>
        </w:tc>
        <w:tc>
          <w:tcPr>
            <w:tcW w:w="1278" w:type="dxa"/>
            <w:tcBorders>
              <w:top w:val="nil"/>
              <w:left w:val="nil"/>
              <w:bottom w:val="nil"/>
              <w:right w:val="single" w:sz="4" w:space="0" w:color="auto"/>
            </w:tcBorders>
            <w:shd w:val="clear" w:color="auto" w:fill="auto"/>
            <w:noWrap/>
            <w:hideMark/>
          </w:tcPr>
          <w:p w14:paraId="59B8F26D" w14:textId="77777777" w:rsidR="0092526F" w:rsidRPr="00091B01" w:rsidRDefault="0092526F" w:rsidP="006B73F2">
            <w:pPr>
              <w:spacing w:after="0" w:line="240" w:lineRule="auto"/>
              <w:jc w:val="right"/>
              <w:rPr>
                <w:rFonts w:ascii="Calibri" w:hAnsi="Calibri"/>
                <w:b/>
                <w:bCs/>
                <w:color w:val="000000"/>
                <w:kern w:val="0"/>
                <w:sz w:val="20"/>
                <w:szCs w:val="20"/>
                <w14:ligatures w14:val="none"/>
              </w:rPr>
            </w:pPr>
            <w:r w:rsidRPr="00091B01">
              <w:rPr>
                <w:b/>
                <w:bCs/>
                <w:sz w:val="20"/>
                <w:szCs w:val="20"/>
              </w:rPr>
              <w:t>3.01 (2.37-3.83)</w:t>
            </w:r>
          </w:p>
        </w:tc>
        <w:tc>
          <w:tcPr>
            <w:tcW w:w="1172" w:type="dxa"/>
            <w:tcBorders>
              <w:top w:val="nil"/>
              <w:left w:val="single" w:sz="4" w:space="0" w:color="auto"/>
              <w:bottom w:val="nil"/>
              <w:right w:val="nil"/>
            </w:tcBorders>
            <w:shd w:val="clear" w:color="auto" w:fill="auto"/>
            <w:noWrap/>
            <w:hideMark/>
          </w:tcPr>
          <w:p w14:paraId="273928E0" w14:textId="77777777" w:rsidR="0092526F" w:rsidRPr="00091B01" w:rsidRDefault="0092526F" w:rsidP="006B73F2">
            <w:pPr>
              <w:spacing w:after="0" w:line="240" w:lineRule="auto"/>
              <w:jc w:val="right"/>
              <w:rPr>
                <w:rFonts w:ascii="Calibri" w:hAnsi="Calibri"/>
                <w:b/>
                <w:bCs/>
                <w:color w:val="000000"/>
                <w:kern w:val="0"/>
                <w:sz w:val="20"/>
                <w:szCs w:val="20"/>
                <w14:ligatures w14:val="none"/>
              </w:rPr>
            </w:pPr>
            <w:r w:rsidRPr="00091B01">
              <w:rPr>
                <w:b/>
                <w:bCs/>
                <w:sz w:val="20"/>
                <w:szCs w:val="20"/>
              </w:rPr>
              <w:t>323 (16%)</w:t>
            </w:r>
          </w:p>
        </w:tc>
        <w:tc>
          <w:tcPr>
            <w:tcW w:w="810" w:type="dxa"/>
            <w:tcBorders>
              <w:top w:val="nil"/>
              <w:left w:val="nil"/>
              <w:bottom w:val="nil"/>
              <w:right w:val="nil"/>
            </w:tcBorders>
            <w:shd w:val="clear" w:color="auto" w:fill="auto"/>
            <w:noWrap/>
            <w:hideMark/>
          </w:tcPr>
          <w:p w14:paraId="56E1D4B8" w14:textId="77777777" w:rsidR="0092526F" w:rsidRPr="00091B01" w:rsidRDefault="0092526F" w:rsidP="006B73F2">
            <w:pPr>
              <w:spacing w:after="0" w:line="240" w:lineRule="auto"/>
              <w:jc w:val="right"/>
              <w:rPr>
                <w:rFonts w:ascii="Calibri" w:hAnsi="Calibri"/>
                <w:b/>
                <w:bCs/>
                <w:color w:val="000000"/>
                <w:kern w:val="0"/>
                <w:sz w:val="20"/>
                <w:szCs w:val="20"/>
                <w14:ligatures w14:val="none"/>
              </w:rPr>
            </w:pPr>
            <w:r w:rsidRPr="00091B01">
              <w:rPr>
                <w:b/>
                <w:bCs/>
                <w:sz w:val="20"/>
                <w:szCs w:val="20"/>
              </w:rPr>
              <w:t>6 (38%)</w:t>
            </w:r>
          </w:p>
        </w:tc>
        <w:tc>
          <w:tcPr>
            <w:tcW w:w="1260" w:type="dxa"/>
            <w:tcBorders>
              <w:top w:val="nil"/>
              <w:left w:val="nil"/>
              <w:bottom w:val="nil"/>
            </w:tcBorders>
            <w:shd w:val="clear" w:color="auto" w:fill="auto"/>
            <w:noWrap/>
            <w:hideMark/>
          </w:tcPr>
          <w:p w14:paraId="30AA6B4A" w14:textId="77777777" w:rsidR="0092526F" w:rsidRPr="00091B01" w:rsidRDefault="0092526F" w:rsidP="006B73F2">
            <w:pPr>
              <w:spacing w:after="0" w:line="240" w:lineRule="auto"/>
              <w:jc w:val="right"/>
              <w:rPr>
                <w:rFonts w:ascii="Calibri" w:hAnsi="Calibri"/>
                <w:b/>
                <w:bCs/>
                <w:color w:val="000000"/>
                <w:kern w:val="0"/>
                <w:sz w:val="20"/>
                <w:szCs w:val="20"/>
                <w14:ligatures w14:val="none"/>
              </w:rPr>
            </w:pPr>
            <w:r w:rsidRPr="00091B01">
              <w:rPr>
                <w:b/>
                <w:bCs/>
                <w:sz w:val="20"/>
                <w:szCs w:val="20"/>
              </w:rPr>
              <w:t>3.15 (1.07-8.54)</w:t>
            </w:r>
          </w:p>
        </w:tc>
      </w:tr>
      <w:tr w:rsidR="0092526F" w:rsidRPr="00D37B2D" w14:paraId="15F8972D" w14:textId="77777777" w:rsidTr="006B73F2">
        <w:trPr>
          <w:trHeight w:val="20"/>
        </w:trPr>
        <w:tc>
          <w:tcPr>
            <w:tcW w:w="1946" w:type="dxa"/>
            <w:tcBorders>
              <w:top w:val="nil"/>
              <w:bottom w:val="nil"/>
              <w:right w:val="nil"/>
            </w:tcBorders>
            <w:shd w:val="clear" w:color="auto" w:fill="auto"/>
            <w:noWrap/>
          </w:tcPr>
          <w:p w14:paraId="5A9B7126" w14:textId="77777777" w:rsidR="0092526F" w:rsidRPr="00D37B2D" w:rsidRDefault="0092526F" w:rsidP="006B73F2">
            <w:pPr>
              <w:spacing w:after="0" w:line="240" w:lineRule="auto"/>
              <w:rPr>
                <w:b/>
                <w:bCs/>
                <w:sz w:val="20"/>
                <w:szCs w:val="20"/>
              </w:rPr>
            </w:pPr>
            <w:r w:rsidRPr="00D37B2D">
              <w:rPr>
                <w:sz w:val="20"/>
                <w:szCs w:val="20"/>
              </w:rPr>
              <w:t>Took antimalarials ≤7 days (n miss = 32)</w:t>
            </w:r>
          </w:p>
        </w:tc>
        <w:tc>
          <w:tcPr>
            <w:tcW w:w="1004" w:type="dxa"/>
            <w:tcBorders>
              <w:top w:val="nil"/>
              <w:left w:val="nil"/>
              <w:bottom w:val="nil"/>
            </w:tcBorders>
            <w:shd w:val="clear" w:color="auto" w:fill="auto"/>
            <w:noWrap/>
          </w:tcPr>
          <w:p w14:paraId="1850986C" w14:textId="77777777" w:rsidR="0092526F" w:rsidRPr="00091B01" w:rsidRDefault="0092526F" w:rsidP="006B73F2">
            <w:pPr>
              <w:spacing w:after="0" w:line="240" w:lineRule="auto"/>
              <w:jc w:val="right"/>
              <w:rPr>
                <w:b/>
                <w:bCs/>
                <w:sz w:val="20"/>
                <w:szCs w:val="20"/>
              </w:rPr>
            </w:pPr>
          </w:p>
        </w:tc>
        <w:tc>
          <w:tcPr>
            <w:tcW w:w="1004" w:type="dxa"/>
            <w:tcBorders>
              <w:top w:val="nil"/>
              <w:left w:val="nil"/>
              <w:bottom w:val="nil"/>
              <w:right w:val="nil"/>
            </w:tcBorders>
            <w:shd w:val="clear" w:color="auto" w:fill="auto"/>
            <w:noWrap/>
          </w:tcPr>
          <w:p w14:paraId="66F42400" w14:textId="77777777" w:rsidR="0092526F" w:rsidRPr="00091B01" w:rsidRDefault="0092526F" w:rsidP="006B73F2">
            <w:pPr>
              <w:spacing w:after="0" w:line="240" w:lineRule="auto"/>
              <w:jc w:val="right"/>
              <w:rPr>
                <w:b/>
                <w:bCs/>
                <w:sz w:val="20"/>
                <w:szCs w:val="20"/>
              </w:rPr>
            </w:pPr>
          </w:p>
        </w:tc>
        <w:tc>
          <w:tcPr>
            <w:tcW w:w="886" w:type="dxa"/>
            <w:tcBorders>
              <w:top w:val="nil"/>
              <w:left w:val="nil"/>
              <w:bottom w:val="nil"/>
              <w:right w:val="nil"/>
            </w:tcBorders>
            <w:shd w:val="clear" w:color="auto" w:fill="auto"/>
            <w:noWrap/>
          </w:tcPr>
          <w:p w14:paraId="3F15F9C1" w14:textId="77777777" w:rsidR="0092526F" w:rsidRPr="00091B01" w:rsidRDefault="0092526F" w:rsidP="006B73F2">
            <w:pPr>
              <w:spacing w:after="0" w:line="240" w:lineRule="auto"/>
              <w:jc w:val="right"/>
              <w:rPr>
                <w:b/>
                <w:bCs/>
                <w:sz w:val="20"/>
                <w:szCs w:val="20"/>
              </w:rPr>
            </w:pPr>
          </w:p>
        </w:tc>
        <w:tc>
          <w:tcPr>
            <w:tcW w:w="1278" w:type="dxa"/>
            <w:tcBorders>
              <w:top w:val="nil"/>
              <w:left w:val="nil"/>
              <w:bottom w:val="nil"/>
              <w:right w:val="single" w:sz="4" w:space="0" w:color="auto"/>
            </w:tcBorders>
            <w:shd w:val="clear" w:color="auto" w:fill="auto"/>
            <w:noWrap/>
          </w:tcPr>
          <w:p w14:paraId="491B2E37" w14:textId="77777777" w:rsidR="0092526F" w:rsidRPr="00091B01" w:rsidRDefault="0092526F" w:rsidP="006B73F2">
            <w:pPr>
              <w:spacing w:after="0" w:line="240" w:lineRule="auto"/>
              <w:jc w:val="right"/>
              <w:rPr>
                <w:b/>
                <w:bCs/>
                <w:sz w:val="20"/>
                <w:szCs w:val="20"/>
              </w:rPr>
            </w:pPr>
          </w:p>
        </w:tc>
        <w:tc>
          <w:tcPr>
            <w:tcW w:w="1172" w:type="dxa"/>
            <w:tcBorders>
              <w:top w:val="nil"/>
              <w:left w:val="single" w:sz="4" w:space="0" w:color="auto"/>
              <w:bottom w:val="nil"/>
              <w:right w:val="nil"/>
            </w:tcBorders>
            <w:shd w:val="clear" w:color="auto" w:fill="auto"/>
            <w:noWrap/>
          </w:tcPr>
          <w:p w14:paraId="32C8CA4D" w14:textId="77777777" w:rsidR="0092526F" w:rsidRPr="00091B01" w:rsidRDefault="0092526F" w:rsidP="006B73F2">
            <w:pPr>
              <w:spacing w:after="0" w:line="240" w:lineRule="auto"/>
              <w:jc w:val="right"/>
              <w:rPr>
                <w:b/>
                <w:bCs/>
                <w:sz w:val="20"/>
                <w:szCs w:val="20"/>
              </w:rPr>
            </w:pPr>
          </w:p>
        </w:tc>
        <w:tc>
          <w:tcPr>
            <w:tcW w:w="810" w:type="dxa"/>
            <w:tcBorders>
              <w:top w:val="nil"/>
              <w:left w:val="nil"/>
              <w:bottom w:val="nil"/>
              <w:right w:val="nil"/>
            </w:tcBorders>
            <w:shd w:val="clear" w:color="auto" w:fill="auto"/>
            <w:noWrap/>
          </w:tcPr>
          <w:p w14:paraId="5C05A90A" w14:textId="77777777" w:rsidR="0092526F" w:rsidRPr="00091B01" w:rsidRDefault="0092526F" w:rsidP="006B73F2">
            <w:pPr>
              <w:spacing w:after="0" w:line="240" w:lineRule="auto"/>
              <w:jc w:val="right"/>
              <w:rPr>
                <w:b/>
                <w:bCs/>
                <w:sz w:val="20"/>
                <w:szCs w:val="20"/>
              </w:rPr>
            </w:pPr>
          </w:p>
        </w:tc>
        <w:tc>
          <w:tcPr>
            <w:tcW w:w="1260" w:type="dxa"/>
            <w:tcBorders>
              <w:top w:val="nil"/>
              <w:left w:val="nil"/>
              <w:bottom w:val="nil"/>
            </w:tcBorders>
            <w:shd w:val="clear" w:color="auto" w:fill="auto"/>
            <w:noWrap/>
          </w:tcPr>
          <w:p w14:paraId="6032BFE5" w14:textId="77777777" w:rsidR="0092526F" w:rsidRPr="00091B01" w:rsidRDefault="0092526F" w:rsidP="006B73F2">
            <w:pPr>
              <w:spacing w:after="0" w:line="240" w:lineRule="auto"/>
              <w:jc w:val="right"/>
              <w:rPr>
                <w:b/>
                <w:bCs/>
                <w:sz w:val="20"/>
                <w:szCs w:val="20"/>
              </w:rPr>
            </w:pPr>
          </w:p>
        </w:tc>
      </w:tr>
      <w:tr w:rsidR="0092526F" w:rsidRPr="00D37B2D" w14:paraId="043E4F7B" w14:textId="77777777" w:rsidTr="006B73F2">
        <w:trPr>
          <w:trHeight w:val="20"/>
        </w:trPr>
        <w:tc>
          <w:tcPr>
            <w:tcW w:w="1946" w:type="dxa"/>
            <w:tcBorders>
              <w:top w:val="nil"/>
              <w:bottom w:val="nil"/>
              <w:right w:val="nil"/>
            </w:tcBorders>
            <w:shd w:val="clear" w:color="auto" w:fill="auto"/>
            <w:noWrap/>
            <w:hideMark/>
          </w:tcPr>
          <w:p w14:paraId="7CCC4ACC"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No</w:t>
            </w:r>
          </w:p>
        </w:tc>
        <w:tc>
          <w:tcPr>
            <w:tcW w:w="1004" w:type="dxa"/>
            <w:tcBorders>
              <w:top w:val="nil"/>
              <w:left w:val="nil"/>
              <w:bottom w:val="nil"/>
            </w:tcBorders>
            <w:shd w:val="clear" w:color="auto" w:fill="auto"/>
            <w:noWrap/>
            <w:hideMark/>
          </w:tcPr>
          <w:p w14:paraId="445E6FD1"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1,768 (82%)</w:t>
            </w:r>
          </w:p>
        </w:tc>
        <w:tc>
          <w:tcPr>
            <w:tcW w:w="1004" w:type="dxa"/>
            <w:tcBorders>
              <w:top w:val="nil"/>
              <w:left w:val="nil"/>
              <w:bottom w:val="nil"/>
              <w:right w:val="nil"/>
            </w:tcBorders>
            <w:shd w:val="clear" w:color="auto" w:fill="auto"/>
            <w:noWrap/>
            <w:hideMark/>
          </w:tcPr>
          <w:p w14:paraId="75F47A91"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1,264 (86%)</w:t>
            </w:r>
          </w:p>
        </w:tc>
        <w:tc>
          <w:tcPr>
            <w:tcW w:w="886" w:type="dxa"/>
            <w:tcBorders>
              <w:top w:val="nil"/>
              <w:left w:val="nil"/>
              <w:bottom w:val="nil"/>
              <w:right w:val="nil"/>
            </w:tcBorders>
            <w:shd w:val="clear" w:color="auto" w:fill="auto"/>
            <w:noWrap/>
            <w:hideMark/>
          </w:tcPr>
          <w:p w14:paraId="3F0EFE1E"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504 (72%)</w:t>
            </w:r>
          </w:p>
        </w:tc>
        <w:tc>
          <w:tcPr>
            <w:tcW w:w="1278" w:type="dxa"/>
            <w:tcBorders>
              <w:top w:val="nil"/>
              <w:left w:val="nil"/>
              <w:bottom w:val="nil"/>
              <w:right w:val="single" w:sz="4" w:space="0" w:color="auto"/>
            </w:tcBorders>
            <w:shd w:val="clear" w:color="auto" w:fill="auto"/>
            <w:noWrap/>
            <w:hideMark/>
          </w:tcPr>
          <w:p w14:paraId="3D379F0A"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Ref</w:t>
            </w:r>
          </w:p>
        </w:tc>
        <w:tc>
          <w:tcPr>
            <w:tcW w:w="1172" w:type="dxa"/>
            <w:tcBorders>
              <w:top w:val="nil"/>
              <w:left w:val="single" w:sz="4" w:space="0" w:color="auto"/>
              <w:bottom w:val="nil"/>
              <w:right w:val="nil"/>
            </w:tcBorders>
            <w:shd w:val="clear" w:color="auto" w:fill="auto"/>
            <w:noWrap/>
            <w:hideMark/>
          </w:tcPr>
          <w:p w14:paraId="19DD09D1"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1,715 (82%)</w:t>
            </w:r>
          </w:p>
        </w:tc>
        <w:tc>
          <w:tcPr>
            <w:tcW w:w="810" w:type="dxa"/>
            <w:tcBorders>
              <w:top w:val="nil"/>
              <w:left w:val="nil"/>
              <w:bottom w:val="nil"/>
              <w:right w:val="nil"/>
            </w:tcBorders>
            <w:shd w:val="clear" w:color="auto" w:fill="auto"/>
            <w:noWrap/>
            <w:hideMark/>
          </w:tcPr>
          <w:p w14:paraId="4FCE5FD5"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8 (50%)</w:t>
            </w:r>
          </w:p>
        </w:tc>
        <w:tc>
          <w:tcPr>
            <w:tcW w:w="1260" w:type="dxa"/>
            <w:tcBorders>
              <w:top w:val="nil"/>
              <w:left w:val="nil"/>
              <w:bottom w:val="nil"/>
            </w:tcBorders>
            <w:shd w:val="clear" w:color="auto" w:fill="auto"/>
            <w:noWrap/>
            <w:hideMark/>
          </w:tcPr>
          <w:p w14:paraId="3B3F3E1A"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Ref</w:t>
            </w:r>
          </w:p>
        </w:tc>
      </w:tr>
      <w:tr w:rsidR="0092526F" w:rsidRPr="00D37B2D" w14:paraId="785121F9" w14:textId="77777777" w:rsidTr="006B73F2">
        <w:trPr>
          <w:trHeight w:val="20"/>
        </w:trPr>
        <w:tc>
          <w:tcPr>
            <w:tcW w:w="1946" w:type="dxa"/>
            <w:tcBorders>
              <w:top w:val="nil"/>
              <w:bottom w:val="nil"/>
              <w:right w:val="nil"/>
            </w:tcBorders>
            <w:shd w:val="clear" w:color="auto" w:fill="auto"/>
            <w:noWrap/>
            <w:hideMark/>
          </w:tcPr>
          <w:p w14:paraId="657BC19A" w14:textId="77777777" w:rsidR="0092526F" w:rsidRPr="00091B01" w:rsidRDefault="0092526F" w:rsidP="006B73F2">
            <w:pPr>
              <w:spacing w:after="0" w:line="240" w:lineRule="auto"/>
              <w:jc w:val="right"/>
              <w:rPr>
                <w:rFonts w:ascii="Calibri" w:hAnsi="Calibri"/>
                <w:b/>
                <w:bCs/>
                <w:color w:val="000000"/>
                <w:kern w:val="0"/>
                <w:sz w:val="20"/>
                <w:szCs w:val="20"/>
                <w14:ligatures w14:val="none"/>
              </w:rPr>
            </w:pPr>
            <w:r w:rsidRPr="00091B01">
              <w:rPr>
                <w:b/>
                <w:bCs/>
                <w:sz w:val="20"/>
                <w:szCs w:val="20"/>
              </w:rPr>
              <w:t xml:space="preserve">  Yes</w:t>
            </w:r>
          </w:p>
        </w:tc>
        <w:tc>
          <w:tcPr>
            <w:tcW w:w="1004" w:type="dxa"/>
            <w:tcBorders>
              <w:top w:val="nil"/>
              <w:left w:val="nil"/>
              <w:bottom w:val="nil"/>
            </w:tcBorders>
            <w:shd w:val="clear" w:color="auto" w:fill="auto"/>
            <w:noWrap/>
            <w:hideMark/>
          </w:tcPr>
          <w:p w14:paraId="57BF1952" w14:textId="77777777" w:rsidR="0092526F" w:rsidRPr="00091B01" w:rsidRDefault="0092526F" w:rsidP="006B73F2">
            <w:pPr>
              <w:spacing w:after="0" w:line="240" w:lineRule="auto"/>
              <w:jc w:val="right"/>
              <w:rPr>
                <w:rFonts w:ascii="Calibri" w:hAnsi="Calibri"/>
                <w:b/>
                <w:bCs/>
                <w:color w:val="000000"/>
                <w:kern w:val="0"/>
                <w:sz w:val="20"/>
                <w:szCs w:val="20"/>
                <w14:ligatures w14:val="none"/>
              </w:rPr>
            </w:pPr>
            <w:r w:rsidRPr="00091B01">
              <w:rPr>
                <w:b/>
                <w:bCs/>
                <w:sz w:val="20"/>
                <w:szCs w:val="20"/>
              </w:rPr>
              <w:t>397 (18%)</w:t>
            </w:r>
          </w:p>
        </w:tc>
        <w:tc>
          <w:tcPr>
            <w:tcW w:w="1004" w:type="dxa"/>
            <w:tcBorders>
              <w:top w:val="nil"/>
              <w:left w:val="nil"/>
              <w:bottom w:val="nil"/>
              <w:right w:val="nil"/>
            </w:tcBorders>
            <w:shd w:val="clear" w:color="auto" w:fill="auto"/>
            <w:noWrap/>
            <w:hideMark/>
          </w:tcPr>
          <w:p w14:paraId="593B399A" w14:textId="77777777" w:rsidR="0092526F" w:rsidRPr="00091B01" w:rsidRDefault="0092526F" w:rsidP="006B73F2">
            <w:pPr>
              <w:spacing w:after="0" w:line="240" w:lineRule="auto"/>
              <w:jc w:val="right"/>
              <w:rPr>
                <w:rFonts w:ascii="Calibri" w:hAnsi="Calibri"/>
                <w:b/>
                <w:bCs/>
                <w:color w:val="000000"/>
                <w:kern w:val="0"/>
                <w:sz w:val="20"/>
                <w:szCs w:val="20"/>
                <w14:ligatures w14:val="none"/>
              </w:rPr>
            </w:pPr>
            <w:r w:rsidRPr="00091B01">
              <w:rPr>
                <w:b/>
                <w:bCs/>
                <w:sz w:val="20"/>
                <w:szCs w:val="20"/>
              </w:rPr>
              <w:t>203 (14%)</w:t>
            </w:r>
          </w:p>
        </w:tc>
        <w:tc>
          <w:tcPr>
            <w:tcW w:w="886" w:type="dxa"/>
            <w:tcBorders>
              <w:top w:val="nil"/>
              <w:left w:val="nil"/>
              <w:bottom w:val="nil"/>
              <w:right w:val="nil"/>
            </w:tcBorders>
            <w:shd w:val="clear" w:color="auto" w:fill="auto"/>
            <w:noWrap/>
            <w:hideMark/>
          </w:tcPr>
          <w:p w14:paraId="501DA87A" w14:textId="77777777" w:rsidR="0092526F" w:rsidRPr="00091B01" w:rsidRDefault="0092526F" w:rsidP="006B73F2">
            <w:pPr>
              <w:spacing w:after="0" w:line="240" w:lineRule="auto"/>
              <w:jc w:val="right"/>
              <w:rPr>
                <w:rFonts w:ascii="Calibri" w:hAnsi="Calibri"/>
                <w:b/>
                <w:bCs/>
                <w:color w:val="000000"/>
                <w:kern w:val="0"/>
                <w:sz w:val="20"/>
                <w:szCs w:val="20"/>
                <w14:ligatures w14:val="none"/>
              </w:rPr>
            </w:pPr>
            <w:r w:rsidRPr="00091B01">
              <w:rPr>
                <w:b/>
                <w:bCs/>
                <w:sz w:val="20"/>
                <w:szCs w:val="20"/>
              </w:rPr>
              <w:t>194 (28%)</w:t>
            </w:r>
          </w:p>
        </w:tc>
        <w:tc>
          <w:tcPr>
            <w:tcW w:w="1278" w:type="dxa"/>
            <w:tcBorders>
              <w:top w:val="nil"/>
              <w:left w:val="nil"/>
              <w:bottom w:val="nil"/>
              <w:right w:val="single" w:sz="4" w:space="0" w:color="auto"/>
            </w:tcBorders>
            <w:shd w:val="clear" w:color="auto" w:fill="auto"/>
            <w:noWrap/>
            <w:hideMark/>
          </w:tcPr>
          <w:p w14:paraId="1CD540DD" w14:textId="77777777" w:rsidR="0092526F" w:rsidRPr="00091B01" w:rsidRDefault="0092526F" w:rsidP="006B73F2">
            <w:pPr>
              <w:spacing w:after="0" w:line="240" w:lineRule="auto"/>
              <w:jc w:val="right"/>
              <w:rPr>
                <w:rFonts w:ascii="Calibri" w:hAnsi="Calibri"/>
                <w:b/>
                <w:bCs/>
                <w:color w:val="000000"/>
                <w:kern w:val="0"/>
                <w:sz w:val="20"/>
                <w:szCs w:val="20"/>
                <w14:ligatures w14:val="none"/>
              </w:rPr>
            </w:pPr>
            <w:r w:rsidRPr="00091B01">
              <w:rPr>
                <w:b/>
                <w:bCs/>
                <w:sz w:val="20"/>
                <w:szCs w:val="20"/>
              </w:rPr>
              <w:t>2.40 (1.92-2.99)</w:t>
            </w:r>
          </w:p>
        </w:tc>
        <w:tc>
          <w:tcPr>
            <w:tcW w:w="1172" w:type="dxa"/>
            <w:tcBorders>
              <w:top w:val="nil"/>
              <w:left w:val="single" w:sz="4" w:space="0" w:color="auto"/>
              <w:bottom w:val="nil"/>
              <w:right w:val="nil"/>
            </w:tcBorders>
            <w:shd w:val="clear" w:color="auto" w:fill="auto"/>
            <w:noWrap/>
            <w:hideMark/>
          </w:tcPr>
          <w:p w14:paraId="3C263162" w14:textId="77777777" w:rsidR="0092526F" w:rsidRPr="00091B01" w:rsidRDefault="0092526F" w:rsidP="006B73F2">
            <w:pPr>
              <w:spacing w:after="0" w:line="240" w:lineRule="auto"/>
              <w:jc w:val="right"/>
              <w:rPr>
                <w:rFonts w:ascii="Calibri" w:hAnsi="Calibri"/>
                <w:b/>
                <w:bCs/>
                <w:color w:val="000000"/>
                <w:kern w:val="0"/>
                <w:sz w:val="20"/>
                <w:szCs w:val="20"/>
                <w14:ligatures w14:val="none"/>
              </w:rPr>
            </w:pPr>
            <w:r w:rsidRPr="00091B01">
              <w:rPr>
                <w:b/>
                <w:bCs/>
                <w:sz w:val="20"/>
                <w:szCs w:val="20"/>
              </w:rPr>
              <w:t>368 (18%)</w:t>
            </w:r>
          </w:p>
        </w:tc>
        <w:tc>
          <w:tcPr>
            <w:tcW w:w="810" w:type="dxa"/>
            <w:tcBorders>
              <w:top w:val="nil"/>
              <w:left w:val="nil"/>
              <w:bottom w:val="nil"/>
              <w:right w:val="nil"/>
            </w:tcBorders>
            <w:shd w:val="clear" w:color="auto" w:fill="auto"/>
            <w:noWrap/>
            <w:hideMark/>
          </w:tcPr>
          <w:p w14:paraId="204140F0" w14:textId="77777777" w:rsidR="0092526F" w:rsidRPr="00091B01" w:rsidRDefault="0092526F" w:rsidP="006B73F2">
            <w:pPr>
              <w:spacing w:after="0" w:line="240" w:lineRule="auto"/>
              <w:jc w:val="right"/>
              <w:rPr>
                <w:rFonts w:ascii="Calibri" w:hAnsi="Calibri"/>
                <w:b/>
                <w:bCs/>
                <w:color w:val="000000"/>
                <w:kern w:val="0"/>
                <w:sz w:val="20"/>
                <w:szCs w:val="20"/>
                <w14:ligatures w14:val="none"/>
              </w:rPr>
            </w:pPr>
            <w:r w:rsidRPr="00091B01">
              <w:rPr>
                <w:b/>
                <w:bCs/>
                <w:sz w:val="20"/>
                <w:szCs w:val="20"/>
              </w:rPr>
              <w:t>8 (50%)</w:t>
            </w:r>
          </w:p>
        </w:tc>
        <w:tc>
          <w:tcPr>
            <w:tcW w:w="1260" w:type="dxa"/>
            <w:tcBorders>
              <w:top w:val="nil"/>
              <w:left w:val="nil"/>
              <w:bottom w:val="nil"/>
            </w:tcBorders>
            <w:shd w:val="clear" w:color="auto" w:fill="auto"/>
            <w:noWrap/>
            <w:hideMark/>
          </w:tcPr>
          <w:p w14:paraId="026503D8" w14:textId="77777777" w:rsidR="0092526F" w:rsidRPr="00091B01" w:rsidRDefault="0092526F" w:rsidP="006B73F2">
            <w:pPr>
              <w:spacing w:after="0" w:line="240" w:lineRule="auto"/>
              <w:jc w:val="right"/>
              <w:rPr>
                <w:rFonts w:ascii="Calibri" w:hAnsi="Calibri"/>
                <w:b/>
                <w:bCs/>
                <w:color w:val="000000"/>
                <w:kern w:val="0"/>
                <w:sz w:val="20"/>
                <w:szCs w:val="20"/>
                <w14:ligatures w14:val="none"/>
              </w:rPr>
            </w:pPr>
            <w:r w:rsidRPr="00091B01">
              <w:rPr>
                <w:b/>
                <w:bCs/>
                <w:sz w:val="20"/>
                <w:szCs w:val="20"/>
              </w:rPr>
              <w:t>4.66 (1.70-12.70)</w:t>
            </w:r>
          </w:p>
        </w:tc>
      </w:tr>
      <w:tr w:rsidR="0092526F" w:rsidRPr="00D37B2D" w14:paraId="0C557735" w14:textId="77777777" w:rsidTr="006B73F2">
        <w:trPr>
          <w:trHeight w:val="20"/>
        </w:trPr>
        <w:tc>
          <w:tcPr>
            <w:tcW w:w="1946" w:type="dxa"/>
            <w:tcBorders>
              <w:top w:val="nil"/>
              <w:bottom w:val="nil"/>
              <w:right w:val="nil"/>
            </w:tcBorders>
            <w:shd w:val="clear" w:color="auto" w:fill="auto"/>
            <w:noWrap/>
          </w:tcPr>
          <w:p w14:paraId="5B91499D" w14:textId="77777777" w:rsidR="0092526F" w:rsidRPr="00D37B2D" w:rsidRDefault="0092526F" w:rsidP="006B73F2">
            <w:pPr>
              <w:spacing w:after="0" w:line="240" w:lineRule="auto"/>
              <w:rPr>
                <w:b/>
                <w:bCs/>
                <w:sz w:val="20"/>
                <w:szCs w:val="20"/>
              </w:rPr>
            </w:pPr>
            <w:r w:rsidRPr="00D37B2D">
              <w:rPr>
                <w:sz w:val="20"/>
                <w:szCs w:val="20"/>
              </w:rPr>
              <w:t>Had a clinical malaria test (n miss = 1)</w:t>
            </w:r>
          </w:p>
        </w:tc>
        <w:tc>
          <w:tcPr>
            <w:tcW w:w="1004" w:type="dxa"/>
            <w:tcBorders>
              <w:top w:val="nil"/>
              <w:left w:val="nil"/>
              <w:bottom w:val="nil"/>
            </w:tcBorders>
            <w:shd w:val="clear" w:color="auto" w:fill="auto"/>
            <w:noWrap/>
          </w:tcPr>
          <w:p w14:paraId="6FC1FC0D" w14:textId="77777777" w:rsidR="0092526F" w:rsidRPr="00091B01" w:rsidRDefault="0092526F" w:rsidP="006B73F2">
            <w:pPr>
              <w:spacing w:after="0" w:line="240" w:lineRule="auto"/>
              <w:jc w:val="right"/>
              <w:rPr>
                <w:b/>
                <w:bCs/>
                <w:sz w:val="20"/>
                <w:szCs w:val="20"/>
              </w:rPr>
            </w:pPr>
          </w:p>
        </w:tc>
        <w:tc>
          <w:tcPr>
            <w:tcW w:w="1004" w:type="dxa"/>
            <w:tcBorders>
              <w:top w:val="nil"/>
              <w:left w:val="nil"/>
              <w:bottom w:val="nil"/>
              <w:right w:val="nil"/>
            </w:tcBorders>
            <w:shd w:val="clear" w:color="auto" w:fill="auto"/>
            <w:noWrap/>
          </w:tcPr>
          <w:p w14:paraId="7FEF6DC3" w14:textId="77777777" w:rsidR="0092526F" w:rsidRPr="00091B01" w:rsidRDefault="0092526F" w:rsidP="006B73F2">
            <w:pPr>
              <w:spacing w:after="0" w:line="240" w:lineRule="auto"/>
              <w:jc w:val="right"/>
              <w:rPr>
                <w:b/>
                <w:bCs/>
                <w:sz w:val="20"/>
                <w:szCs w:val="20"/>
              </w:rPr>
            </w:pPr>
          </w:p>
        </w:tc>
        <w:tc>
          <w:tcPr>
            <w:tcW w:w="886" w:type="dxa"/>
            <w:tcBorders>
              <w:top w:val="nil"/>
              <w:left w:val="nil"/>
              <w:bottom w:val="nil"/>
              <w:right w:val="nil"/>
            </w:tcBorders>
            <w:shd w:val="clear" w:color="auto" w:fill="auto"/>
            <w:noWrap/>
          </w:tcPr>
          <w:p w14:paraId="1F52D98A" w14:textId="77777777" w:rsidR="0092526F" w:rsidRPr="00091B01" w:rsidRDefault="0092526F" w:rsidP="006B73F2">
            <w:pPr>
              <w:spacing w:after="0" w:line="240" w:lineRule="auto"/>
              <w:jc w:val="right"/>
              <w:rPr>
                <w:b/>
                <w:bCs/>
                <w:sz w:val="20"/>
                <w:szCs w:val="20"/>
              </w:rPr>
            </w:pPr>
          </w:p>
        </w:tc>
        <w:tc>
          <w:tcPr>
            <w:tcW w:w="1278" w:type="dxa"/>
            <w:tcBorders>
              <w:top w:val="nil"/>
              <w:left w:val="nil"/>
              <w:bottom w:val="nil"/>
              <w:right w:val="single" w:sz="4" w:space="0" w:color="auto"/>
            </w:tcBorders>
            <w:shd w:val="clear" w:color="auto" w:fill="auto"/>
            <w:noWrap/>
          </w:tcPr>
          <w:p w14:paraId="487034CF" w14:textId="77777777" w:rsidR="0092526F" w:rsidRPr="00091B01" w:rsidRDefault="0092526F" w:rsidP="006B73F2">
            <w:pPr>
              <w:spacing w:after="0" w:line="240" w:lineRule="auto"/>
              <w:jc w:val="right"/>
              <w:rPr>
                <w:b/>
                <w:bCs/>
                <w:sz w:val="20"/>
                <w:szCs w:val="20"/>
              </w:rPr>
            </w:pPr>
          </w:p>
        </w:tc>
        <w:tc>
          <w:tcPr>
            <w:tcW w:w="1172" w:type="dxa"/>
            <w:tcBorders>
              <w:top w:val="nil"/>
              <w:left w:val="single" w:sz="4" w:space="0" w:color="auto"/>
              <w:bottom w:val="nil"/>
              <w:right w:val="nil"/>
            </w:tcBorders>
            <w:shd w:val="clear" w:color="auto" w:fill="auto"/>
            <w:noWrap/>
          </w:tcPr>
          <w:p w14:paraId="13A6D373" w14:textId="77777777" w:rsidR="0092526F" w:rsidRPr="00091B01" w:rsidRDefault="0092526F" w:rsidP="006B73F2">
            <w:pPr>
              <w:spacing w:after="0" w:line="240" w:lineRule="auto"/>
              <w:jc w:val="right"/>
              <w:rPr>
                <w:b/>
                <w:bCs/>
                <w:sz w:val="20"/>
                <w:szCs w:val="20"/>
              </w:rPr>
            </w:pPr>
          </w:p>
        </w:tc>
        <w:tc>
          <w:tcPr>
            <w:tcW w:w="810" w:type="dxa"/>
            <w:tcBorders>
              <w:top w:val="nil"/>
              <w:left w:val="nil"/>
              <w:bottom w:val="nil"/>
              <w:right w:val="nil"/>
            </w:tcBorders>
            <w:shd w:val="clear" w:color="auto" w:fill="auto"/>
            <w:noWrap/>
          </w:tcPr>
          <w:p w14:paraId="020AABFD" w14:textId="77777777" w:rsidR="0092526F" w:rsidRPr="00091B01" w:rsidRDefault="0092526F" w:rsidP="006B73F2">
            <w:pPr>
              <w:spacing w:after="0" w:line="240" w:lineRule="auto"/>
              <w:jc w:val="right"/>
              <w:rPr>
                <w:b/>
                <w:bCs/>
                <w:sz w:val="20"/>
                <w:szCs w:val="20"/>
              </w:rPr>
            </w:pPr>
          </w:p>
        </w:tc>
        <w:tc>
          <w:tcPr>
            <w:tcW w:w="1260" w:type="dxa"/>
            <w:tcBorders>
              <w:top w:val="nil"/>
              <w:left w:val="nil"/>
              <w:bottom w:val="nil"/>
            </w:tcBorders>
            <w:shd w:val="clear" w:color="auto" w:fill="auto"/>
            <w:noWrap/>
          </w:tcPr>
          <w:p w14:paraId="6E74A7C7" w14:textId="77777777" w:rsidR="0092526F" w:rsidRPr="00091B01" w:rsidRDefault="0092526F" w:rsidP="006B73F2">
            <w:pPr>
              <w:spacing w:after="0" w:line="240" w:lineRule="auto"/>
              <w:jc w:val="right"/>
              <w:rPr>
                <w:b/>
                <w:bCs/>
                <w:sz w:val="20"/>
                <w:szCs w:val="20"/>
              </w:rPr>
            </w:pPr>
          </w:p>
        </w:tc>
      </w:tr>
      <w:tr w:rsidR="0092526F" w:rsidRPr="00D37B2D" w14:paraId="419F2E6D" w14:textId="77777777" w:rsidTr="006B73F2">
        <w:trPr>
          <w:trHeight w:val="20"/>
        </w:trPr>
        <w:tc>
          <w:tcPr>
            <w:tcW w:w="1946" w:type="dxa"/>
            <w:tcBorders>
              <w:top w:val="nil"/>
              <w:bottom w:val="nil"/>
              <w:right w:val="nil"/>
            </w:tcBorders>
            <w:shd w:val="clear" w:color="auto" w:fill="auto"/>
            <w:noWrap/>
            <w:hideMark/>
          </w:tcPr>
          <w:p w14:paraId="45CAE4AD"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No</w:t>
            </w:r>
          </w:p>
        </w:tc>
        <w:tc>
          <w:tcPr>
            <w:tcW w:w="1004" w:type="dxa"/>
            <w:tcBorders>
              <w:top w:val="nil"/>
              <w:left w:val="nil"/>
              <w:bottom w:val="nil"/>
            </w:tcBorders>
            <w:shd w:val="clear" w:color="auto" w:fill="auto"/>
            <w:noWrap/>
            <w:hideMark/>
          </w:tcPr>
          <w:p w14:paraId="13B39213"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183 (8%)</w:t>
            </w:r>
          </w:p>
        </w:tc>
        <w:tc>
          <w:tcPr>
            <w:tcW w:w="1004" w:type="dxa"/>
            <w:tcBorders>
              <w:top w:val="nil"/>
              <w:left w:val="nil"/>
              <w:bottom w:val="nil"/>
              <w:right w:val="nil"/>
            </w:tcBorders>
            <w:shd w:val="clear" w:color="auto" w:fill="auto"/>
            <w:noWrap/>
            <w:hideMark/>
          </w:tcPr>
          <w:p w14:paraId="6AF7927B"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111 (7%)</w:t>
            </w:r>
          </w:p>
        </w:tc>
        <w:tc>
          <w:tcPr>
            <w:tcW w:w="886" w:type="dxa"/>
            <w:tcBorders>
              <w:top w:val="nil"/>
              <w:left w:val="nil"/>
              <w:bottom w:val="nil"/>
              <w:right w:val="nil"/>
            </w:tcBorders>
            <w:shd w:val="clear" w:color="auto" w:fill="auto"/>
            <w:noWrap/>
            <w:hideMark/>
          </w:tcPr>
          <w:p w14:paraId="36BB5FA3"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72 (10%)</w:t>
            </w:r>
          </w:p>
        </w:tc>
        <w:tc>
          <w:tcPr>
            <w:tcW w:w="1278" w:type="dxa"/>
            <w:tcBorders>
              <w:top w:val="nil"/>
              <w:left w:val="nil"/>
              <w:bottom w:val="nil"/>
              <w:right w:val="single" w:sz="4" w:space="0" w:color="auto"/>
            </w:tcBorders>
            <w:shd w:val="clear" w:color="auto" w:fill="auto"/>
            <w:noWrap/>
            <w:hideMark/>
          </w:tcPr>
          <w:p w14:paraId="4D50B9DE"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Ref</w:t>
            </w:r>
          </w:p>
        </w:tc>
        <w:tc>
          <w:tcPr>
            <w:tcW w:w="1172" w:type="dxa"/>
            <w:tcBorders>
              <w:top w:val="nil"/>
              <w:left w:val="single" w:sz="4" w:space="0" w:color="auto"/>
              <w:bottom w:val="nil"/>
              <w:right w:val="nil"/>
            </w:tcBorders>
            <w:shd w:val="clear" w:color="auto" w:fill="auto"/>
            <w:noWrap/>
            <w:hideMark/>
          </w:tcPr>
          <w:p w14:paraId="2CF768B2"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177 (8%)</w:t>
            </w:r>
          </w:p>
        </w:tc>
        <w:tc>
          <w:tcPr>
            <w:tcW w:w="810" w:type="dxa"/>
            <w:tcBorders>
              <w:top w:val="nil"/>
              <w:left w:val="nil"/>
              <w:bottom w:val="nil"/>
              <w:right w:val="nil"/>
            </w:tcBorders>
            <w:shd w:val="clear" w:color="auto" w:fill="auto"/>
            <w:noWrap/>
            <w:hideMark/>
          </w:tcPr>
          <w:p w14:paraId="2A782F7C"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2 (13%)</w:t>
            </w:r>
          </w:p>
        </w:tc>
        <w:tc>
          <w:tcPr>
            <w:tcW w:w="1260" w:type="dxa"/>
            <w:tcBorders>
              <w:top w:val="nil"/>
              <w:left w:val="nil"/>
              <w:bottom w:val="nil"/>
            </w:tcBorders>
            <w:shd w:val="clear" w:color="auto" w:fill="auto"/>
            <w:noWrap/>
            <w:hideMark/>
          </w:tcPr>
          <w:p w14:paraId="5FC27213"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Ref</w:t>
            </w:r>
          </w:p>
        </w:tc>
      </w:tr>
      <w:tr w:rsidR="0092526F" w:rsidRPr="00D37B2D" w14:paraId="47711789" w14:textId="77777777" w:rsidTr="006B73F2">
        <w:trPr>
          <w:trHeight w:val="20"/>
        </w:trPr>
        <w:tc>
          <w:tcPr>
            <w:tcW w:w="1946" w:type="dxa"/>
            <w:tcBorders>
              <w:top w:val="nil"/>
              <w:bottom w:val="nil"/>
              <w:right w:val="nil"/>
            </w:tcBorders>
            <w:shd w:val="clear" w:color="auto" w:fill="auto"/>
            <w:noWrap/>
            <w:hideMark/>
          </w:tcPr>
          <w:p w14:paraId="12C4D82D"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Yes</w:t>
            </w:r>
          </w:p>
        </w:tc>
        <w:tc>
          <w:tcPr>
            <w:tcW w:w="1004" w:type="dxa"/>
            <w:tcBorders>
              <w:top w:val="nil"/>
              <w:left w:val="nil"/>
              <w:bottom w:val="nil"/>
            </w:tcBorders>
            <w:shd w:val="clear" w:color="auto" w:fill="auto"/>
            <w:noWrap/>
            <w:hideMark/>
          </w:tcPr>
          <w:p w14:paraId="24A60241"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2,013 (92%)</w:t>
            </w:r>
          </w:p>
        </w:tc>
        <w:tc>
          <w:tcPr>
            <w:tcW w:w="1004" w:type="dxa"/>
            <w:tcBorders>
              <w:top w:val="nil"/>
              <w:left w:val="nil"/>
              <w:bottom w:val="nil"/>
              <w:right w:val="nil"/>
            </w:tcBorders>
            <w:shd w:val="clear" w:color="auto" w:fill="auto"/>
            <w:noWrap/>
            <w:hideMark/>
          </w:tcPr>
          <w:p w14:paraId="0FB12B2B"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1,372 (93%)</w:t>
            </w:r>
          </w:p>
        </w:tc>
        <w:tc>
          <w:tcPr>
            <w:tcW w:w="886" w:type="dxa"/>
            <w:tcBorders>
              <w:top w:val="nil"/>
              <w:left w:val="nil"/>
              <w:bottom w:val="nil"/>
              <w:right w:val="nil"/>
            </w:tcBorders>
            <w:shd w:val="clear" w:color="auto" w:fill="auto"/>
            <w:noWrap/>
            <w:hideMark/>
          </w:tcPr>
          <w:p w14:paraId="1AD1C2E7"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641 (90%)</w:t>
            </w:r>
          </w:p>
        </w:tc>
        <w:tc>
          <w:tcPr>
            <w:tcW w:w="1278" w:type="dxa"/>
            <w:tcBorders>
              <w:top w:val="nil"/>
              <w:left w:val="nil"/>
              <w:bottom w:val="nil"/>
              <w:right w:val="single" w:sz="4" w:space="0" w:color="auto"/>
            </w:tcBorders>
            <w:shd w:val="clear" w:color="auto" w:fill="auto"/>
            <w:noWrap/>
            <w:hideMark/>
          </w:tcPr>
          <w:p w14:paraId="7C2EC6D2"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0.72 (0.53-0.99)</w:t>
            </w:r>
          </w:p>
        </w:tc>
        <w:tc>
          <w:tcPr>
            <w:tcW w:w="1172" w:type="dxa"/>
            <w:tcBorders>
              <w:top w:val="nil"/>
              <w:left w:val="single" w:sz="4" w:space="0" w:color="auto"/>
              <w:bottom w:val="nil"/>
              <w:right w:val="nil"/>
            </w:tcBorders>
            <w:shd w:val="clear" w:color="auto" w:fill="auto"/>
            <w:noWrap/>
            <w:hideMark/>
          </w:tcPr>
          <w:p w14:paraId="298E5B41"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1,935 (92%)</w:t>
            </w:r>
          </w:p>
        </w:tc>
        <w:tc>
          <w:tcPr>
            <w:tcW w:w="810" w:type="dxa"/>
            <w:tcBorders>
              <w:top w:val="nil"/>
              <w:left w:val="nil"/>
              <w:bottom w:val="nil"/>
              <w:right w:val="nil"/>
            </w:tcBorders>
            <w:shd w:val="clear" w:color="auto" w:fill="auto"/>
            <w:noWrap/>
            <w:hideMark/>
          </w:tcPr>
          <w:p w14:paraId="554F94EB"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14 (88%)</w:t>
            </w:r>
          </w:p>
        </w:tc>
        <w:tc>
          <w:tcPr>
            <w:tcW w:w="1260" w:type="dxa"/>
            <w:tcBorders>
              <w:top w:val="nil"/>
              <w:left w:val="nil"/>
              <w:bottom w:val="nil"/>
            </w:tcBorders>
            <w:shd w:val="clear" w:color="auto" w:fill="auto"/>
            <w:noWrap/>
            <w:hideMark/>
          </w:tcPr>
          <w:p w14:paraId="6910E013"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0.64 (0.18-4.10)</w:t>
            </w:r>
          </w:p>
        </w:tc>
      </w:tr>
      <w:tr w:rsidR="0092526F" w:rsidRPr="00D37B2D" w14:paraId="551269E0" w14:textId="77777777" w:rsidTr="006B73F2">
        <w:trPr>
          <w:trHeight w:val="20"/>
        </w:trPr>
        <w:tc>
          <w:tcPr>
            <w:tcW w:w="1946" w:type="dxa"/>
            <w:tcBorders>
              <w:top w:val="nil"/>
              <w:bottom w:val="nil"/>
              <w:right w:val="nil"/>
            </w:tcBorders>
            <w:shd w:val="clear" w:color="auto" w:fill="auto"/>
            <w:noWrap/>
          </w:tcPr>
          <w:p w14:paraId="58A0CC6B" w14:textId="77777777" w:rsidR="0092526F" w:rsidRPr="00D37B2D" w:rsidRDefault="0092526F" w:rsidP="006B73F2">
            <w:pPr>
              <w:spacing w:after="0" w:line="240" w:lineRule="auto"/>
              <w:rPr>
                <w:rFonts w:ascii="Calibri" w:hAnsi="Calibri"/>
                <w:color w:val="000000"/>
                <w:kern w:val="0"/>
                <w:sz w:val="20"/>
                <w:szCs w:val="20"/>
                <w14:ligatures w14:val="none"/>
              </w:rPr>
            </w:pPr>
            <w:r w:rsidRPr="00D37B2D">
              <w:rPr>
                <w:sz w:val="20"/>
                <w:szCs w:val="20"/>
              </w:rPr>
              <w:t>Disease severity</w:t>
            </w:r>
          </w:p>
        </w:tc>
        <w:tc>
          <w:tcPr>
            <w:tcW w:w="1004" w:type="dxa"/>
            <w:tcBorders>
              <w:top w:val="nil"/>
              <w:left w:val="nil"/>
              <w:bottom w:val="nil"/>
            </w:tcBorders>
            <w:shd w:val="clear" w:color="auto" w:fill="auto"/>
            <w:noWrap/>
          </w:tcPr>
          <w:p w14:paraId="2BCF030F" w14:textId="77777777" w:rsidR="0092526F" w:rsidRPr="00091B01" w:rsidRDefault="0092526F" w:rsidP="006B73F2">
            <w:pPr>
              <w:spacing w:after="0" w:line="240" w:lineRule="auto"/>
              <w:jc w:val="right"/>
              <w:rPr>
                <w:rFonts w:ascii="Calibri" w:hAnsi="Calibri"/>
                <w:color w:val="000000"/>
                <w:kern w:val="0"/>
                <w:sz w:val="20"/>
                <w:szCs w:val="20"/>
                <w14:ligatures w14:val="none"/>
              </w:rPr>
            </w:pPr>
          </w:p>
        </w:tc>
        <w:tc>
          <w:tcPr>
            <w:tcW w:w="1004" w:type="dxa"/>
            <w:tcBorders>
              <w:top w:val="nil"/>
              <w:left w:val="nil"/>
              <w:bottom w:val="nil"/>
              <w:right w:val="nil"/>
            </w:tcBorders>
            <w:shd w:val="clear" w:color="auto" w:fill="auto"/>
            <w:noWrap/>
          </w:tcPr>
          <w:p w14:paraId="3FB5164A" w14:textId="77777777" w:rsidR="0092526F" w:rsidRPr="00091B01" w:rsidRDefault="0092526F" w:rsidP="006B73F2">
            <w:pPr>
              <w:spacing w:after="0" w:line="240" w:lineRule="auto"/>
              <w:jc w:val="right"/>
              <w:rPr>
                <w:rFonts w:ascii="Calibri" w:hAnsi="Calibri"/>
                <w:color w:val="000000"/>
                <w:kern w:val="0"/>
                <w:sz w:val="20"/>
                <w:szCs w:val="20"/>
                <w14:ligatures w14:val="none"/>
              </w:rPr>
            </w:pPr>
          </w:p>
        </w:tc>
        <w:tc>
          <w:tcPr>
            <w:tcW w:w="886" w:type="dxa"/>
            <w:tcBorders>
              <w:top w:val="nil"/>
              <w:left w:val="nil"/>
              <w:bottom w:val="nil"/>
              <w:right w:val="nil"/>
            </w:tcBorders>
            <w:shd w:val="clear" w:color="auto" w:fill="auto"/>
            <w:noWrap/>
          </w:tcPr>
          <w:p w14:paraId="2124E56F" w14:textId="77777777" w:rsidR="0092526F" w:rsidRPr="00091B01" w:rsidRDefault="0092526F" w:rsidP="006B73F2">
            <w:pPr>
              <w:spacing w:after="0" w:line="240" w:lineRule="auto"/>
              <w:jc w:val="center"/>
              <w:rPr>
                <w:rFonts w:ascii="Calibri" w:hAnsi="Calibri"/>
                <w:color w:val="000000"/>
                <w:kern w:val="0"/>
                <w:sz w:val="20"/>
                <w:szCs w:val="20"/>
                <w14:ligatures w14:val="none"/>
              </w:rPr>
            </w:pPr>
          </w:p>
        </w:tc>
        <w:tc>
          <w:tcPr>
            <w:tcW w:w="1278" w:type="dxa"/>
            <w:tcBorders>
              <w:top w:val="nil"/>
              <w:left w:val="nil"/>
              <w:bottom w:val="nil"/>
              <w:right w:val="single" w:sz="4" w:space="0" w:color="auto"/>
            </w:tcBorders>
            <w:shd w:val="clear" w:color="auto" w:fill="auto"/>
            <w:noWrap/>
          </w:tcPr>
          <w:p w14:paraId="1F8290EB" w14:textId="77777777" w:rsidR="0092526F" w:rsidRPr="00091B01" w:rsidRDefault="0092526F" w:rsidP="006B73F2">
            <w:pPr>
              <w:spacing w:after="0" w:line="240" w:lineRule="auto"/>
              <w:jc w:val="right"/>
              <w:rPr>
                <w:rFonts w:ascii="Calibri" w:hAnsi="Calibri"/>
                <w:color w:val="000000"/>
                <w:kern w:val="0"/>
                <w:sz w:val="20"/>
                <w:szCs w:val="20"/>
                <w14:ligatures w14:val="none"/>
              </w:rPr>
            </w:pPr>
          </w:p>
        </w:tc>
        <w:tc>
          <w:tcPr>
            <w:tcW w:w="1172" w:type="dxa"/>
            <w:tcBorders>
              <w:top w:val="nil"/>
              <w:left w:val="single" w:sz="4" w:space="0" w:color="auto"/>
              <w:bottom w:val="nil"/>
              <w:right w:val="nil"/>
            </w:tcBorders>
            <w:shd w:val="clear" w:color="auto" w:fill="auto"/>
            <w:noWrap/>
          </w:tcPr>
          <w:p w14:paraId="6EFE46AF" w14:textId="77777777" w:rsidR="0092526F" w:rsidRPr="00091B01" w:rsidRDefault="0092526F" w:rsidP="006B73F2">
            <w:pPr>
              <w:spacing w:after="0" w:line="240" w:lineRule="auto"/>
              <w:jc w:val="right"/>
              <w:rPr>
                <w:rFonts w:ascii="Calibri" w:hAnsi="Calibri"/>
                <w:color w:val="000000"/>
                <w:kern w:val="0"/>
                <w:sz w:val="20"/>
                <w:szCs w:val="20"/>
                <w14:ligatures w14:val="none"/>
              </w:rPr>
            </w:pPr>
          </w:p>
        </w:tc>
        <w:tc>
          <w:tcPr>
            <w:tcW w:w="810" w:type="dxa"/>
            <w:tcBorders>
              <w:top w:val="nil"/>
              <w:left w:val="nil"/>
              <w:bottom w:val="nil"/>
              <w:right w:val="nil"/>
            </w:tcBorders>
            <w:shd w:val="clear" w:color="auto" w:fill="auto"/>
            <w:noWrap/>
          </w:tcPr>
          <w:p w14:paraId="2BEA9412" w14:textId="77777777" w:rsidR="0092526F" w:rsidRPr="00091B01" w:rsidRDefault="0092526F" w:rsidP="006B73F2">
            <w:pPr>
              <w:spacing w:after="0" w:line="240" w:lineRule="auto"/>
              <w:jc w:val="right"/>
              <w:rPr>
                <w:rFonts w:ascii="Calibri" w:hAnsi="Calibri"/>
                <w:color w:val="000000"/>
                <w:kern w:val="0"/>
                <w:sz w:val="20"/>
                <w:szCs w:val="20"/>
                <w14:ligatures w14:val="none"/>
              </w:rPr>
            </w:pPr>
          </w:p>
        </w:tc>
        <w:tc>
          <w:tcPr>
            <w:tcW w:w="1260" w:type="dxa"/>
            <w:tcBorders>
              <w:top w:val="nil"/>
              <w:left w:val="nil"/>
              <w:bottom w:val="nil"/>
            </w:tcBorders>
            <w:shd w:val="clear" w:color="auto" w:fill="auto"/>
            <w:noWrap/>
          </w:tcPr>
          <w:p w14:paraId="613F50FA" w14:textId="77777777" w:rsidR="0092526F" w:rsidRPr="00091B01" w:rsidRDefault="0092526F" w:rsidP="006B73F2">
            <w:pPr>
              <w:spacing w:after="0" w:line="240" w:lineRule="auto"/>
              <w:jc w:val="right"/>
              <w:rPr>
                <w:rFonts w:ascii="Calibri" w:hAnsi="Calibri"/>
                <w:color w:val="000000"/>
                <w:kern w:val="0"/>
                <w:sz w:val="20"/>
                <w:szCs w:val="20"/>
                <w14:ligatures w14:val="none"/>
              </w:rPr>
            </w:pPr>
          </w:p>
        </w:tc>
      </w:tr>
      <w:tr w:rsidR="0092526F" w:rsidRPr="00D37B2D" w14:paraId="231CFD9E" w14:textId="77777777" w:rsidTr="006B73F2">
        <w:trPr>
          <w:trHeight w:val="20"/>
        </w:trPr>
        <w:tc>
          <w:tcPr>
            <w:tcW w:w="1946" w:type="dxa"/>
            <w:tcBorders>
              <w:top w:val="nil"/>
              <w:right w:val="nil"/>
            </w:tcBorders>
            <w:shd w:val="clear" w:color="auto" w:fill="auto"/>
            <w:noWrap/>
          </w:tcPr>
          <w:p w14:paraId="3E749529" w14:textId="77777777" w:rsidR="0092526F" w:rsidRPr="00D37B2D" w:rsidRDefault="0092526F" w:rsidP="006B73F2">
            <w:pPr>
              <w:spacing w:after="0" w:line="240" w:lineRule="auto"/>
              <w:jc w:val="right"/>
              <w:rPr>
                <w:rFonts w:ascii="Calibri" w:hAnsi="Calibri"/>
                <w:color w:val="000000"/>
                <w:kern w:val="0"/>
                <w:sz w:val="20"/>
                <w:szCs w:val="20"/>
                <w14:ligatures w14:val="none"/>
              </w:rPr>
            </w:pPr>
            <w:r w:rsidRPr="00D37B2D">
              <w:rPr>
                <w:sz w:val="20"/>
                <w:szCs w:val="20"/>
              </w:rPr>
              <w:t xml:space="preserve">  Not severe</w:t>
            </w:r>
          </w:p>
        </w:tc>
        <w:tc>
          <w:tcPr>
            <w:tcW w:w="1004" w:type="dxa"/>
            <w:tcBorders>
              <w:top w:val="nil"/>
              <w:left w:val="nil"/>
            </w:tcBorders>
            <w:shd w:val="clear" w:color="auto" w:fill="auto"/>
            <w:noWrap/>
          </w:tcPr>
          <w:p w14:paraId="198B171F" w14:textId="77777777" w:rsidR="0092526F" w:rsidRPr="00091B01" w:rsidRDefault="0092526F" w:rsidP="006B73F2">
            <w:pPr>
              <w:spacing w:after="0" w:line="240" w:lineRule="auto"/>
              <w:jc w:val="right"/>
              <w:rPr>
                <w:rFonts w:ascii="Calibri" w:hAnsi="Calibri"/>
                <w:color w:val="000000"/>
                <w:kern w:val="0"/>
                <w:sz w:val="20"/>
                <w:szCs w:val="20"/>
                <w14:ligatures w14:val="none"/>
              </w:rPr>
            </w:pPr>
          </w:p>
        </w:tc>
        <w:tc>
          <w:tcPr>
            <w:tcW w:w="1004" w:type="dxa"/>
            <w:tcBorders>
              <w:top w:val="nil"/>
              <w:left w:val="nil"/>
              <w:right w:val="nil"/>
            </w:tcBorders>
            <w:shd w:val="clear" w:color="auto" w:fill="auto"/>
            <w:noWrap/>
          </w:tcPr>
          <w:p w14:paraId="0802AFD8" w14:textId="77777777" w:rsidR="0092526F" w:rsidRPr="00091B01" w:rsidRDefault="0092526F" w:rsidP="006B73F2">
            <w:pPr>
              <w:spacing w:after="0" w:line="240" w:lineRule="auto"/>
              <w:jc w:val="right"/>
              <w:rPr>
                <w:rFonts w:ascii="Calibri" w:hAnsi="Calibri"/>
                <w:color w:val="000000"/>
                <w:kern w:val="0"/>
                <w:sz w:val="20"/>
                <w:szCs w:val="20"/>
                <w14:ligatures w14:val="none"/>
              </w:rPr>
            </w:pPr>
          </w:p>
        </w:tc>
        <w:tc>
          <w:tcPr>
            <w:tcW w:w="886" w:type="dxa"/>
            <w:tcBorders>
              <w:top w:val="nil"/>
              <w:left w:val="nil"/>
              <w:right w:val="nil"/>
            </w:tcBorders>
            <w:shd w:val="clear" w:color="auto" w:fill="auto"/>
            <w:noWrap/>
          </w:tcPr>
          <w:p w14:paraId="6A20B20E" w14:textId="77777777" w:rsidR="0092526F" w:rsidRPr="00091B01" w:rsidRDefault="0092526F" w:rsidP="006B73F2">
            <w:pPr>
              <w:spacing w:after="0" w:line="240" w:lineRule="auto"/>
              <w:jc w:val="right"/>
              <w:rPr>
                <w:rFonts w:ascii="Calibri" w:hAnsi="Calibri"/>
                <w:color w:val="000000"/>
                <w:kern w:val="0"/>
                <w:sz w:val="20"/>
                <w:szCs w:val="20"/>
                <w14:ligatures w14:val="none"/>
              </w:rPr>
            </w:pPr>
          </w:p>
        </w:tc>
        <w:tc>
          <w:tcPr>
            <w:tcW w:w="1278" w:type="dxa"/>
            <w:tcBorders>
              <w:top w:val="nil"/>
              <w:left w:val="nil"/>
              <w:right w:val="single" w:sz="4" w:space="0" w:color="auto"/>
            </w:tcBorders>
            <w:shd w:val="clear" w:color="auto" w:fill="auto"/>
            <w:noWrap/>
          </w:tcPr>
          <w:p w14:paraId="035BB2F5" w14:textId="77777777" w:rsidR="0092526F" w:rsidRPr="00091B01" w:rsidRDefault="0092526F" w:rsidP="006B73F2">
            <w:pPr>
              <w:spacing w:after="0" w:line="240" w:lineRule="auto"/>
              <w:jc w:val="right"/>
              <w:rPr>
                <w:rFonts w:ascii="Calibri" w:hAnsi="Calibri"/>
                <w:color w:val="000000"/>
                <w:kern w:val="0"/>
                <w:sz w:val="20"/>
                <w:szCs w:val="20"/>
                <w14:ligatures w14:val="none"/>
              </w:rPr>
            </w:pPr>
          </w:p>
        </w:tc>
        <w:tc>
          <w:tcPr>
            <w:tcW w:w="1172" w:type="dxa"/>
            <w:tcBorders>
              <w:top w:val="nil"/>
              <w:left w:val="single" w:sz="4" w:space="0" w:color="auto"/>
              <w:right w:val="nil"/>
            </w:tcBorders>
            <w:shd w:val="clear" w:color="auto" w:fill="auto"/>
            <w:noWrap/>
          </w:tcPr>
          <w:p w14:paraId="6FED1BBF"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1,442 (68%)</w:t>
            </w:r>
          </w:p>
        </w:tc>
        <w:tc>
          <w:tcPr>
            <w:tcW w:w="810" w:type="dxa"/>
            <w:tcBorders>
              <w:top w:val="nil"/>
              <w:left w:val="nil"/>
              <w:right w:val="nil"/>
            </w:tcBorders>
            <w:shd w:val="clear" w:color="auto" w:fill="auto"/>
            <w:noWrap/>
          </w:tcPr>
          <w:p w14:paraId="764E57CF"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6 (38%)</w:t>
            </w:r>
          </w:p>
        </w:tc>
        <w:tc>
          <w:tcPr>
            <w:tcW w:w="1260" w:type="dxa"/>
            <w:tcBorders>
              <w:top w:val="nil"/>
              <w:left w:val="nil"/>
            </w:tcBorders>
            <w:shd w:val="clear" w:color="auto" w:fill="auto"/>
            <w:noWrap/>
          </w:tcPr>
          <w:p w14:paraId="368B8FEB" w14:textId="77777777" w:rsidR="0092526F" w:rsidRPr="00091B01" w:rsidRDefault="0092526F" w:rsidP="006B73F2">
            <w:pPr>
              <w:spacing w:after="0" w:line="240" w:lineRule="auto"/>
              <w:jc w:val="right"/>
              <w:rPr>
                <w:rFonts w:ascii="Calibri" w:hAnsi="Calibri"/>
                <w:color w:val="000000"/>
                <w:kern w:val="0"/>
                <w:sz w:val="20"/>
                <w:szCs w:val="20"/>
                <w14:ligatures w14:val="none"/>
              </w:rPr>
            </w:pPr>
            <w:r w:rsidRPr="00091B01">
              <w:rPr>
                <w:sz w:val="20"/>
                <w:szCs w:val="20"/>
              </w:rPr>
              <w:t>Ref</w:t>
            </w:r>
          </w:p>
        </w:tc>
      </w:tr>
      <w:tr w:rsidR="0092526F" w:rsidRPr="00D37B2D" w14:paraId="170D2936" w14:textId="77777777" w:rsidTr="006B73F2">
        <w:trPr>
          <w:trHeight w:val="20"/>
        </w:trPr>
        <w:tc>
          <w:tcPr>
            <w:tcW w:w="1946" w:type="dxa"/>
            <w:tcBorders>
              <w:top w:val="nil"/>
              <w:bottom w:val="single" w:sz="4" w:space="0" w:color="auto"/>
              <w:right w:val="nil"/>
            </w:tcBorders>
            <w:shd w:val="clear" w:color="auto" w:fill="auto"/>
            <w:noWrap/>
          </w:tcPr>
          <w:p w14:paraId="2A3A68AC" w14:textId="77777777" w:rsidR="0092526F" w:rsidRPr="00091B01" w:rsidRDefault="0092526F" w:rsidP="006B73F2">
            <w:pPr>
              <w:spacing w:after="0" w:line="240" w:lineRule="auto"/>
              <w:jc w:val="right"/>
              <w:rPr>
                <w:rFonts w:ascii="Calibri" w:hAnsi="Calibri"/>
                <w:b/>
                <w:bCs/>
                <w:color w:val="000000"/>
                <w:kern w:val="0"/>
                <w:sz w:val="20"/>
                <w:szCs w:val="20"/>
                <w14:ligatures w14:val="none"/>
              </w:rPr>
            </w:pPr>
            <w:r w:rsidRPr="00D37B2D">
              <w:rPr>
                <w:sz w:val="20"/>
                <w:szCs w:val="20"/>
              </w:rPr>
              <w:t xml:space="preserve">  </w:t>
            </w:r>
            <w:r w:rsidRPr="00091B01">
              <w:rPr>
                <w:b/>
                <w:bCs/>
                <w:sz w:val="20"/>
                <w:szCs w:val="20"/>
              </w:rPr>
              <w:t>Severe</w:t>
            </w:r>
          </w:p>
        </w:tc>
        <w:tc>
          <w:tcPr>
            <w:tcW w:w="1004" w:type="dxa"/>
            <w:tcBorders>
              <w:top w:val="nil"/>
              <w:left w:val="nil"/>
              <w:bottom w:val="single" w:sz="4" w:space="0" w:color="auto"/>
            </w:tcBorders>
            <w:shd w:val="clear" w:color="auto" w:fill="auto"/>
            <w:noWrap/>
          </w:tcPr>
          <w:p w14:paraId="1DCE52E5" w14:textId="77777777" w:rsidR="0092526F" w:rsidRPr="00091B01" w:rsidRDefault="0092526F" w:rsidP="006B73F2">
            <w:pPr>
              <w:spacing w:after="0" w:line="240" w:lineRule="auto"/>
              <w:jc w:val="right"/>
              <w:rPr>
                <w:rFonts w:ascii="Calibri" w:hAnsi="Calibri"/>
                <w:color w:val="000000"/>
                <w:kern w:val="0"/>
                <w:sz w:val="20"/>
                <w:szCs w:val="20"/>
                <w14:ligatures w14:val="none"/>
              </w:rPr>
            </w:pPr>
          </w:p>
        </w:tc>
        <w:tc>
          <w:tcPr>
            <w:tcW w:w="1004" w:type="dxa"/>
            <w:tcBorders>
              <w:top w:val="nil"/>
              <w:left w:val="nil"/>
              <w:bottom w:val="single" w:sz="4" w:space="0" w:color="auto"/>
              <w:right w:val="nil"/>
            </w:tcBorders>
            <w:shd w:val="clear" w:color="auto" w:fill="auto"/>
            <w:noWrap/>
          </w:tcPr>
          <w:p w14:paraId="0F4EEED1" w14:textId="77777777" w:rsidR="0092526F" w:rsidRPr="00091B01" w:rsidRDefault="0092526F" w:rsidP="006B73F2">
            <w:pPr>
              <w:spacing w:after="0" w:line="240" w:lineRule="auto"/>
              <w:jc w:val="right"/>
              <w:rPr>
                <w:rFonts w:ascii="Calibri" w:hAnsi="Calibri"/>
                <w:color w:val="000000"/>
                <w:kern w:val="0"/>
                <w:sz w:val="20"/>
                <w:szCs w:val="20"/>
                <w14:ligatures w14:val="none"/>
              </w:rPr>
            </w:pPr>
          </w:p>
        </w:tc>
        <w:tc>
          <w:tcPr>
            <w:tcW w:w="886" w:type="dxa"/>
            <w:tcBorders>
              <w:top w:val="nil"/>
              <w:left w:val="nil"/>
              <w:bottom w:val="single" w:sz="4" w:space="0" w:color="auto"/>
              <w:right w:val="nil"/>
            </w:tcBorders>
            <w:shd w:val="clear" w:color="auto" w:fill="auto"/>
            <w:noWrap/>
          </w:tcPr>
          <w:p w14:paraId="622C704F" w14:textId="77777777" w:rsidR="0092526F" w:rsidRPr="00091B01" w:rsidRDefault="0092526F" w:rsidP="006B73F2">
            <w:pPr>
              <w:spacing w:after="0" w:line="240" w:lineRule="auto"/>
              <w:jc w:val="right"/>
              <w:rPr>
                <w:rFonts w:ascii="Calibri" w:hAnsi="Calibri"/>
                <w:color w:val="000000"/>
                <w:kern w:val="0"/>
                <w:sz w:val="20"/>
                <w:szCs w:val="20"/>
                <w14:ligatures w14:val="none"/>
              </w:rPr>
            </w:pPr>
          </w:p>
        </w:tc>
        <w:tc>
          <w:tcPr>
            <w:tcW w:w="1278" w:type="dxa"/>
            <w:tcBorders>
              <w:top w:val="nil"/>
              <w:left w:val="nil"/>
              <w:bottom w:val="single" w:sz="4" w:space="0" w:color="auto"/>
              <w:right w:val="single" w:sz="4" w:space="0" w:color="auto"/>
            </w:tcBorders>
            <w:shd w:val="clear" w:color="auto" w:fill="auto"/>
            <w:noWrap/>
          </w:tcPr>
          <w:p w14:paraId="5DDD833B" w14:textId="77777777" w:rsidR="0092526F" w:rsidRPr="00091B01" w:rsidRDefault="0092526F" w:rsidP="006B73F2">
            <w:pPr>
              <w:spacing w:after="0" w:line="240" w:lineRule="auto"/>
              <w:jc w:val="right"/>
              <w:rPr>
                <w:rFonts w:ascii="Calibri" w:hAnsi="Calibri"/>
                <w:color w:val="000000"/>
                <w:kern w:val="0"/>
                <w:sz w:val="20"/>
                <w:szCs w:val="20"/>
                <w14:ligatures w14:val="none"/>
              </w:rPr>
            </w:pPr>
          </w:p>
        </w:tc>
        <w:tc>
          <w:tcPr>
            <w:tcW w:w="1172" w:type="dxa"/>
            <w:tcBorders>
              <w:top w:val="nil"/>
              <w:left w:val="single" w:sz="4" w:space="0" w:color="auto"/>
              <w:bottom w:val="single" w:sz="4" w:space="0" w:color="auto"/>
              <w:right w:val="nil"/>
            </w:tcBorders>
            <w:shd w:val="clear" w:color="auto" w:fill="auto"/>
            <w:noWrap/>
          </w:tcPr>
          <w:p w14:paraId="160043EE" w14:textId="77777777" w:rsidR="0092526F" w:rsidRPr="00091B01" w:rsidRDefault="0092526F" w:rsidP="006B73F2">
            <w:pPr>
              <w:spacing w:after="0" w:line="240" w:lineRule="auto"/>
              <w:jc w:val="right"/>
              <w:rPr>
                <w:rFonts w:ascii="Calibri" w:hAnsi="Calibri"/>
                <w:b/>
                <w:bCs/>
                <w:color w:val="000000"/>
                <w:kern w:val="0"/>
                <w:sz w:val="20"/>
                <w:szCs w:val="20"/>
                <w14:ligatures w14:val="none"/>
              </w:rPr>
            </w:pPr>
            <w:r w:rsidRPr="00091B01">
              <w:rPr>
                <w:b/>
                <w:bCs/>
                <w:sz w:val="20"/>
                <w:szCs w:val="20"/>
              </w:rPr>
              <w:t>671 (32%)</w:t>
            </w:r>
          </w:p>
        </w:tc>
        <w:tc>
          <w:tcPr>
            <w:tcW w:w="810" w:type="dxa"/>
            <w:tcBorders>
              <w:top w:val="nil"/>
              <w:left w:val="nil"/>
              <w:bottom w:val="single" w:sz="4" w:space="0" w:color="auto"/>
              <w:right w:val="nil"/>
            </w:tcBorders>
            <w:shd w:val="clear" w:color="auto" w:fill="auto"/>
            <w:noWrap/>
          </w:tcPr>
          <w:p w14:paraId="233ABE9B" w14:textId="77777777" w:rsidR="0092526F" w:rsidRPr="00091B01" w:rsidRDefault="0092526F" w:rsidP="006B73F2">
            <w:pPr>
              <w:spacing w:after="0" w:line="240" w:lineRule="auto"/>
              <w:jc w:val="right"/>
              <w:rPr>
                <w:rFonts w:ascii="Calibri" w:hAnsi="Calibri"/>
                <w:b/>
                <w:bCs/>
                <w:color w:val="000000"/>
                <w:kern w:val="0"/>
                <w:sz w:val="20"/>
                <w:szCs w:val="20"/>
                <w14:ligatures w14:val="none"/>
              </w:rPr>
            </w:pPr>
            <w:r w:rsidRPr="00091B01">
              <w:rPr>
                <w:b/>
                <w:bCs/>
                <w:sz w:val="20"/>
                <w:szCs w:val="20"/>
              </w:rPr>
              <w:t>10 (63%)</w:t>
            </w:r>
          </w:p>
        </w:tc>
        <w:tc>
          <w:tcPr>
            <w:tcW w:w="1260" w:type="dxa"/>
            <w:tcBorders>
              <w:top w:val="nil"/>
              <w:left w:val="nil"/>
              <w:bottom w:val="single" w:sz="4" w:space="0" w:color="auto"/>
            </w:tcBorders>
            <w:shd w:val="clear" w:color="auto" w:fill="auto"/>
            <w:noWrap/>
          </w:tcPr>
          <w:p w14:paraId="1FAEFC2E" w14:textId="77777777" w:rsidR="0092526F" w:rsidRPr="00091B01" w:rsidRDefault="0092526F" w:rsidP="006B73F2">
            <w:pPr>
              <w:spacing w:after="0" w:line="240" w:lineRule="auto"/>
              <w:jc w:val="right"/>
              <w:rPr>
                <w:rFonts w:ascii="Calibri" w:hAnsi="Calibri"/>
                <w:b/>
                <w:bCs/>
                <w:color w:val="000000"/>
                <w:kern w:val="0"/>
                <w:sz w:val="20"/>
                <w:szCs w:val="20"/>
                <w14:ligatures w14:val="none"/>
              </w:rPr>
            </w:pPr>
            <w:r w:rsidRPr="00091B01">
              <w:rPr>
                <w:b/>
                <w:bCs/>
                <w:sz w:val="20"/>
                <w:szCs w:val="20"/>
              </w:rPr>
              <w:t>3.58 (1.32-10.60)</w:t>
            </w:r>
          </w:p>
        </w:tc>
      </w:tr>
      <w:tr w:rsidR="0092526F" w:rsidRPr="00D37B2D" w14:paraId="6F1B1D3C" w14:textId="77777777" w:rsidTr="006B73F2">
        <w:trPr>
          <w:trHeight w:val="20"/>
        </w:trPr>
        <w:tc>
          <w:tcPr>
            <w:tcW w:w="9360" w:type="dxa"/>
            <w:gridSpan w:val="8"/>
            <w:tcBorders>
              <w:top w:val="nil"/>
              <w:bottom w:val="single" w:sz="4" w:space="0" w:color="auto"/>
            </w:tcBorders>
            <w:shd w:val="clear" w:color="auto" w:fill="auto"/>
            <w:noWrap/>
          </w:tcPr>
          <w:p w14:paraId="6EF2AE71" w14:textId="77777777" w:rsidR="0092526F" w:rsidRPr="00091B01" w:rsidRDefault="0092526F" w:rsidP="006B73F2">
            <w:pPr>
              <w:spacing w:after="0" w:line="240" w:lineRule="auto"/>
              <w:rPr>
                <w:b/>
                <w:bCs/>
                <w:sz w:val="20"/>
                <w:szCs w:val="20"/>
              </w:rPr>
            </w:pPr>
            <w:r w:rsidRPr="00091B01">
              <w:rPr>
                <w:rFonts w:ascii="Calibri" w:hAnsi="Calibri"/>
                <w:color w:val="000000"/>
                <w:kern w:val="0"/>
                <w:sz w:val="20"/>
                <w:szCs w:val="20"/>
                <w14:ligatures w14:val="none"/>
              </w:rPr>
              <w:t>* Severe illness was defined</w:t>
            </w:r>
            <w:r w:rsidRPr="00091B01" w:rsidDel="000A72C6">
              <w:rPr>
                <w:rFonts w:ascii="Calibri" w:hAnsi="Calibri"/>
                <w:color w:val="000000" w:themeColor="text1"/>
                <w:sz w:val="20"/>
                <w:szCs w:val="20"/>
              </w:rPr>
              <w:t xml:space="preserve"> as</w:t>
            </w:r>
            <w:r w:rsidRPr="00091B01">
              <w:rPr>
                <w:sz w:val="20"/>
                <w:szCs w:val="20"/>
              </w:rPr>
              <w:t xml:space="preserve"> </w:t>
            </w:r>
            <w:r w:rsidRPr="00091B01">
              <w:rPr>
                <w:rFonts w:ascii="Calibri" w:hAnsi="Calibri"/>
                <w:color w:val="000000" w:themeColor="text1"/>
                <w:sz w:val="20"/>
                <w:szCs w:val="20"/>
              </w:rPr>
              <w:t>physical exam findings of severe respiratory process (i.e. oxygen saturation of ≤90%, stridor, nasal flaring, lower chest indrawing, or grunting), severe neurological process (i.e. level of consciousness below “alert” on the Alert/Verbal/Pain/Unresponsive [AVPU] scale, convulsions, photophobia, nuchal rigidity, and bulging fontanelle), jaundice, petechial rash, or severe anemia defined as hemoglobin &lt;7g/dL</w:t>
            </w:r>
            <w:r w:rsidRPr="00091B01">
              <w:rPr>
                <w:rFonts w:ascii="Calibri" w:hAnsi="Calibri"/>
                <w:color w:val="000000"/>
                <w:kern w:val="0"/>
                <w:sz w:val="20"/>
                <w:szCs w:val="20"/>
                <w14:ligatures w14:val="none"/>
              </w:rPr>
              <w:t xml:space="preserve">. </w:t>
            </w:r>
            <w:r w:rsidRPr="00091B01">
              <w:rPr>
                <w:rFonts w:ascii="Calibri" w:hAnsi="Calibri"/>
                <w:color w:val="000000"/>
                <w:kern w:val="0"/>
                <w:sz w:val="20"/>
                <w:szCs w:val="20"/>
                <w14:ligatures w14:val="none"/>
              </w:rPr>
              <w:br/>
              <w:t>† Outcome</w:t>
            </w:r>
            <w:r w:rsidRPr="00091B01">
              <w:rPr>
                <w:rFonts w:ascii="Calibri" w:hAnsi="Calibri"/>
                <w:color w:val="000000" w:themeColor="text1"/>
                <w:sz w:val="20"/>
                <w:szCs w:val="20"/>
              </w:rPr>
              <w:t xml:space="preserve"> was</w:t>
            </w:r>
            <w:r w:rsidRPr="00091B01">
              <w:rPr>
                <w:rFonts w:ascii="Calibri" w:hAnsi="Calibri"/>
                <w:color w:val="000000"/>
                <w:kern w:val="0"/>
                <w:sz w:val="20"/>
                <w:szCs w:val="20"/>
                <w14:ligatures w14:val="none"/>
              </w:rPr>
              <w:t xml:space="preserve"> only assessed among inpatients</w:t>
            </w:r>
            <w:r w:rsidRPr="00091B01">
              <w:rPr>
                <w:rFonts w:ascii="Calibri" w:hAnsi="Calibri"/>
                <w:color w:val="000000" w:themeColor="text1"/>
                <w:sz w:val="20"/>
                <w:szCs w:val="20"/>
              </w:rPr>
              <w:t xml:space="preserve"> (N = 2,197), of which 68 were </w:t>
            </w:r>
            <w:r w:rsidRPr="00091B01">
              <w:rPr>
                <w:rFonts w:ascii="Calibri" w:hAnsi="Calibri"/>
                <w:color w:val="000000"/>
                <w:kern w:val="0"/>
                <w:sz w:val="20"/>
                <w:szCs w:val="20"/>
                <w14:ligatures w14:val="none"/>
              </w:rPr>
              <w:t>missing a known outcome.</w:t>
            </w:r>
            <w:r w:rsidRPr="00091B01">
              <w:rPr>
                <w:rFonts w:ascii="Calibri" w:hAnsi="Calibri"/>
                <w:color w:val="000000"/>
                <w:kern w:val="0"/>
                <w:sz w:val="20"/>
                <w:szCs w:val="20"/>
                <w14:ligatures w14:val="none"/>
              </w:rPr>
              <w:br/>
              <w:t>‡ Pregnancy status self-reported from females aged 15-49 years (N = 181)</w:t>
            </w:r>
            <w:r w:rsidRPr="00091B01">
              <w:rPr>
                <w:rFonts w:ascii="Calibri" w:hAnsi="Calibri"/>
                <w:color w:val="000000"/>
                <w:kern w:val="0"/>
                <w:sz w:val="20"/>
                <w:szCs w:val="20"/>
                <w14:ligatures w14:val="none"/>
              </w:rPr>
              <w:br/>
              <w:t>¶  HIV status was self-reported or recorded in the medical chart. Testing status was not verified</w:t>
            </w:r>
            <w:r w:rsidRPr="00091B01">
              <w:rPr>
                <w:rFonts w:ascii="Calibri" w:hAnsi="Calibri"/>
                <w:color w:val="000000" w:themeColor="text1"/>
                <w:sz w:val="20"/>
                <w:szCs w:val="20"/>
              </w:rPr>
              <w:t xml:space="preserve"> with an HIV test.</w:t>
            </w:r>
            <w:r w:rsidRPr="00091B01">
              <w:rPr>
                <w:rFonts w:ascii="Calibri" w:hAnsi="Calibri"/>
                <w:color w:val="000000"/>
                <w:kern w:val="0"/>
                <w:sz w:val="20"/>
                <w:szCs w:val="20"/>
                <w14:ligatures w14:val="none"/>
              </w:rPr>
              <w:br/>
              <w:t>** MUAC measured in children aged under 5 years (N = 1,</w:t>
            </w:r>
            <w:r w:rsidRPr="00091B01">
              <w:rPr>
                <w:rFonts w:ascii="Calibri" w:hAnsi="Calibri"/>
                <w:color w:val="000000" w:themeColor="text1"/>
                <w:sz w:val="20"/>
                <w:szCs w:val="20"/>
              </w:rPr>
              <w:t>332</w:t>
            </w:r>
            <w:r w:rsidRPr="00091B01">
              <w:rPr>
                <w:rFonts w:ascii="Calibri" w:hAnsi="Calibri"/>
                <w:color w:val="000000"/>
                <w:kern w:val="0"/>
                <w:sz w:val="20"/>
                <w:szCs w:val="20"/>
                <w14:ligatures w14:val="none"/>
              </w:rPr>
              <w:t>). In children 6 months to 4 years old, moderate malnutrition defined as MUAC 11.5-12.4cm and severe malnutrition defined as MUAC &lt;11.5cm. In children younger than 6 months, moderate malnutrition defined as &lt;11.0 cm.</w:t>
            </w:r>
            <w:r w:rsidRPr="00091B01">
              <w:rPr>
                <w:rFonts w:ascii="Calibri" w:hAnsi="Calibri"/>
                <w:color w:val="000000"/>
                <w:kern w:val="0"/>
                <w:sz w:val="20"/>
                <w:szCs w:val="20"/>
                <w14:ligatures w14:val="none"/>
              </w:rPr>
              <w:br/>
            </w:r>
            <w:r w:rsidRPr="00091B01">
              <w:rPr>
                <w:rFonts w:ascii="Calibri" w:hAnsi="Calibri"/>
                <w:color w:val="000000"/>
                <w:kern w:val="0"/>
                <w:sz w:val="20"/>
                <w:szCs w:val="20"/>
                <w14:ligatures w14:val="none"/>
              </w:rPr>
              <w:lastRenderedPageBreak/>
              <w:t>†† Received either a mRDT or blood smear as part of their routine clinical care</w:t>
            </w:r>
            <w:r w:rsidRPr="00091B01">
              <w:rPr>
                <w:rFonts w:ascii="Calibri" w:hAnsi="Calibri"/>
                <w:color w:val="000000" w:themeColor="text1"/>
                <w:sz w:val="20"/>
                <w:szCs w:val="20"/>
              </w:rPr>
              <w:t xml:space="preserve"> at the health facility</w:t>
            </w:r>
            <w:r w:rsidRPr="00091B01">
              <w:rPr>
                <w:rFonts w:ascii="Calibri" w:hAnsi="Calibri"/>
                <w:color w:val="000000"/>
                <w:kern w:val="0"/>
                <w:sz w:val="20"/>
                <w:szCs w:val="20"/>
                <w14:ligatures w14:val="none"/>
              </w:rPr>
              <w:t>.</w:t>
            </w:r>
            <w:r w:rsidRPr="00091B01">
              <w:rPr>
                <w:rFonts w:ascii="Calibri" w:hAnsi="Calibri"/>
                <w:color w:val="000000"/>
                <w:kern w:val="0"/>
                <w:sz w:val="20"/>
                <w:szCs w:val="20"/>
                <w14:ligatures w14:val="none"/>
              </w:rPr>
              <w:br/>
              <w:t>CI: confidence interval; HF: health facility; NA: not applicable; NC: not calculated; OR: odds ratio; m</w:t>
            </w:r>
            <w:r w:rsidRPr="00091B01">
              <w:rPr>
                <w:rFonts w:ascii="Calibri" w:hAnsi="Calibri"/>
                <w:color w:val="000000" w:themeColor="text1"/>
                <w:sz w:val="20"/>
                <w:szCs w:val="20"/>
              </w:rPr>
              <w:t xml:space="preserve">RDT: rapid diagnostic test; </w:t>
            </w:r>
            <w:r w:rsidRPr="00091B01">
              <w:rPr>
                <w:rFonts w:ascii="Calibri" w:hAnsi="Calibri"/>
                <w:color w:val="000000"/>
                <w:kern w:val="0"/>
                <w:sz w:val="20"/>
                <w:szCs w:val="20"/>
                <w14:ligatures w14:val="none"/>
              </w:rPr>
              <w:t>Ref: referent level.</w:t>
            </w:r>
          </w:p>
        </w:tc>
      </w:tr>
    </w:tbl>
    <w:p w14:paraId="7D3BA4AD" w14:textId="77777777" w:rsidR="0092526F" w:rsidRDefault="0092526F" w:rsidP="001407CA">
      <w:pPr>
        <w:spacing w:line="480" w:lineRule="auto"/>
      </w:pPr>
    </w:p>
    <w:sectPr w:rsidR="0092526F" w:rsidSect="00282BC1">
      <w:footnotePr>
        <w:numFmt w:val="chicago"/>
      </w:footnotePr>
      <w:endnotePr>
        <w:numFmt w:val="decimal"/>
      </w:endnotePr>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05B16A" w14:textId="77777777" w:rsidR="00596951" w:rsidRDefault="00596951" w:rsidP="009A0207">
      <w:pPr>
        <w:spacing w:after="0" w:line="240" w:lineRule="auto"/>
      </w:pPr>
      <w:r>
        <w:separator/>
      </w:r>
    </w:p>
  </w:endnote>
  <w:endnote w:type="continuationSeparator" w:id="0">
    <w:p w14:paraId="29C8A1D4" w14:textId="77777777" w:rsidR="00596951" w:rsidRDefault="00596951" w:rsidP="009A0207">
      <w:pPr>
        <w:spacing w:after="0" w:line="240" w:lineRule="auto"/>
      </w:pPr>
      <w:r>
        <w:continuationSeparator/>
      </w:r>
    </w:p>
  </w:endnote>
  <w:endnote w:type="continuationNotice" w:id="1">
    <w:p w14:paraId="221B81B2" w14:textId="77777777" w:rsidR="00596951" w:rsidRDefault="0059695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27EF40" w14:textId="77777777" w:rsidR="00596951" w:rsidRDefault="00596951" w:rsidP="009A0207">
      <w:pPr>
        <w:spacing w:after="0" w:line="240" w:lineRule="auto"/>
      </w:pPr>
      <w:r>
        <w:separator/>
      </w:r>
    </w:p>
  </w:footnote>
  <w:footnote w:type="continuationSeparator" w:id="0">
    <w:p w14:paraId="0860F3D6" w14:textId="77777777" w:rsidR="00596951" w:rsidRDefault="00596951" w:rsidP="009A0207">
      <w:pPr>
        <w:spacing w:after="0" w:line="240" w:lineRule="auto"/>
      </w:pPr>
      <w:r>
        <w:continuationSeparator/>
      </w:r>
    </w:p>
  </w:footnote>
  <w:footnote w:type="continuationNotice" w:id="1">
    <w:p w14:paraId="14982C75" w14:textId="77777777" w:rsidR="00596951" w:rsidRDefault="00596951">
      <w:pPr>
        <w:spacing w:after="0" w:line="240" w:lineRule="auto"/>
      </w:pPr>
    </w:p>
  </w:footnote>
  <w:footnote w:id="2">
    <w:p w14:paraId="6C0EFA6F" w14:textId="7C516EE1" w:rsidR="001316A2" w:rsidRDefault="004C6147" w:rsidP="001316A2">
      <w:pPr>
        <w:pStyle w:val="FootnoteText"/>
      </w:pPr>
      <w:r>
        <w:rPr>
          <w:vertAlign w:val="superscript"/>
        </w:rPr>
        <w:t>*</w:t>
      </w:r>
      <w:r w:rsidRPr="004C6147">
        <w:rPr>
          <w:vertAlign w:val="superscript"/>
        </w:rPr>
        <w:t>*</w:t>
      </w:r>
      <w:r w:rsidR="001316A2" w:rsidRPr="00BD246E">
        <w:t xml:space="preserve"> Undifferentiated fever was defined as AFI without evidence of lower respiratory tract infection (cough or shortness of breath plus tachypnea or abnormalities on respiratory examination), diarrhea (≥3 loose stools in a 24-hour period), or another focus of fever based on history and physical examination (e.g., meningitis, skin/soft tissue infection).</w:t>
      </w:r>
    </w:p>
    <w:p w14:paraId="15AA7760" w14:textId="77777777" w:rsidR="001316A2" w:rsidRDefault="001316A2" w:rsidP="001316A2">
      <w:pPr>
        <w:pStyle w:val="FootnoteText"/>
      </w:pPr>
      <w:r>
        <w:rPr>
          <w:rStyle w:val="FootnoteReference"/>
        </w:rPr>
        <w:footnoteRef/>
      </w:r>
      <w:r>
        <w:t xml:space="preserve"> From June 2017 to October 2022, the TAC assay included targets for </w:t>
      </w:r>
      <w:r w:rsidRPr="009A7734">
        <w:rPr>
          <w:i/>
          <w:iCs/>
        </w:rPr>
        <w:t>Bartonella</w:t>
      </w:r>
      <w:r>
        <w:t xml:space="preserve">, </w:t>
      </w:r>
      <w:r w:rsidRPr="009A7734">
        <w:rPr>
          <w:i/>
          <w:iCs/>
        </w:rPr>
        <w:t>Brucella</w:t>
      </w:r>
      <w:r>
        <w:t xml:space="preserve">, Ebola virus, Bundibugyo virus, </w:t>
      </w:r>
      <w:r w:rsidRPr="009A7734">
        <w:rPr>
          <w:i/>
          <w:iCs/>
        </w:rPr>
        <w:t>Coxiella burnetii</w:t>
      </w:r>
      <w:r>
        <w:t xml:space="preserve">, Crimean-Congo hemorrhagic fever virus, chickungunya virus, dengue virus, hepatitis E virus, lassa virus, </w:t>
      </w:r>
      <w:r w:rsidRPr="009A7734">
        <w:rPr>
          <w:i/>
          <w:iCs/>
        </w:rPr>
        <w:t>Leishmania</w:t>
      </w:r>
      <w:r>
        <w:t xml:space="preserve">, </w:t>
      </w:r>
      <w:r w:rsidRPr="009A7734">
        <w:rPr>
          <w:i/>
          <w:iCs/>
        </w:rPr>
        <w:t>Leptospira</w:t>
      </w:r>
      <w:r>
        <w:t xml:space="preserve">, Marburg virus, Nipah virus, O'nyong'nyong virus, </w:t>
      </w:r>
      <w:r w:rsidRPr="009A7734">
        <w:rPr>
          <w:i/>
          <w:iCs/>
        </w:rPr>
        <w:t>Plasmodium</w:t>
      </w:r>
      <w:r>
        <w:t xml:space="preserve">, </w:t>
      </w:r>
      <w:r w:rsidRPr="009A7734">
        <w:rPr>
          <w:i/>
          <w:iCs/>
        </w:rPr>
        <w:t>Rickettsia</w:t>
      </w:r>
      <w:r>
        <w:t xml:space="preserve">, Rift Valley Fever virus, </w:t>
      </w:r>
      <w:r w:rsidRPr="009A7734">
        <w:rPr>
          <w:i/>
          <w:iCs/>
        </w:rPr>
        <w:t>Salmonella</w:t>
      </w:r>
      <w:r>
        <w:t xml:space="preserve">, </w:t>
      </w:r>
      <w:r w:rsidRPr="009A7734">
        <w:rPr>
          <w:i/>
          <w:iCs/>
        </w:rPr>
        <w:t xml:space="preserve">Salmonella </w:t>
      </w:r>
      <w:r w:rsidRPr="19D7159A">
        <w:rPr>
          <w:i/>
          <w:iCs/>
        </w:rPr>
        <w:t>t</w:t>
      </w:r>
      <w:r w:rsidRPr="009A7734">
        <w:rPr>
          <w:i/>
          <w:iCs/>
        </w:rPr>
        <w:t>yphi</w:t>
      </w:r>
      <w:r>
        <w:t xml:space="preserve">, HIV I, HIV II, Sudan (ebola) virus, </w:t>
      </w:r>
      <w:r w:rsidRPr="009A7734">
        <w:rPr>
          <w:i/>
          <w:iCs/>
        </w:rPr>
        <w:t>Trypanosoma bruceii,</w:t>
      </w:r>
      <w:r>
        <w:t xml:space="preserve"> West Nile virus, </w:t>
      </w:r>
      <w:r w:rsidRPr="009A7734">
        <w:rPr>
          <w:i/>
          <w:iCs/>
        </w:rPr>
        <w:t>Yers</w:t>
      </w:r>
      <w:r w:rsidRPr="19D7159A">
        <w:rPr>
          <w:i/>
          <w:iCs/>
        </w:rPr>
        <w:t>i</w:t>
      </w:r>
      <w:r w:rsidRPr="009A7734">
        <w:rPr>
          <w:i/>
          <w:iCs/>
        </w:rPr>
        <w:t>nia pestis,</w:t>
      </w:r>
      <w:r>
        <w:t xml:space="preserve"> yellow fever virus, and Zika virus. The TAC assay was updated in November 2020 to add additional targets, including: Burkholderia pseudomallei, Lassa virus, Orientia tsutsugamushi, Oropouche virus, Plasmodium falciparum, Plasmodium vivax, Streptococcus pneumoniae, Salmonella paratyphi A, and Zika virus tha</w:t>
      </w:r>
      <w:r w:rsidRPr="00D57FB4">
        <w:t xml:space="preserve">t </w:t>
      </w:r>
      <w:r w:rsidRPr="00276408">
        <w:t>detects 32 pathogens including 15 viral, 12 bacterial, and 5 protozoal pathogens through real-time PCR.</w:t>
      </w:r>
    </w:p>
    <w:p w14:paraId="2E59B314" w14:textId="0647EFF7" w:rsidR="00B11BEA" w:rsidRDefault="00B11BEA" w:rsidP="00B11BEA">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C76E3F"/>
    <w:multiLevelType w:val="hybridMultilevel"/>
    <w:tmpl w:val="4FA4C216"/>
    <w:lvl w:ilvl="0" w:tplc="A0E893E6">
      <w:start w:val="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8B2A1D"/>
    <w:multiLevelType w:val="multilevel"/>
    <w:tmpl w:val="F25E9632"/>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B070D92"/>
    <w:multiLevelType w:val="hybridMultilevel"/>
    <w:tmpl w:val="A3441272"/>
    <w:lvl w:ilvl="0" w:tplc="DE02B4C0">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0B7809"/>
    <w:multiLevelType w:val="hybridMultilevel"/>
    <w:tmpl w:val="95962F60"/>
    <w:lvl w:ilvl="0" w:tplc="E83E34BE">
      <w:start w:val="1"/>
      <w:numFmt w:val="decimal"/>
      <w:lvlText w:val="%1)"/>
      <w:lvlJc w:val="left"/>
      <w:pPr>
        <w:ind w:left="1020" w:hanging="360"/>
      </w:pPr>
    </w:lvl>
    <w:lvl w:ilvl="1" w:tplc="B7C6CF4A">
      <w:start w:val="1"/>
      <w:numFmt w:val="decimal"/>
      <w:lvlText w:val="%2)"/>
      <w:lvlJc w:val="left"/>
      <w:pPr>
        <w:ind w:left="1020" w:hanging="360"/>
      </w:pPr>
    </w:lvl>
    <w:lvl w:ilvl="2" w:tplc="FE70DB46">
      <w:start w:val="1"/>
      <w:numFmt w:val="decimal"/>
      <w:lvlText w:val="%3)"/>
      <w:lvlJc w:val="left"/>
      <w:pPr>
        <w:ind w:left="1020" w:hanging="360"/>
      </w:pPr>
    </w:lvl>
    <w:lvl w:ilvl="3" w:tplc="A3C2C6E0">
      <w:start w:val="1"/>
      <w:numFmt w:val="decimal"/>
      <w:lvlText w:val="%4)"/>
      <w:lvlJc w:val="left"/>
      <w:pPr>
        <w:ind w:left="1020" w:hanging="360"/>
      </w:pPr>
    </w:lvl>
    <w:lvl w:ilvl="4" w:tplc="285CB52E">
      <w:start w:val="1"/>
      <w:numFmt w:val="decimal"/>
      <w:lvlText w:val="%5)"/>
      <w:lvlJc w:val="left"/>
      <w:pPr>
        <w:ind w:left="1020" w:hanging="360"/>
      </w:pPr>
    </w:lvl>
    <w:lvl w:ilvl="5" w:tplc="4B04665C">
      <w:start w:val="1"/>
      <w:numFmt w:val="decimal"/>
      <w:lvlText w:val="%6)"/>
      <w:lvlJc w:val="left"/>
      <w:pPr>
        <w:ind w:left="1020" w:hanging="360"/>
      </w:pPr>
    </w:lvl>
    <w:lvl w:ilvl="6" w:tplc="6938EC9A">
      <w:start w:val="1"/>
      <w:numFmt w:val="decimal"/>
      <w:lvlText w:val="%7)"/>
      <w:lvlJc w:val="left"/>
      <w:pPr>
        <w:ind w:left="1020" w:hanging="360"/>
      </w:pPr>
    </w:lvl>
    <w:lvl w:ilvl="7" w:tplc="899C8DAA">
      <w:start w:val="1"/>
      <w:numFmt w:val="decimal"/>
      <w:lvlText w:val="%8)"/>
      <w:lvlJc w:val="left"/>
      <w:pPr>
        <w:ind w:left="1020" w:hanging="360"/>
      </w:pPr>
    </w:lvl>
    <w:lvl w:ilvl="8" w:tplc="173A5E12">
      <w:start w:val="1"/>
      <w:numFmt w:val="decimal"/>
      <w:lvlText w:val="%9)"/>
      <w:lvlJc w:val="left"/>
      <w:pPr>
        <w:ind w:left="1020" w:hanging="360"/>
      </w:pPr>
    </w:lvl>
  </w:abstractNum>
  <w:abstractNum w:abstractNumId="4" w15:restartNumberingAfterBreak="0">
    <w:nsid w:val="2B657CD0"/>
    <w:multiLevelType w:val="hybridMultilevel"/>
    <w:tmpl w:val="39526D4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330F150C"/>
    <w:multiLevelType w:val="hybridMultilevel"/>
    <w:tmpl w:val="4B76587A"/>
    <w:lvl w:ilvl="0" w:tplc="B874C3B2">
      <w:start w:val="1"/>
      <w:numFmt w:val="decimal"/>
      <w:lvlText w:val="%1."/>
      <w:lvlJc w:val="left"/>
      <w:pPr>
        <w:ind w:left="1020" w:hanging="360"/>
      </w:pPr>
    </w:lvl>
    <w:lvl w:ilvl="1" w:tplc="0FEC3DE6">
      <w:start w:val="1"/>
      <w:numFmt w:val="decimal"/>
      <w:lvlText w:val="%2."/>
      <w:lvlJc w:val="left"/>
      <w:pPr>
        <w:ind w:left="1020" w:hanging="360"/>
      </w:pPr>
    </w:lvl>
    <w:lvl w:ilvl="2" w:tplc="F156F8A0">
      <w:start w:val="1"/>
      <w:numFmt w:val="decimal"/>
      <w:lvlText w:val="%3."/>
      <w:lvlJc w:val="left"/>
      <w:pPr>
        <w:ind w:left="1020" w:hanging="360"/>
      </w:pPr>
    </w:lvl>
    <w:lvl w:ilvl="3" w:tplc="BA5C03B2">
      <w:start w:val="1"/>
      <w:numFmt w:val="decimal"/>
      <w:lvlText w:val="%4."/>
      <w:lvlJc w:val="left"/>
      <w:pPr>
        <w:ind w:left="1020" w:hanging="360"/>
      </w:pPr>
    </w:lvl>
    <w:lvl w:ilvl="4" w:tplc="1E86846E">
      <w:start w:val="1"/>
      <w:numFmt w:val="decimal"/>
      <w:lvlText w:val="%5."/>
      <w:lvlJc w:val="left"/>
      <w:pPr>
        <w:ind w:left="1020" w:hanging="360"/>
      </w:pPr>
    </w:lvl>
    <w:lvl w:ilvl="5" w:tplc="D01C5A14">
      <w:start w:val="1"/>
      <w:numFmt w:val="decimal"/>
      <w:lvlText w:val="%6."/>
      <w:lvlJc w:val="left"/>
      <w:pPr>
        <w:ind w:left="1020" w:hanging="360"/>
      </w:pPr>
    </w:lvl>
    <w:lvl w:ilvl="6" w:tplc="3C34FA8E">
      <w:start w:val="1"/>
      <w:numFmt w:val="decimal"/>
      <w:lvlText w:val="%7."/>
      <w:lvlJc w:val="left"/>
      <w:pPr>
        <w:ind w:left="1020" w:hanging="360"/>
      </w:pPr>
    </w:lvl>
    <w:lvl w:ilvl="7" w:tplc="D64CA0F8">
      <w:start w:val="1"/>
      <w:numFmt w:val="decimal"/>
      <w:lvlText w:val="%8."/>
      <w:lvlJc w:val="left"/>
      <w:pPr>
        <w:ind w:left="1020" w:hanging="360"/>
      </w:pPr>
    </w:lvl>
    <w:lvl w:ilvl="8" w:tplc="F850AB48">
      <w:start w:val="1"/>
      <w:numFmt w:val="decimal"/>
      <w:lvlText w:val="%9."/>
      <w:lvlJc w:val="left"/>
      <w:pPr>
        <w:ind w:left="1020" w:hanging="360"/>
      </w:pPr>
    </w:lvl>
  </w:abstractNum>
  <w:abstractNum w:abstractNumId="6" w15:restartNumberingAfterBreak="0">
    <w:nsid w:val="5710364C"/>
    <w:multiLevelType w:val="hybridMultilevel"/>
    <w:tmpl w:val="7A86D94A"/>
    <w:lvl w:ilvl="0" w:tplc="260AB4F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E372E2A"/>
    <w:multiLevelType w:val="hybridMultilevel"/>
    <w:tmpl w:val="8B9673A2"/>
    <w:lvl w:ilvl="0" w:tplc="74D2FE22">
      <w:start w:val="1"/>
      <w:numFmt w:val="decimal"/>
      <w:lvlText w:val="%1."/>
      <w:lvlJc w:val="left"/>
      <w:pPr>
        <w:ind w:left="1020" w:hanging="360"/>
      </w:pPr>
    </w:lvl>
    <w:lvl w:ilvl="1" w:tplc="267264C2">
      <w:start w:val="1"/>
      <w:numFmt w:val="decimal"/>
      <w:lvlText w:val="%2."/>
      <w:lvlJc w:val="left"/>
      <w:pPr>
        <w:ind w:left="1020" w:hanging="360"/>
      </w:pPr>
    </w:lvl>
    <w:lvl w:ilvl="2" w:tplc="05C80DFA">
      <w:start w:val="1"/>
      <w:numFmt w:val="decimal"/>
      <w:lvlText w:val="%3."/>
      <w:lvlJc w:val="left"/>
      <w:pPr>
        <w:ind w:left="1020" w:hanging="360"/>
      </w:pPr>
    </w:lvl>
    <w:lvl w:ilvl="3" w:tplc="98F0AA9E">
      <w:start w:val="1"/>
      <w:numFmt w:val="decimal"/>
      <w:lvlText w:val="%4."/>
      <w:lvlJc w:val="left"/>
      <w:pPr>
        <w:ind w:left="1020" w:hanging="360"/>
      </w:pPr>
    </w:lvl>
    <w:lvl w:ilvl="4" w:tplc="E076BD5E">
      <w:start w:val="1"/>
      <w:numFmt w:val="decimal"/>
      <w:lvlText w:val="%5."/>
      <w:lvlJc w:val="left"/>
      <w:pPr>
        <w:ind w:left="1020" w:hanging="360"/>
      </w:pPr>
    </w:lvl>
    <w:lvl w:ilvl="5" w:tplc="6D84E15A">
      <w:start w:val="1"/>
      <w:numFmt w:val="decimal"/>
      <w:lvlText w:val="%6."/>
      <w:lvlJc w:val="left"/>
      <w:pPr>
        <w:ind w:left="1020" w:hanging="360"/>
      </w:pPr>
    </w:lvl>
    <w:lvl w:ilvl="6" w:tplc="E088432C">
      <w:start w:val="1"/>
      <w:numFmt w:val="decimal"/>
      <w:lvlText w:val="%7."/>
      <w:lvlJc w:val="left"/>
      <w:pPr>
        <w:ind w:left="1020" w:hanging="360"/>
      </w:pPr>
    </w:lvl>
    <w:lvl w:ilvl="7" w:tplc="75862EAA">
      <w:start w:val="1"/>
      <w:numFmt w:val="decimal"/>
      <w:lvlText w:val="%8."/>
      <w:lvlJc w:val="left"/>
      <w:pPr>
        <w:ind w:left="1020" w:hanging="360"/>
      </w:pPr>
    </w:lvl>
    <w:lvl w:ilvl="8" w:tplc="A282E770">
      <w:start w:val="1"/>
      <w:numFmt w:val="decimal"/>
      <w:lvlText w:val="%9."/>
      <w:lvlJc w:val="left"/>
      <w:pPr>
        <w:ind w:left="1020" w:hanging="360"/>
      </w:pPr>
    </w:lvl>
  </w:abstractNum>
  <w:abstractNum w:abstractNumId="8" w15:restartNumberingAfterBreak="0">
    <w:nsid w:val="650248CC"/>
    <w:multiLevelType w:val="hybridMultilevel"/>
    <w:tmpl w:val="0CDE225A"/>
    <w:lvl w:ilvl="0" w:tplc="5FD04786">
      <w:start w:val="1"/>
      <w:numFmt w:val="decimal"/>
      <w:lvlText w:val="%1."/>
      <w:lvlJc w:val="left"/>
      <w:pPr>
        <w:ind w:left="1020" w:hanging="360"/>
      </w:pPr>
    </w:lvl>
    <w:lvl w:ilvl="1" w:tplc="42DEA312">
      <w:start w:val="1"/>
      <w:numFmt w:val="decimal"/>
      <w:lvlText w:val="%2."/>
      <w:lvlJc w:val="left"/>
      <w:pPr>
        <w:ind w:left="1020" w:hanging="360"/>
      </w:pPr>
    </w:lvl>
    <w:lvl w:ilvl="2" w:tplc="7DC2DD40">
      <w:start w:val="1"/>
      <w:numFmt w:val="decimal"/>
      <w:lvlText w:val="%3."/>
      <w:lvlJc w:val="left"/>
      <w:pPr>
        <w:ind w:left="1020" w:hanging="360"/>
      </w:pPr>
    </w:lvl>
    <w:lvl w:ilvl="3" w:tplc="97FC0532">
      <w:start w:val="1"/>
      <w:numFmt w:val="decimal"/>
      <w:lvlText w:val="%4."/>
      <w:lvlJc w:val="left"/>
      <w:pPr>
        <w:ind w:left="1020" w:hanging="360"/>
      </w:pPr>
    </w:lvl>
    <w:lvl w:ilvl="4" w:tplc="CE8ED0AC">
      <w:start w:val="1"/>
      <w:numFmt w:val="decimal"/>
      <w:lvlText w:val="%5."/>
      <w:lvlJc w:val="left"/>
      <w:pPr>
        <w:ind w:left="1020" w:hanging="360"/>
      </w:pPr>
    </w:lvl>
    <w:lvl w:ilvl="5" w:tplc="CEE00FA8">
      <w:start w:val="1"/>
      <w:numFmt w:val="decimal"/>
      <w:lvlText w:val="%6."/>
      <w:lvlJc w:val="left"/>
      <w:pPr>
        <w:ind w:left="1020" w:hanging="360"/>
      </w:pPr>
    </w:lvl>
    <w:lvl w:ilvl="6" w:tplc="20DCD866">
      <w:start w:val="1"/>
      <w:numFmt w:val="decimal"/>
      <w:lvlText w:val="%7."/>
      <w:lvlJc w:val="left"/>
      <w:pPr>
        <w:ind w:left="1020" w:hanging="360"/>
      </w:pPr>
    </w:lvl>
    <w:lvl w:ilvl="7" w:tplc="42A8B6B4">
      <w:start w:val="1"/>
      <w:numFmt w:val="decimal"/>
      <w:lvlText w:val="%8."/>
      <w:lvlJc w:val="left"/>
      <w:pPr>
        <w:ind w:left="1020" w:hanging="360"/>
      </w:pPr>
    </w:lvl>
    <w:lvl w:ilvl="8" w:tplc="A04C16D4">
      <w:start w:val="1"/>
      <w:numFmt w:val="decimal"/>
      <w:lvlText w:val="%9."/>
      <w:lvlJc w:val="left"/>
      <w:pPr>
        <w:ind w:left="1020" w:hanging="360"/>
      </w:pPr>
    </w:lvl>
  </w:abstractNum>
  <w:num w:numId="1" w16cid:durableId="1285846651">
    <w:abstractNumId w:val="6"/>
  </w:num>
  <w:num w:numId="2" w16cid:durableId="759445336">
    <w:abstractNumId w:val="5"/>
  </w:num>
  <w:num w:numId="3" w16cid:durableId="147405809">
    <w:abstractNumId w:val="8"/>
  </w:num>
  <w:num w:numId="4" w16cid:durableId="609168668">
    <w:abstractNumId w:val="0"/>
  </w:num>
  <w:num w:numId="5" w16cid:durableId="868492470">
    <w:abstractNumId w:val="7"/>
  </w:num>
  <w:num w:numId="6" w16cid:durableId="315109077">
    <w:abstractNumId w:val="2"/>
  </w:num>
  <w:num w:numId="7" w16cid:durableId="734669297">
    <w:abstractNumId w:val="4"/>
  </w:num>
  <w:num w:numId="8" w16cid:durableId="655719218">
    <w:abstractNumId w:val="3"/>
  </w:num>
  <w:num w:numId="9" w16cid:durableId="181352291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numFmt w:val="chicago"/>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4356"/>
    <w:rsid w:val="000003DA"/>
    <w:rsid w:val="00000553"/>
    <w:rsid w:val="00001181"/>
    <w:rsid w:val="00001731"/>
    <w:rsid w:val="00001ACC"/>
    <w:rsid w:val="000033EA"/>
    <w:rsid w:val="00003757"/>
    <w:rsid w:val="000040B6"/>
    <w:rsid w:val="00004B8C"/>
    <w:rsid w:val="00005864"/>
    <w:rsid w:val="00006232"/>
    <w:rsid w:val="0000654F"/>
    <w:rsid w:val="000065FD"/>
    <w:rsid w:val="00006EEA"/>
    <w:rsid w:val="00007F34"/>
    <w:rsid w:val="00007F4D"/>
    <w:rsid w:val="00010E6F"/>
    <w:rsid w:val="00011508"/>
    <w:rsid w:val="000127F8"/>
    <w:rsid w:val="00013FEC"/>
    <w:rsid w:val="00014357"/>
    <w:rsid w:val="000147A8"/>
    <w:rsid w:val="00015F58"/>
    <w:rsid w:val="00016084"/>
    <w:rsid w:val="00016C65"/>
    <w:rsid w:val="00017306"/>
    <w:rsid w:val="00017BDA"/>
    <w:rsid w:val="00020265"/>
    <w:rsid w:val="000206A4"/>
    <w:rsid w:val="00020C42"/>
    <w:rsid w:val="0002188F"/>
    <w:rsid w:val="000220D9"/>
    <w:rsid w:val="000230E4"/>
    <w:rsid w:val="00023296"/>
    <w:rsid w:val="00023480"/>
    <w:rsid w:val="00023FEF"/>
    <w:rsid w:val="00026F43"/>
    <w:rsid w:val="00027204"/>
    <w:rsid w:val="000278C7"/>
    <w:rsid w:val="00027A2C"/>
    <w:rsid w:val="0002A2DE"/>
    <w:rsid w:val="00030236"/>
    <w:rsid w:val="00030A2A"/>
    <w:rsid w:val="00030EAD"/>
    <w:rsid w:val="00031055"/>
    <w:rsid w:val="00031C5C"/>
    <w:rsid w:val="000340B7"/>
    <w:rsid w:val="000359FA"/>
    <w:rsid w:val="00036271"/>
    <w:rsid w:val="0003678F"/>
    <w:rsid w:val="00036A14"/>
    <w:rsid w:val="00037225"/>
    <w:rsid w:val="00037A4E"/>
    <w:rsid w:val="000420BA"/>
    <w:rsid w:val="00042377"/>
    <w:rsid w:val="00042A5D"/>
    <w:rsid w:val="00042E6F"/>
    <w:rsid w:val="0004313A"/>
    <w:rsid w:val="0004416C"/>
    <w:rsid w:val="000443CA"/>
    <w:rsid w:val="000445D8"/>
    <w:rsid w:val="00044891"/>
    <w:rsid w:val="000448A0"/>
    <w:rsid w:val="00044C05"/>
    <w:rsid w:val="0004557D"/>
    <w:rsid w:val="00045C79"/>
    <w:rsid w:val="000468C8"/>
    <w:rsid w:val="00046950"/>
    <w:rsid w:val="00047143"/>
    <w:rsid w:val="000476EE"/>
    <w:rsid w:val="00047BFB"/>
    <w:rsid w:val="00047D89"/>
    <w:rsid w:val="00047F8E"/>
    <w:rsid w:val="00050A08"/>
    <w:rsid w:val="00050A1F"/>
    <w:rsid w:val="00050CB1"/>
    <w:rsid w:val="000516F9"/>
    <w:rsid w:val="000517C1"/>
    <w:rsid w:val="00051A60"/>
    <w:rsid w:val="000523B8"/>
    <w:rsid w:val="00052907"/>
    <w:rsid w:val="00053518"/>
    <w:rsid w:val="00053DAF"/>
    <w:rsid w:val="00055ACB"/>
    <w:rsid w:val="0005639F"/>
    <w:rsid w:val="0005661F"/>
    <w:rsid w:val="0005667C"/>
    <w:rsid w:val="00057DFE"/>
    <w:rsid w:val="00060400"/>
    <w:rsid w:val="000610A2"/>
    <w:rsid w:val="0006112D"/>
    <w:rsid w:val="00061666"/>
    <w:rsid w:val="0006186A"/>
    <w:rsid w:val="000618BD"/>
    <w:rsid w:val="000618BE"/>
    <w:rsid w:val="00061EE3"/>
    <w:rsid w:val="00062658"/>
    <w:rsid w:val="00062780"/>
    <w:rsid w:val="000631C7"/>
    <w:rsid w:val="00063FC6"/>
    <w:rsid w:val="00064780"/>
    <w:rsid w:val="000647BF"/>
    <w:rsid w:val="0006492A"/>
    <w:rsid w:val="00064B76"/>
    <w:rsid w:val="00064E16"/>
    <w:rsid w:val="00065799"/>
    <w:rsid w:val="00065919"/>
    <w:rsid w:val="00065B13"/>
    <w:rsid w:val="00066274"/>
    <w:rsid w:val="00066C2D"/>
    <w:rsid w:val="00066D8E"/>
    <w:rsid w:val="00066D98"/>
    <w:rsid w:val="0006750C"/>
    <w:rsid w:val="0006AE2C"/>
    <w:rsid w:val="000706C5"/>
    <w:rsid w:val="00070763"/>
    <w:rsid w:val="000716F1"/>
    <w:rsid w:val="00072356"/>
    <w:rsid w:val="00073180"/>
    <w:rsid w:val="00073355"/>
    <w:rsid w:val="000738B3"/>
    <w:rsid w:val="00073D16"/>
    <w:rsid w:val="000763AF"/>
    <w:rsid w:val="00077B78"/>
    <w:rsid w:val="00077E6D"/>
    <w:rsid w:val="00080E9C"/>
    <w:rsid w:val="00081DC3"/>
    <w:rsid w:val="0008289A"/>
    <w:rsid w:val="00083874"/>
    <w:rsid w:val="000840B8"/>
    <w:rsid w:val="000842FC"/>
    <w:rsid w:val="00084C9A"/>
    <w:rsid w:val="00085AF6"/>
    <w:rsid w:val="00085E34"/>
    <w:rsid w:val="00086DB5"/>
    <w:rsid w:val="00086F3F"/>
    <w:rsid w:val="000871A9"/>
    <w:rsid w:val="00087CBF"/>
    <w:rsid w:val="0009060B"/>
    <w:rsid w:val="00090B8B"/>
    <w:rsid w:val="0009137E"/>
    <w:rsid w:val="00091B01"/>
    <w:rsid w:val="00091BB3"/>
    <w:rsid w:val="00091FBB"/>
    <w:rsid w:val="000924B2"/>
    <w:rsid w:val="000933B3"/>
    <w:rsid w:val="00093B25"/>
    <w:rsid w:val="00093C47"/>
    <w:rsid w:val="00093E98"/>
    <w:rsid w:val="00094DF0"/>
    <w:rsid w:val="0009518A"/>
    <w:rsid w:val="00095299"/>
    <w:rsid w:val="00095521"/>
    <w:rsid w:val="00095AFD"/>
    <w:rsid w:val="0009650C"/>
    <w:rsid w:val="000A0DD8"/>
    <w:rsid w:val="000A28DB"/>
    <w:rsid w:val="000A2C04"/>
    <w:rsid w:val="000A2E8A"/>
    <w:rsid w:val="000A4139"/>
    <w:rsid w:val="000A46B6"/>
    <w:rsid w:val="000A4CAC"/>
    <w:rsid w:val="000A5D58"/>
    <w:rsid w:val="000A64DB"/>
    <w:rsid w:val="000A71E1"/>
    <w:rsid w:val="000A72C6"/>
    <w:rsid w:val="000B00FB"/>
    <w:rsid w:val="000B01FF"/>
    <w:rsid w:val="000B02DD"/>
    <w:rsid w:val="000B049F"/>
    <w:rsid w:val="000B0A8A"/>
    <w:rsid w:val="000B1085"/>
    <w:rsid w:val="000B1955"/>
    <w:rsid w:val="000B1AAA"/>
    <w:rsid w:val="000B1C7B"/>
    <w:rsid w:val="000B219C"/>
    <w:rsid w:val="000B2330"/>
    <w:rsid w:val="000B2558"/>
    <w:rsid w:val="000B27DC"/>
    <w:rsid w:val="000B3388"/>
    <w:rsid w:val="000B3FB9"/>
    <w:rsid w:val="000B3FDB"/>
    <w:rsid w:val="000B43D0"/>
    <w:rsid w:val="000B53A4"/>
    <w:rsid w:val="000B55EF"/>
    <w:rsid w:val="000B56A1"/>
    <w:rsid w:val="000B68B9"/>
    <w:rsid w:val="000B71AB"/>
    <w:rsid w:val="000B73E1"/>
    <w:rsid w:val="000B7460"/>
    <w:rsid w:val="000B7FC8"/>
    <w:rsid w:val="000C093C"/>
    <w:rsid w:val="000C17B6"/>
    <w:rsid w:val="000C22C4"/>
    <w:rsid w:val="000C28DE"/>
    <w:rsid w:val="000C3637"/>
    <w:rsid w:val="000C3D5D"/>
    <w:rsid w:val="000C41F8"/>
    <w:rsid w:val="000C4404"/>
    <w:rsid w:val="000C45AE"/>
    <w:rsid w:val="000C47B6"/>
    <w:rsid w:val="000C6253"/>
    <w:rsid w:val="000C632A"/>
    <w:rsid w:val="000C6CD6"/>
    <w:rsid w:val="000C759C"/>
    <w:rsid w:val="000D0124"/>
    <w:rsid w:val="000D1D70"/>
    <w:rsid w:val="000D1E42"/>
    <w:rsid w:val="000D3FFD"/>
    <w:rsid w:val="000D5027"/>
    <w:rsid w:val="000D54BC"/>
    <w:rsid w:val="000D5F96"/>
    <w:rsid w:val="000D7789"/>
    <w:rsid w:val="000E0825"/>
    <w:rsid w:val="000E0B31"/>
    <w:rsid w:val="000E0E3E"/>
    <w:rsid w:val="000E0ED9"/>
    <w:rsid w:val="000E120D"/>
    <w:rsid w:val="000E153A"/>
    <w:rsid w:val="000E26F4"/>
    <w:rsid w:val="000E349E"/>
    <w:rsid w:val="000E38F2"/>
    <w:rsid w:val="000E3965"/>
    <w:rsid w:val="000E5174"/>
    <w:rsid w:val="000E54F9"/>
    <w:rsid w:val="000E59F8"/>
    <w:rsid w:val="000E5EA6"/>
    <w:rsid w:val="000E6239"/>
    <w:rsid w:val="000E72F3"/>
    <w:rsid w:val="000E74BF"/>
    <w:rsid w:val="000F0B4A"/>
    <w:rsid w:val="000F1793"/>
    <w:rsid w:val="000F263D"/>
    <w:rsid w:val="000F2871"/>
    <w:rsid w:val="000F28D3"/>
    <w:rsid w:val="000F3B3A"/>
    <w:rsid w:val="000F4375"/>
    <w:rsid w:val="000F515B"/>
    <w:rsid w:val="000F582F"/>
    <w:rsid w:val="000F5A5B"/>
    <w:rsid w:val="000F6A26"/>
    <w:rsid w:val="00100839"/>
    <w:rsid w:val="00100E9F"/>
    <w:rsid w:val="0010108E"/>
    <w:rsid w:val="001011A9"/>
    <w:rsid w:val="00101279"/>
    <w:rsid w:val="001012CA"/>
    <w:rsid w:val="00101576"/>
    <w:rsid w:val="00101EB0"/>
    <w:rsid w:val="001022EE"/>
    <w:rsid w:val="00102449"/>
    <w:rsid w:val="001025D3"/>
    <w:rsid w:val="00102F9A"/>
    <w:rsid w:val="00103C7D"/>
    <w:rsid w:val="00103E49"/>
    <w:rsid w:val="001048CB"/>
    <w:rsid w:val="00104BC8"/>
    <w:rsid w:val="00105534"/>
    <w:rsid w:val="00105597"/>
    <w:rsid w:val="001057A8"/>
    <w:rsid w:val="0010605E"/>
    <w:rsid w:val="001062C9"/>
    <w:rsid w:val="00107B50"/>
    <w:rsid w:val="00107BCA"/>
    <w:rsid w:val="00110A0F"/>
    <w:rsid w:val="00111695"/>
    <w:rsid w:val="00111D98"/>
    <w:rsid w:val="00112286"/>
    <w:rsid w:val="001134C6"/>
    <w:rsid w:val="0011378F"/>
    <w:rsid w:val="001138BD"/>
    <w:rsid w:val="0011435A"/>
    <w:rsid w:val="00114B06"/>
    <w:rsid w:val="001155F4"/>
    <w:rsid w:val="00116457"/>
    <w:rsid w:val="00116839"/>
    <w:rsid w:val="00116EE0"/>
    <w:rsid w:val="001204BE"/>
    <w:rsid w:val="0012140F"/>
    <w:rsid w:val="001217AA"/>
    <w:rsid w:val="00121E60"/>
    <w:rsid w:val="00122926"/>
    <w:rsid w:val="001229D8"/>
    <w:rsid w:val="00122ECC"/>
    <w:rsid w:val="001234FE"/>
    <w:rsid w:val="001239A0"/>
    <w:rsid w:val="00123C6B"/>
    <w:rsid w:val="00124A95"/>
    <w:rsid w:val="00124EFC"/>
    <w:rsid w:val="00124F13"/>
    <w:rsid w:val="001255C2"/>
    <w:rsid w:val="00126104"/>
    <w:rsid w:val="0012655D"/>
    <w:rsid w:val="001275E2"/>
    <w:rsid w:val="00127BB3"/>
    <w:rsid w:val="00127BFC"/>
    <w:rsid w:val="00127CD9"/>
    <w:rsid w:val="00127EEE"/>
    <w:rsid w:val="001304AC"/>
    <w:rsid w:val="0013119E"/>
    <w:rsid w:val="001316A2"/>
    <w:rsid w:val="00132353"/>
    <w:rsid w:val="0013364B"/>
    <w:rsid w:val="00133E1A"/>
    <w:rsid w:val="00134027"/>
    <w:rsid w:val="001343EC"/>
    <w:rsid w:val="00134F2D"/>
    <w:rsid w:val="0013603B"/>
    <w:rsid w:val="001362A4"/>
    <w:rsid w:val="00136566"/>
    <w:rsid w:val="001369D3"/>
    <w:rsid w:val="00136C15"/>
    <w:rsid w:val="00137814"/>
    <w:rsid w:val="00137CF4"/>
    <w:rsid w:val="001407CA"/>
    <w:rsid w:val="00140F4B"/>
    <w:rsid w:val="00142237"/>
    <w:rsid w:val="00142239"/>
    <w:rsid w:val="001424BF"/>
    <w:rsid w:val="00142CCB"/>
    <w:rsid w:val="001438FB"/>
    <w:rsid w:val="00143D6C"/>
    <w:rsid w:val="00144390"/>
    <w:rsid w:val="001449B9"/>
    <w:rsid w:val="00145690"/>
    <w:rsid w:val="00145C0B"/>
    <w:rsid w:val="00145E96"/>
    <w:rsid w:val="00146AFF"/>
    <w:rsid w:val="00147346"/>
    <w:rsid w:val="00147C84"/>
    <w:rsid w:val="00147F8A"/>
    <w:rsid w:val="00147FB3"/>
    <w:rsid w:val="00150CAB"/>
    <w:rsid w:val="00150CE4"/>
    <w:rsid w:val="001517D6"/>
    <w:rsid w:val="001519E0"/>
    <w:rsid w:val="00155777"/>
    <w:rsid w:val="00155832"/>
    <w:rsid w:val="00155BEB"/>
    <w:rsid w:val="00156565"/>
    <w:rsid w:val="00156A38"/>
    <w:rsid w:val="00156D17"/>
    <w:rsid w:val="001601B9"/>
    <w:rsid w:val="001604EE"/>
    <w:rsid w:val="001605B5"/>
    <w:rsid w:val="00161A32"/>
    <w:rsid w:val="00161C08"/>
    <w:rsid w:val="0016251D"/>
    <w:rsid w:val="001628CA"/>
    <w:rsid w:val="00162CC8"/>
    <w:rsid w:val="00162D41"/>
    <w:rsid w:val="001633D6"/>
    <w:rsid w:val="00163B53"/>
    <w:rsid w:val="0016401C"/>
    <w:rsid w:val="001640EA"/>
    <w:rsid w:val="0016421F"/>
    <w:rsid w:val="00164360"/>
    <w:rsid w:val="00164C93"/>
    <w:rsid w:val="00165469"/>
    <w:rsid w:val="00165B2B"/>
    <w:rsid w:val="00165C68"/>
    <w:rsid w:val="00166032"/>
    <w:rsid w:val="0016617D"/>
    <w:rsid w:val="001670B9"/>
    <w:rsid w:val="0017021C"/>
    <w:rsid w:val="0017156F"/>
    <w:rsid w:val="001726FC"/>
    <w:rsid w:val="00172742"/>
    <w:rsid w:val="00172B6B"/>
    <w:rsid w:val="00173AFC"/>
    <w:rsid w:val="00174244"/>
    <w:rsid w:val="00174443"/>
    <w:rsid w:val="00174703"/>
    <w:rsid w:val="00175063"/>
    <w:rsid w:val="00176C34"/>
    <w:rsid w:val="00176DFE"/>
    <w:rsid w:val="001771D4"/>
    <w:rsid w:val="00177379"/>
    <w:rsid w:val="00177954"/>
    <w:rsid w:val="00177A41"/>
    <w:rsid w:val="00177DB1"/>
    <w:rsid w:val="001804C1"/>
    <w:rsid w:val="001805D1"/>
    <w:rsid w:val="001815C8"/>
    <w:rsid w:val="0018162A"/>
    <w:rsid w:val="001818D4"/>
    <w:rsid w:val="0018198A"/>
    <w:rsid w:val="00182EAC"/>
    <w:rsid w:val="00182F37"/>
    <w:rsid w:val="001830D4"/>
    <w:rsid w:val="00183773"/>
    <w:rsid w:val="00184B8A"/>
    <w:rsid w:val="00184E5D"/>
    <w:rsid w:val="001853D2"/>
    <w:rsid w:val="00185A7F"/>
    <w:rsid w:val="00186C1A"/>
    <w:rsid w:val="00186C49"/>
    <w:rsid w:val="001878DE"/>
    <w:rsid w:val="00192C12"/>
    <w:rsid w:val="00193870"/>
    <w:rsid w:val="00193F37"/>
    <w:rsid w:val="001940C2"/>
    <w:rsid w:val="00194E34"/>
    <w:rsid w:val="001951BB"/>
    <w:rsid w:val="00195CA3"/>
    <w:rsid w:val="00196B8A"/>
    <w:rsid w:val="00196C9D"/>
    <w:rsid w:val="00197020"/>
    <w:rsid w:val="001A00DA"/>
    <w:rsid w:val="001A140F"/>
    <w:rsid w:val="001A232E"/>
    <w:rsid w:val="001A2DA9"/>
    <w:rsid w:val="001A332B"/>
    <w:rsid w:val="001A3880"/>
    <w:rsid w:val="001A4673"/>
    <w:rsid w:val="001A467A"/>
    <w:rsid w:val="001A4EDE"/>
    <w:rsid w:val="001A57F8"/>
    <w:rsid w:val="001A6833"/>
    <w:rsid w:val="001A6921"/>
    <w:rsid w:val="001A703A"/>
    <w:rsid w:val="001A7ABF"/>
    <w:rsid w:val="001A7EE8"/>
    <w:rsid w:val="001B0E30"/>
    <w:rsid w:val="001B13F8"/>
    <w:rsid w:val="001B22C8"/>
    <w:rsid w:val="001B23C7"/>
    <w:rsid w:val="001B3502"/>
    <w:rsid w:val="001B3A0E"/>
    <w:rsid w:val="001B3B0C"/>
    <w:rsid w:val="001B3BF4"/>
    <w:rsid w:val="001B4015"/>
    <w:rsid w:val="001B41B3"/>
    <w:rsid w:val="001B5654"/>
    <w:rsid w:val="001B644F"/>
    <w:rsid w:val="001B6698"/>
    <w:rsid w:val="001B6729"/>
    <w:rsid w:val="001B7065"/>
    <w:rsid w:val="001B730A"/>
    <w:rsid w:val="001B73E8"/>
    <w:rsid w:val="001B7706"/>
    <w:rsid w:val="001B779C"/>
    <w:rsid w:val="001B77A7"/>
    <w:rsid w:val="001B7EA1"/>
    <w:rsid w:val="001C1552"/>
    <w:rsid w:val="001C1729"/>
    <w:rsid w:val="001C1A06"/>
    <w:rsid w:val="001C249A"/>
    <w:rsid w:val="001C36DA"/>
    <w:rsid w:val="001C550D"/>
    <w:rsid w:val="001C6272"/>
    <w:rsid w:val="001C6960"/>
    <w:rsid w:val="001C748C"/>
    <w:rsid w:val="001C7E82"/>
    <w:rsid w:val="001D0103"/>
    <w:rsid w:val="001D0599"/>
    <w:rsid w:val="001D05BD"/>
    <w:rsid w:val="001D0EC7"/>
    <w:rsid w:val="001D159F"/>
    <w:rsid w:val="001D3293"/>
    <w:rsid w:val="001D3DB7"/>
    <w:rsid w:val="001D457C"/>
    <w:rsid w:val="001D5FFE"/>
    <w:rsid w:val="001D6541"/>
    <w:rsid w:val="001D68A4"/>
    <w:rsid w:val="001D692C"/>
    <w:rsid w:val="001D7C0E"/>
    <w:rsid w:val="001D7D5E"/>
    <w:rsid w:val="001E061B"/>
    <w:rsid w:val="001E0928"/>
    <w:rsid w:val="001E0F4F"/>
    <w:rsid w:val="001E10B5"/>
    <w:rsid w:val="001E1B65"/>
    <w:rsid w:val="001E2C10"/>
    <w:rsid w:val="001E34EF"/>
    <w:rsid w:val="001E6416"/>
    <w:rsid w:val="001E6BFA"/>
    <w:rsid w:val="001E6FF0"/>
    <w:rsid w:val="001E7C19"/>
    <w:rsid w:val="001E7D8B"/>
    <w:rsid w:val="001E7E99"/>
    <w:rsid w:val="001F00F5"/>
    <w:rsid w:val="001F0317"/>
    <w:rsid w:val="001F06A3"/>
    <w:rsid w:val="001F0E0D"/>
    <w:rsid w:val="001F11CF"/>
    <w:rsid w:val="001F12D8"/>
    <w:rsid w:val="001F1301"/>
    <w:rsid w:val="001F1312"/>
    <w:rsid w:val="001F145B"/>
    <w:rsid w:val="001F1469"/>
    <w:rsid w:val="001F182C"/>
    <w:rsid w:val="001F249E"/>
    <w:rsid w:val="001F2BFB"/>
    <w:rsid w:val="001F587E"/>
    <w:rsid w:val="001F6011"/>
    <w:rsid w:val="001F672A"/>
    <w:rsid w:val="001F6937"/>
    <w:rsid w:val="001F75E4"/>
    <w:rsid w:val="001F7A88"/>
    <w:rsid w:val="00200ACF"/>
    <w:rsid w:val="00200C63"/>
    <w:rsid w:val="00200F94"/>
    <w:rsid w:val="00201A85"/>
    <w:rsid w:val="002026B5"/>
    <w:rsid w:val="00203232"/>
    <w:rsid w:val="00203CED"/>
    <w:rsid w:val="00204B96"/>
    <w:rsid w:val="002050DD"/>
    <w:rsid w:val="00206857"/>
    <w:rsid w:val="00207887"/>
    <w:rsid w:val="00207CE5"/>
    <w:rsid w:val="0021066A"/>
    <w:rsid w:val="0021150D"/>
    <w:rsid w:val="00211560"/>
    <w:rsid w:val="00212773"/>
    <w:rsid w:val="00212AAC"/>
    <w:rsid w:val="002130C1"/>
    <w:rsid w:val="002157E5"/>
    <w:rsid w:val="00215E45"/>
    <w:rsid w:val="00216253"/>
    <w:rsid w:val="00216A95"/>
    <w:rsid w:val="00217413"/>
    <w:rsid w:val="00217CA8"/>
    <w:rsid w:val="00217F91"/>
    <w:rsid w:val="00220703"/>
    <w:rsid w:val="00220B3B"/>
    <w:rsid w:val="0022149B"/>
    <w:rsid w:val="00221740"/>
    <w:rsid w:val="00222110"/>
    <w:rsid w:val="00223D88"/>
    <w:rsid w:val="00225797"/>
    <w:rsid w:val="00226304"/>
    <w:rsid w:val="00226D00"/>
    <w:rsid w:val="0023155D"/>
    <w:rsid w:val="0023233D"/>
    <w:rsid w:val="002323C3"/>
    <w:rsid w:val="00233A86"/>
    <w:rsid w:val="00233B2F"/>
    <w:rsid w:val="002345D9"/>
    <w:rsid w:val="00234BA0"/>
    <w:rsid w:val="00235804"/>
    <w:rsid w:val="0023590F"/>
    <w:rsid w:val="002359B7"/>
    <w:rsid w:val="002361A8"/>
    <w:rsid w:val="0023639C"/>
    <w:rsid w:val="00236B25"/>
    <w:rsid w:val="00236C33"/>
    <w:rsid w:val="00237039"/>
    <w:rsid w:val="00237975"/>
    <w:rsid w:val="00237C1A"/>
    <w:rsid w:val="00240111"/>
    <w:rsid w:val="002406AE"/>
    <w:rsid w:val="00240CB9"/>
    <w:rsid w:val="00241312"/>
    <w:rsid w:val="0024174F"/>
    <w:rsid w:val="00241AD6"/>
    <w:rsid w:val="002439A6"/>
    <w:rsid w:val="00243B24"/>
    <w:rsid w:val="002446CC"/>
    <w:rsid w:val="00244CDE"/>
    <w:rsid w:val="00245143"/>
    <w:rsid w:val="00245F56"/>
    <w:rsid w:val="00246165"/>
    <w:rsid w:val="002462E3"/>
    <w:rsid w:val="0024631F"/>
    <w:rsid w:val="00246688"/>
    <w:rsid w:val="0025007B"/>
    <w:rsid w:val="002506C9"/>
    <w:rsid w:val="00250937"/>
    <w:rsid w:val="0025278C"/>
    <w:rsid w:val="00252BF6"/>
    <w:rsid w:val="00252E72"/>
    <w:rsid w:val="0025318A"/>
    <w:rsid w:val="0025329D"/>
    <w:rsid w:val="002534E1"/>
    <w:rsid w:val="0025369A"/>
    <w:rsid w:val="0025386E"/>
    <w:rsid w:val="00254925"/>
    <w:rsid w:val="0025532E"/>
    <w:rsid w:val="002559EB"/>
    <w:rsid w:val="00255E8B"/>
    <w:rsid w:val="002560FD"/>
    <w:rsid w:val="002561E9"/>
    <w:rsid w:val="00256204"/>
    <w:rsid w:val="00256BCF"/>
    <w:rsid w:val="002573F3"/>
    <w:rsid w:val="00260910"/>
    <w:rsid w:val="00261A20"/>
    <w:rsid w:val="00261B75"/>
    <w:rsid w:val="00261BF4"/>
    <w:rsid w:val="00261ED4"/>
    <w:rsid w:val="00261F1E"/>
    <w:rsid w:val="002639BD"/>
    <w:rsid w:val="00263EC1"/>
    <w:rsid w:val="00264116"/>
    <w:rsid w:val="00264564"/>
    <w:rsid w:val="0026461F"/>
    <w:rsid w:val="002653B6"/>
    <w:rsid w:val="00265BCE"/>
    <w:rsid w:val="00266D1C"/>
    <w:rsid w:val="002670E2"/>
    <w:rsid w:val="00267137"/>
    <w:rsid w:val="002676DF"/>
    <w:rsid w:val="00270A0E"/>
    <w:rsid w:val="00270C10"/>
    <w:rsid w:val="00270FD6"/>
    <w:rsid w:val="002711B3"/>
    <w:rsid w:val="002724A8"/>
    <w:rsid w:val="002728F6"/>
    <w:rsid w:val="00272924"/>
    <w:rsid w:val="002730C1"/>
    <w:rsid w:val="002734B6"/>
    <w:rsid w:val="002747A4"/>
    <w:rsid w:val="00274CC9"/>
    <w:rsid w:val="00275277"/>
    <w:rsid w:val="00275373"/>
    <w:rsid w:val="00275CFF"/>
    <w:rsid w:val="00275FD3"/>
    <w:rsid w:val="00276408"/>
    <w:rsid w:val="002767F0"/>
    <w:rsid w:val="0027691E"/>
    <w:rsid w:val="0027775D"/>
    <w:rsid w:val="002801BC"/>
    <w:rsid w:val="00280BB0"/>
    <w:rsid w:val="0028298B"/>
    <w:rsid w:val="00282BC1"/>
    <w:rsid w:val="00282C47"/>
    <w:rsid w:val="002831DD"/>
    <w:rsid w:val="0028591E"/>
    <w:rsid w:val="002864C4"/>
    <w:rsid w:val="00286A0C"/>
    <w:rsid w:val="00286E73"/>
    <w:rsid w:val="002870FF"/>
    <w:rsid w:val="002872CC"/>
    <w:rsid w:val="00287B2C"/>
    <w:rsid w:val="00290361"/>
    <w:rsid w:val="002907AC"/>
    <w:rsid w:val="00290B5C"/>
    <w:rsid w:val="00292EC3"/>
    <w:rsid w:val="0029362E"/>
    <w:rsid w:val="002948E2"/>
    <w:rsid w:val="00294975"/>
    <w:rsid w:val="00294C6C"/>
    <w:rsid w:val="00295D4D"/>
    <w:rsid w:val="002963C6"/>
    <w:rsid w:val="0029787B"/>
    <w:rsid w:val="002A060C"/>
    <w:rsid w:val="002A08FC"/>
    <w:rsid w:val="002A0B05"/>
    <w:rsid w:val="002A181B"/>
    <w:rsid w:val="002A1874"/>
    <w:rsid w:val="002A2DED"/>
    <w:rsid w:val="002A30E9"/>
    <w:rsid w:val="002A326E"/>
    <w:rsid w:val="002A4734"/>
    <w:rsid w:val="002A4807"/>
    <w:rsid w:val="002A502F"/>
    <w:rsid w:val="002A53F1"/>
    <w:rsid w:val="002A5413"/>
    <w:rsid w:val="002A599B"/>
    <w:rsid w:val="002A6B7E"/>
    <w:rsid w:val="002A75DB"/>
    <w:rsid w:val="002A774C"/>
    <w:rsid w:val="002B0AFF"/>
    <w:rsid w:val="002B0B22"/>
    <w:rsid w:val="002B0BF9"/>
    <w:rsid w:val="002B0D56"/>
    <w:rsid w:val="002B0D89"/>
    <w:rsid w:val="002B1108"/>
    <w:rsid w:val="002B175B"/>
    <w:rsid w:val="002B1AE5"/>
    <w:rsid w:val="002B2A9D"/>
    <w:rsid w:val="002B2E78"/>
    <w:rsid w:val="002B2F4E"/>
    <w:rsid w:val="002B515C"/>
    <w:rsid w:val="002B5276"/>
    <w:rsid w:val="002B52C3"/>
    <w:rsid w:val="002B5762"/>
    <w:rsid w:val="002B6CF7"/>
    <w:rsid w:val="002B776D"/>
    <w:rsid w:val="002B781C"/>
    <w:rsid w:val="002B78E3"/>
    <w:rsid w:val="002C0356"/>
    <w:rsid w:val="002C084D"/>
    <w:rsid w:val="002C151F"/>
    <w:rsid w:val="002C15DB"/>
    <w:rsid w:val="002C2038"/>
    <w:rsid w:val="002C20CA"/>
    <w:rsid w:val="002C2602"/>
    <w:rsid w:val="002C28BD"/>
    <w:rsid w:val="002C2DCC"/>
    <w:rsid w:val="002C3433"/>
    <w:rsid w:val="002C34F2"/>
    <w:rsid w:val="002C3ED0"/>
    <w:rsid w:val="002C454A"/>
    <w:rsid w:val="002C4602"/>
    <w:rsid w:val="002C575E"/>
    <w:rsid w:val="002C6B53"/>
    <w:rsid w:val="002C6DAE"/>
    <w:rsid w:val="002C729D"/>
    <w:rsid w:val="002C7468"/>
    <w:rsid w:val="002D0808"/>
    <w:rsid w:val="002D0E09"/>
    <w:rsid w:val="002D22B7"/>
    <w:rsid w:val="002D2BE3"/>
    <w:rsid w:val="002D34D7"/>
    <w:rsid w:val="002D38EF"/>
    <w:rsid w:val="002D3B2F"/>
    <w:rsid w:val="002D4232"/>
    <w:rsid w:val="002D4ED3"/>
    <w:rsid w:val="002D5966"/>
    <w:rsid w:val="002D5B1E"/>
    <w:rsid w:val="002D6A17"/>
    <w:rsid w:val="002D6B82"/>
    <w:rsid w:val="002D6E40"/>
    <w:rsid w:val="002D7C0E"/>
    <w:rsid w:val="002D7F9F"/>
    <w:rsid w:val="002E0CD5"/>
    <w:rsid w:val="002E0F3C"/>
    <w:rsid w:val="002E18E2"/>
    <w:rsid w:val="002E2A4C"/>
    <w:rsid w:val="002E2C0D"/>
    <w:rsid w:val="002E2E51"/>
    <w:rsid w:val="002E2F95"/>
    <w:rsid w:val="002E325B"/>
    <w:rsid w:val="002E47E0"/>
    <w:rsid w:val="002E4A82"/>
    <w:rsid w:val="002E4B0E"/>
    <w:rsid w:val="002E500C"/>
    <w:rsid w:val="002E568B"/>
    <w:rsid w:val="002E58FA"/>
    <w:rsid w:val="002E6058"/>
    <w:rsid w:val="002E615C"/>
    <w:rsid w:val="002E701E"/>
    <w:rsid w:val="002E7577"/>
    <w:rsid w:val="002E75F3"/>
    <w:rsid w:val="002E7C78"/>
    <w:rsid w:val="002F0032"/>
    <w:rsid w:val="002F06B0"/>
    <w:rsid w:val="002F0992"/>
    <w:rsid w:val="002F0DB9"/>
    <w:rsid w:val="002F13BE"/>
    <w:rsid w:val="002F17C4"/>
    <w:rsid w:val="002F2992"/>
    <w:rsid w:val="002F2EFD"/>
    <w:rsid w:val="002F34C4"/>
    <w:rsid w:val="002F3902"/>
    <w:rsid w:val="002F3F2D"/>
    <w:rsid w:val="002F41CA"/>
    <w:rsid w:val="002F4294"/>
    <w:rsid w:val="002F4627"/>
    <w:rsid w:val="002F4AF9"/>
    <w:rsid w:val="002F4EB7"/>
    <w:rsid w:val="002F5072"/>
    <w:rsid w:val="002F66A3"/>
    <w:rsid w:val="002F6716"/>
    <w:rsid w:val="0030039A"/>
    <w:rsid w:val="00300687"/>
    <w:rsid w:val="00301453"/>
    <w:rsid w:val="00301924"/>
    <w:rsid w:val="00301EB7"/>
    <w:rsid w:val="00302DD9"/>
    <w:rsid w:val="00303A94"/>
    <w:rsid w:val="0030416C"/>
    <w:rsid w:val="0030425A"/>
    <w:rsid w:val="003042CE"/>
    <w:rsid w:val="003053DE"/>
    <w:rsid w:val="003055A7"/>
    <w:rsid w:val="00305D0E"/>
    <w:rsid w:val="00305E52"/>
    <w:rsid w:val="00306E6E"/>
    <w:rsid w:val="00306F93"/>
    <w:rsid w:val="00306F97"/>
    <w:rsid w:val="00307095"/>
    <w:rsid w:val="00307992"/>
    <w:rsid w:val="00307ADD"/>
    <w:rsid w:val="00310513"/>
    <w:rsid w:val="00311420"/>
    <w:rsid w:val="00312236"/>
    <w:rsid w:val="003123C9"/>
    <w:rsid w:val="00312518"/>
    <w:rsid w:val="00312C3C"/>
    <w:rsid w:val="003144EE"/>
    <w:rsid w:val="00314607"/>
    <w:rsid w:val="00314EA5"/>
    <w:rsid w:val="003155A1"/>
    <w:rsid w:val="00315619"/>
    <w:rsid w:val="00315754"/>
    <w:rsid w:val="00315F6E"/>
    <w:rsid w:val="003164DD"/>
    <w:rsid w:val="003169D6"/>
    <w:rsid w:val="00316BFB"/>
    <w:rsid w:val="00316DF9"/>
    <w:rsid w:val="0031744F"/>
    <w:rsid w:val="0031779B"/>
    <w:rsid w:val="003177FF"/>
    <w:rsid w:val="003201A8"/>
    <w:rsid w:val="0032259B"/>
    <w:rsid w:val="00322A97"/>
    <w:rsid w:val="00323913"/>
    <w:rsid w:val="00323E56"/>
    <w:rsid w:val="00323F86"/>
    <w:rsid w:val="003245E5"/>
    <w:rsid w:val="00324A0F"/>
    <w:rsid w:val="00324B32"/>
    <w:rsid w:val="00324D9E"/>
    <w:rsid w:val="00324FC6"/>
    <w:rsid w:val="00325873"/>
    <w:rsid w:val="003262AD"/>
    <w:rsid w:val="00326B09"/>
    <w:rsid w:val="00326B5F"/>
    <w:rsid w:val="0033045D"/>
    <w:rsid w:val="00330BE0"/>
    <w:rsid w:val="003310BC"/>
    <w:rsid w:val="0033157B"/>
    <w:rsid w:val="0033309E"/>
    <w:rsid w:val="00333B1A"/>
    <w:rsid w:val="003341A0"/>
    <w:rsid w:val="003358EF"/>
    <w:rsid w:val="0033699E"/>
    <w:rsid w:val="00337F12"/>
    <w:rsid w:val="00340ADD"/>
    <w:rsid w:val="00340D72"/>
    <w:rsid w:val="00341596"/>
    <w:rsid w:val="00342568"/>
    <w:rsid w:val="003425F9"/>
    <w:rsid w:val="00342CE9"/>
    <w:rsid w:val="0034361E"/>
    <w:rsid w:val="00343F3E"/>
    <w:rsid w:val="003465E7"/>
    <w:rsid w:val="00346EA7"/>
    <w:rsid w:val="00347095"/>
    <w:rsid w:val="00347D5A"/>
    <w:rsid w:val="00350006"/>
    <w:rsid w:val="00350442"/>
    <w:rsid w:val="00350FF4"/>
    <w:rsid w:val="00351396"/>
    <w:rsid w:val="00351A90"/>
    <w:rsid w:val="00352046"/>
    <w:rsid w:val="003521F8"/>
    <w:rsid w:val="0035265B"/>
    <w:rsid w:val="003531DA"/>
    <w:rsid w:val="00353410"/>
    <w:rsid w:val="0035388B"/>
    <w:rsid w:val="0035484F"/>
    <w:rsid w:val="00355C73"/>
    <w:rsid w:val="00357104"/>
    <w:rsid w:val="003575CA"/>
    <w:rsid w:val="00357907"/>
    <w:rsid w:val="003579AF"/>
    <w:rsid w:val="00357D37"/>
    <w:rsid w:val="00357E88"/>
    <w:rsid w:val="0036011D"/>
    <w:rsid w:val="0036034E"/>
    <w:rsid w:val="00360536"/>
    <w:rsid w:val="00360884"/>
    <w:rsid w:val="00361394"/>
    <w:rsid w:val="003620A0"/>
    <w:rsid w:val="00362665"/>
    <w:rsid w:val="00362793"/>
    <w:rsid w:val="003631A0"/>
    <w:rsid w:val="00363ECB"/>
    <w:rsid w:val="00364084"/>
    <w:rsid w:val="00364676"/>
    <w:rsid w:val="00364C51"/>
    <w:rsid w:val="003654D5"/>
    <w:rsid w:val="00366397"/>
    <w:rsid w:val="003671BA"/>
    <w:rsid w:val="00367454"/>
    <w:rsid w:val="00367957"/>
    <w:rsid w:val="00367D33"/>
    <w:rsid w:val="00370C49"/>
    <w:rsid w:val="00371D16"/>
    <w:rsid w:val="00372E38"/>
    <w:rsid w:val="00373751"/>
    <w:rsid w:val="0037386F"/>
    <w:rsid w:val="00374115"/>
    <w:rsid w:val="0037469D"/>
    <w:rsid w:val="00374CEE"/>
    <w:rsid w:val="00375514"/>
    <w:rsid w:val="0037645A"/>
    <w:rsid w:val="00376FCC"/>
    <w:rsid w:val="00377461"/>
    <w:rsid w:val="00380681"/>
    <w:rsid w:val="003809CC"/>
    <w:rsid w:val="00381303"/>
    <w:rsid w:val="00381A72"/>
    <w:rsid w:val="00381B3B"/>
    <w:rsid w:val="003829B4"/>
    <w:rsid w:val="003829D8"/>
    <w:rsid w:val="003838B9"/>
    <w:rsid w:val="00383ECB"/>
    <w:rsid w:val="0038469C"/>
    <w:rsid w:val="00384DB0"/>
    <w:rsid w:val="00384F2C"/>
    <w:rsid w:val="00385F5F"/>
    <w:rsid w:val="00386577"/>
    <w:rsid w:val="003878E2"/>
    <w:rsid w:val="00387D6E"/>
    <w:rsid w:val="003903AB"/>
    <w:rsid w:val="00390410"/>
    <w:rsid w:val="003922AE"/>
    <w:rsid w:val="003925DF"/>
    <w:rsid w:val="00392758"/>
    <w:rsid w:val="00393114"/>
    <w:rsid w:val="003932B3"/>
    <w:rsid w:val="0039375D"/>
    <w:rsid w:val="00394064"/>
    <w:rsid w:val="00394289"/>
    <w:rsid w:val="003943A4"/>
    <w:rsid w:val="00394C04"/>
    <w:rsid w:val="00395B76"/>
    <w:rsid w:val="00396748"/>
    <w:rsid w:val="003971AB"/>
    <w:rsid w:val="00397CF8"/>
    <w:rsid w:val="003A021E"/>
    <w:rsid w:val="003A12CE"/>
    <w:rsid w:val="003A1BAC"/>
    <w:rsid w:val="003A24E8"/>
    <w:rsid w:val="003A2638"/>
    <w:rsid w:val="003A3628"/>
    <w:rsid w:val="003A38F8"/>
    <w:rsid w:val="003A3C45"/>
    <w:rsid w:val="003A4BAC"/>
    <w:rsid w:val="003A4F5B"/>
    <w:rsid w:val="003A5439"/>
    <w:rsid w:val="003A60A0"/>
    <w:rsid w:val="003A6202"/>
    <w:rsid w:val="003A668D"/>
    <w:rsid w:val="003B032D"/>
    <w:rsid w:val="003B1398"/>
    <w:rsid w:val="003B1C31"/>
    <w:rsid w:val="003B3797"/>
    <w:rsid w:val="003B3A52"/>
    <w:rsid w:val="003B42C1"/>
    <w:rsid w:val="003B4B2F"/>
    <w:rsid w:val="003B51AE"/>
    <w:rsid w:val="003B6DF5"/>
    <w:rsid w:val="003B716B"/>
    <w:rsid w:val="003C0F5E"/>
    <w:rsid w:val="003C1298"/>
    <w:rsid w:val="003C1BBE"/>
    <w:rsid w:val="003C27B4"/>
    <w:rsid w:val="003C28A8"/>
    <w:rsid w:val="003C2AB0"/>
    <w:rsid w:val="003C3494"/>
    <w:rsid w:val="003C3576"/>
    <w:rsid w:val="003C376F"/>
    <w:rsid w:val="003C3861"/>
    <w:rsid w:val="003C3D80"/>
    <w:rsid w:val="003C41E6"/>
    <w:rsid w:val="003C460C"/>
    <w:rsid w:val="003C509A"/>
    <w:rsid w:val="003C53DB"/>
    <w:rsid w:val="003C5899"/>
    <w:rsid w:val="003C6924"/>
    <w:rsid w:val="003C7988"/>
    <w:rsid w:val="003C7B2E"/>
    <w:rsid w:val="003C7F6E"/>
    <w:rsid w:val="003D0226"/>
    <w:rsid w:val="003D06FD"/>
    <w:rsid w:val="003D1223"/>
    <w:rsid w:val="003D140C"/>
    <w:rsid w:val="003D1BAF"/>
    <w:rsid w:val="003D1D05"/>
    <w:rsid w:val="003D43F4"/>
    <w:rsid w:val="003D47B2"/>
    <w:rsid w:val="003D4B66"/>
    <w:rsid w:val="003D5126"/>
    <w:rsid w:val="003D5818"/>
    <w:rsid w:val="003D618D"/>
    <w:rsid w:val="003D6B69"/>
    <w:rsid w:val="003E058E"/>
    <w:rsid w:val="003E1025"/>
    <w:rsid w:val="003E2A7A"/>
    <w:rsid w:val="003E2C5F"/>
    <w:rsid w:val="003E65BB"/>
    <w:rsid w:val="003E6D11"/>
    <w:rsid w:val="003E7344"/>
    <w:rsid w:val="003E744B"/>
    <w:rsid w:val="003E7471"/>
    <w:rsid w:val="003F02F1"/>
    <w:rsid w:val="003F13CC"/>
    <w:rsid w:val="003F2B66"/>
    <w:rsid w:val="003F2DCD"/>
    <w:rsid w:val="003F36FE"/>
    <w:rsid w:val="003F3801"/>
    <w:rsid w:val="003F382D"/>
    <w:rsid w:val="003F3B3F"/>
    <w:rsid w:val="003F3C6A"/>
    <w:rsid w:val="003F43EA"/>
    <w:rsid w:val="003F461A"/>
    <w:rsid w:val="003F49B7"/>
    <w:rsid w:val="003F630A"/>
    <w:rsid w:val="003F7701"/>
    <w:rsid w:val="0040012E"/>
    <w:rsid w:val="0040064B"/>
    <w:rsid w:val="00401C7D"/>
    <w:rsid w:val="00401E2C"/>
    <w:rsid w:val="00402282"/>
    <w:rsid w:val="00402AB3"/>
    <w:rsid w:val="00402C68"/>
    <w:rsid w:val="00402D07"/>
    <w:rsid w:val="004035B4"/>
    <w:rsid w:val="0040386F"/>
    <w:rsid w:val="004038E8"/>
    <w:rsid w:val="00404E33"/>
    <w:rsid w:val="00405975"/>
    <w:rsid w:val="00410CB4"/>
    <w:rsid w:val="00412016"/>
    <w:rsid w:val="004129D2"/>
    <w:rsid w:val="00412F8F"/>
    <w:rsid w:val="00414528"/>
    <w:rsid w:val="004152C8"/>
    <w:rsid w:val="00415C03"/>
    <w:rsid w:val="00415F24"/>
    <w:rsid w:val="0041603E"/>
    <w:rsid w:val="004161F8"/>
    <w:rsid w:val="00416D8F"/>
    <w:rsid w:val="0042063C"/>
    <w:rsid w:val="0042142D"/>
    <w:rsid w:val="0042145F"/>
    <w:rsid w:val="00421932"/>
    <w:rsid w:val="00421B13"/>
    <w:rsid w:val="00422372"/>
    <w:rsid w:val="0042253B"/>
    <w:rsid w:val="004225BC"/>
    <w:rsid w:val="0042294A"/>
    <w:rsid w:val="00422C09"/>
    <w:rsid w:val="00422CD7"/>
    <w:rsid w:val="00422D78"/>
    <w:rsid w:val="00423DC6"/>
    <w:rsid w:val="004248AE"/>
    <w:rsid w:val="0042598A"/>
    <w:rsid w:val="00425D62"/>
    <w:rsid w:val="00425D91"/>
    <w:rsid w:val="00425DC6"/>
    <w:rsid w:val="004268B9"/>
    <w:rsid w:val="00426BB6"/>
    <w:rsid w:val="00426FDA"/>
    <w:rsid w:val="00430260"/>
    <w:rsid w:val="0043111F"/>
    <w:rsid w:val="00431BF5"/>
    <w:rsid w:val="00432E53"/>
    <w:rsid w:val="004334C5"/>
    <w:rsid w:val="004344C1"/>
    <w:rsid w:val="00434DE6"/>
    <w:rsid w:val="004355CE"/>
    <w:rsid w:val="004364F0"/>
    <w:rsid w:val="004368CE"/>
    <w:rsid w:val="00436D9F"/>
    <w:rsid w:val="00436F0C"/>
    <w:rsid w:val="0043704E"/>
    <w:rsid w:val="00437E4A"/>
    <w:rsid w:val="004405AB"/>
    <w:rsid w:val="00440683"/>
    <w:rsid w:val="00440762"/>
    <w:rsid w:val="00440C68"/>
    <w:rsid w:val="00441A6C"/>
    <w:rsid w:val="00441DB3"/>
    <w:rsid w:val="00443991"/>
    <w:rsid w:val="00444009"/>
    <w:rsid w:val="0044562F"/>
    <w:rsid w:val="004459D1"/>
    <w:rsid w:val="00445D00"/>
    <w:rsid w:val="00446162"/>
    <w:rsid w:val="0044672A"/>
    <w:rsid w:val="004470EC"/>
    <w:rsid w:val="00447BA5"/>
    <w:rsid w:val="00450202"/>
    <w:rsid w:val="00450DC0"/>
    <w:rsid w:val="00451BD5"/>
    <w:rsid w:val="00452820"/>
    <w:rsid w:val="00452C0C"/>
    <w:rsid w:val="0045353E"/>
    <w:rsid w:val="00454071"/>
    <w:rsid w:val="004544CB"/>
    <w:rsid w:val="004544F2"/>
    <w:rsid w:val="0045454C"/>
    <w:rsid w:val="00454E26"/>
    <w:rsid w:val="004562A9"/>
    <w:rsid w:val="00456692"/>
    <w:rsid w:val="00457178"/>
    <w:rsid w:val="004578C5"/>
    <w:rsid w:val="00460773"/>
    <w:rsid w:val="00460A81"/>
    <w:rsid w:val="00460B44"/>
    <w:rsid w:val="00461822"/>
    <w:rsid w:val="00461A57"/>
    <w:rsid w:val="00461B45"/>
    <w:rsid w:val="00462418"/>
    <w:rsid w:val="004626AA"/>
    <w:rsid w:val="00462B2A"/>
    <w:rsid w:val="0046393C"/>
    <w:rsid w:val="004648A6"/>
    <w:rsid w:val="004658DF"/>
    <w:rsid w:val="00465A38"/>
    <w:rsid w:val="00465F86"/>
    <w:rsid w:val="0046626E"/>
    <w:rsid w:val="00467F1E"/>
    <w:rsid w:val="00470F87"/>
    <w:rsid w:val="0047115F"/>
    <w:rsid w:val="00471A06"/>
    <w:rsid w:val="004722AC"/>
    <w:rsid w:val="004724B8"/>
    <w:rsid w:val="004736B8"/>
    <w:rsid w:val="00473B9C"/>
    <w:rsid w:val="00473C1E"/>
    <w:rsid w:val="00473C41"/>
    <w:rsid w:val="00473ED2"/>
    <w:rsid w:val="0047496E"/>
    <w:rsid w:val="00474C7E"/>
    <w:rsid w:val="004758FD"/>
    <w:rsid w:val="00475B66"/>
    <w:rsid w:val="00476658"/>
    <w:rsid w:val="00476DC4"/>
    <w:rsid w:val="00477235"/>
    <w:rsid w:val="00477CCD"/>
    <w:rsid w:val="0048027A"/>
    <w:rsid w:val="004812DF"/>
    <w:rsid w:val="00482A28"/>
    <w:rsid w:val="00482FD7"/>
    <w:rsid w:val="004843DD"/>
    <w:rsid w:val="004845FA"/>
    <w:rsid w:val="004846C9"/>
    <w:rsid w:val="004846F1"/>
    <w:rsid w:val="00484C55"/>
    <w:rsid w:val="00485AC4"/>
    <w:rsid w:val="0048702D"/>
    <w:rsid w:val="0049074E"/>
    <w:rsid w:val="0049099E"/>
    <w:rsid w:val="00490B45"/>
    <w:rsid w:val="00490B8F"/>
    <w:rsid w:val="00491C3F"/>
    <w:rsid w:val="00492868"/>
    <w:rsid w:val="00492BA2"/>
    <w:rsid w:val="004941E6"/>
    <w:rsid w:val="00494539"/>
    <w:rsid w:val="00494AE2"/>
    <w:rsid w:val="00494B27"/>
    <w:rsid w:val="004952CF"/>
    <w:rsid w:val="00496F3D"/>
    <w:rsid w:val="004971E9"/>
    <w:rsid w:val="00497305"/>
    <w:rsid w:val="004A0611"/>
    <w:rsid w:val="004A07C7"/>
    <w:rsid w:val="004A0ECC"/>
    <w:rsid w:val="004A1468"/>
    <w:rsid w:val="004A1C24"/>
    <w:rsid w:val="004A1DC2"/>
    <w:rsid w:val="004A22DB"/>
    <w:rsid w:val="004A24D9"/>
    <w:rsid w:val="004A27AD"/>
    <w:rsid w:val="004A27B2"/>
    <w:rsid w:val="004A294C"/>
    <w:rsid w:val="004A3412"/>
    <w:rsid w:val="004A38AD"/>
    <w:rsid w:val="004A5B1C"/>
    <w:rsid w:val="004A695E"/>
    <w:rsid w:val="004A7074"/>
    <w:rsid w:val="004A7354"/>
    <w:rsid w:val="004A7745"/>
    <w:rsid w:val="004A7CB2"/>
    <w:rsid w:val="004A7D4D"/>
    <w:rsid w:val="004B0E42"/>
    <w:rsid w:val="004B118D"/>
    <w:rsid w:val="004B15CE"/>
    <w:rsid w:val="004B1CC8"/>
    <w:rsid w:val="004B202F"/>
    <w:rsid w:val="004B3D9B"/>
    <w:rsid w:val="004B5308"/>
    <w:rsid w:val="004B54F0"/>
    <w:rsid w:val="004B5605"/>
    <w:rsid w:val="004B597F"/>
    <w:rsid w:val="004B6701"/>
    <w:rsid w:val="004B6914"/>
    <w:rsid w:val="004B6AD9"/>
    <w:rsid w:val="004B6C7C"/>
    <w:rsid w:val="004B7331"/>
    <w:rsid w:val="004B75E8"/>
    <w:rsid w:val="004B7AA2"/>
    <w:rsid w:val="004B7F53"/>
    <w:rsid w:val="004C0508"/>
    <w:rsid w:val="004C0760"/>
    <w:rsid w:val="004C0FB0"/>
    <w:rsid w:val="004C2B3F"/>
    <w:rsid w:val="004C35FF"/>
    <w:rsid w:val="004C3AB0"/>
    <w:rsid w:val="004C3AC9"/>
    <w:rsid w:val="004C3CF3"/>
    <w:rsid w:val="004C3EFE"/>
    <w:rsid w:val="004C4B0B"/>
    <w:rsid w:val="004C5E54"/>
    <w:rsid w:val="004C6147"/>
    <w:rsid w:val="004C6233"/>
    <w:rsid w:val="004C692B"/>
    <w:rsid w:val="004C6DE7"/>
    <w:rsid w:val="004C7422"/>
    <w:rsid w:val="004C7427"/>
    <w:rsid w:val="004D046D"/>
    <w:rsid w:val="004D0624"/>
    <w:rsid w:val="004D06D5"/>
    <w:rsid w:val="004D09B5"/>
    <w:rsid w:val="004D0ECE"/>
    <w:rsid w:val="004D2536"/>
    <w:rsid w:val="004D328E"/>
    <w:rsid w:val="004D391A"/>
    <w:rsid w:val="004D392F"/>
    <w:rsid w:val="004D3A88"/>
    <w:rsid w:val="004D3D94"/>
    <w:rsid w:val="004D480C"/>
    <w:rsid w:val="004D4E23"/>
    <w:rsid w:val="004D5BEA"/>
    <w:rsid w:val="004D629E"/>
    <w:rsid w:val="004E16A7"/>
    <w:rsid w:val="004E18D9"/>
    <w:rsid w:val="004E19E3"/>
    <w:rsid w:val="004E1EE2"/>
    <w:rsid w:val="004E4324"/>
    <w:rsid w:val="004E448B"/>
    <w:rsid w:val="004E48A2"/>
    <w:rsid w:val="004E49F4"/>
    <w:rsid w:val="004E4EB9"/>
    <w:rsid w:val="004E608C"/>
    <w:rsid w:val="004E61D0"/>
    <w:rsid w:val="004E63F2"/>
    <w:rsid w:val="004E6D72"/>
    <w:rsid w:val="004E70BC"/>
    <w:rsid w:val="004E71A3"/>
    <w:rsid w:val="004E765C"/>
    <w:rsid w:val="004F00F6"/>
    <w:rsid w:val="004F07BB"/>
    <w:rsid w:val="004F0DB8"/>
    <w:rsid w:val="004F2089"/>
    <w:rsid w:val="004F2129"/>
    <w:rsid w:val="004F27B9"/>
    <w:rsid w:val="004F2CB9"/>
    <w:rsid w:val="004F2E79"/>
    <w:rsid w:val="004F2EC8"/>
    <w:rsid w:val="004F4886"/>
    <w:rsid w:val="004F48F1"/>
    <w:rsid w:val="004F4AA7"/>
    <w:rsid w:val="004F4AC5"/>
    <w:rsid w:val="004F55EE"/>
    <w:rsid w:val="004F5E7C"/>
    <w:rsid w:val="004F6208"/>
    <w:rsid w:val="00500499"/>
    <w:rsid w:val="005004E5"/>
    <w:rsid w:val="0050077B"/>
    <w:rsid w:val="0050088E"/>
    <w:rsid w:val="00500968"/>
    <w:rsid w:val="00500A8C"/>
    <w:rsid w:val="00500AC1"/>
    <w:rsid w:val="00502CE3"/>
    <w:rsid w:val="00503832"/>
    <w:rsid w:val="00503978"/>
    <w:rsid w:val="00505D16"/>
    <w:rsid w:val="005078A6"/>
    <w:rsid w:val="0051043C"/>
    <w:rsid w:val="00511087"/>
    <w:rsid w:val="00511A8C"/>
    <w:rsid w:val="00511B12"/>
    <w:rsid w:val="005120E2"/>
    <w:rsid w:val="005122C4"/>
    <w:rsid w:val="00513026"/>
    <w:rsid w:val="00513208"/>
    <w:rsid w:val="00513550"/>
    <w:rsid w:val="00513A42"/>
    <w:rsid w:val="00514922"/>
    <w:rsid w:val="00514FC1"/>
    <w:rsid w:val="00515BE4"/>
    <w:rsid w:val="00516AC6"/>
    <w:rsid w:val="00516B5F"/>
    <w:rsid w:val="00516C57"/>
    <w:rsid w:val="005170E0"/>
    <w:rsid w:val="005174E8"/>
    <w:rsid w:val="0051760D"/>
    <w:rsid w:val="00517B2D"/>
    <w:rsid w:val="00520691"/>
    <w:rsid w:val="00520C19"/>
    <w:rsid w:val="00520EA0"/>
    <w:rsid w:val="00521236"/>
    <w:rsid w:val="00522D8A"/>
    <w:rsid w:val="00523A63"/>
    <w:rsid w:val="00524214"/>
    <w:rsid w:val="00524DE2"/>
    <w:rsid w:val="00524E59"/>
    <w:rsid w:val="00526A33"/>
    <w:rsid w:val="00526B58"/>
    <w:rsid w:val="00526CAE"/>
    <w:rsid w:val="00526CF3"/>
    <w:rsid w:val="00527786"/>
    <w:rsid w:val="00530149"/>
    <w:rsid w:val="00530BCF"/>
    <w:rsid w:val="00531115"/>
    <w:rsid w:val="00531501"/>
    <w:rsid w:val="005326C0"/>
    <w:rsid w:val="00533428"/>
    <w:rsid w:val="0053406E"/>
    <w:rsid w:val="0053439C"/>
    <w:rsid w:val="005344B3"/>
    <w:rsid w:val="00534F70"/>
    <w:rsid w:val="0053555B"/>
    <w:rsid w:val="00535740"/>
    <w:rsid w:val="00535BF6"/>
    <w:rsid w:val="00536805"/>
    <w:rsid w:val="00536AB8"/>
    <w:rsid w:val="0053708B"/>
    <w:rsid w:val="005375CC"/>
    <w:rsid w:val="0053762D"/>
    <w:rsid w:val="00537BDA"/>
    <w:rsid w:val="0054003E"/>
    <w:rsid w:val="005405FB"/>
    <w:rsid w:val="00540841"/>
    <w:rsid w:val="00540EA6"/>
    <w:rsid w:val="005411C8"/>
    <w:rsid w:val="00541794"/>
    <w:rsid w:val="005418C8"/>
    <w:rsid w:val="00542313"/>
    <w:rsid w:val="00542665"/>
    <w:rsid w:val="00542829"/>
    <w:rsid w:val="0054445B"/>
    <w:rsid w:val="005447C8"/>
    <w:rsid w:val="00544A56"/>
    <w:rsid w:val="00545292"/>
    <w:rsid w:val="005456F0"/>
    <w:rsid w:val="005462FA"/>
    <w:rsid w:val="0054672A"/>
    <w:rsid w:val="00546F39"/>
    <w:rsid w:val="0054766C"/>
    <w:rsid w:val="0055128A"/>
    <w:rsid w:val="005512E1"/>
    <w:rsid w:val="00552121"/>
    <w:rsid w:val="00552E78"/>
    <w:rsid w:val="00553627"/>
    <w:rsid w:val="00553E19"/>
    <w:rsid w:val="0055443C"/>
    <w:rsid w:val="00554491"/>
    <w:rsid w:val="005548E3"/>
    <w:rsid w:val="00560592"/>
    <w:rsid w:val="00560D59"/>
    <w:rsid w:val="00560E23"/>
    <w:rsid w:val="00561521"/>
    <w:rsid w:val="00561772"/>
    <w:rsid w:val="005626D1"/>
    <w:rsid w:val="00563964"/>
    <w:rsid w:val="00563ACE"/>
    <w:rsid w:val="005643CB"/>
    <w:rsid w:val="00564C52"/>
    <w:rsid w:val="00564CB0"/>
    <w:rsid w:val="00564EB3"/>
    <w:rsid w:val="00565C59"/>
    <w:rsid w:val="0056607D"/>
    <w:rsid w:val="00566CD3"/>
    <w:rsid w:val="00570103"/>
    <w:rsid w:val="005709A0"/>
    <w:rsid w:val="005712B0"/>
    <w:rsid w:val="005716CF"/>
    <w:rsid w:val="00572773"/>
    <w:rsid w:val="00572E9A"/>
    <w:rsid w:val="00572FC4"/>
    <w:rsid w:val="00573D23"/>
    <w:rsid w:val="00573EAD"/>
    <w:rsid w:val="005746AD"/>
    <w:rsid w:val="0057499D"/>
    <w:rsid w:val="005763C5"/>
    <w:rsid w:val="00576DE0"/>
    <w:rsid w:val="00577C68"/>
    <w:rsid w:val="0058059E"/>
    <w:rsid w:val="00580B71"/>
    <w:rsid w:val="005811CD"/>
    <w:rsid w:val="005817C1"/>
    <w:rsid w:val="005828DD"/>
    <w:rsid w:val="00582A8B"/>
    <w:rsid w:val="00585AA6"/>
    <w:rsid w:val="0058662C"/>
    <w:rsid w:val="00586FB9"/>
    <w:rsid w:val="00587537"/>
    <w:rsid w:val="005876E5"/>
    <w:rsid w:val="00587ABB"/>
    <w:rsid w:val="00587E9E"/>
    <w:rsid w:val="00590654"/>
    <w:rsid w:val="00592761"/>
    <w:rsid w:val="00592978"/>
    <w:rsid w:val="00593242"/>
    <w:rsid w:val="00593292"/>
    <w:rsid w:val="005946E1"/>
    <w:rsid w:val="005952B6"/>
    <w:rsid w:val="005954A6"/>
    <w:rsid w:val="00595E6C"/>
    <w:rsid w:val="00596618"/>
    <w:rsid w:val="00596951"/>
    <w:rsid w:val="00596D97"/>
    <w:rsid w:val="00597716"/>
    <w:rsid w:val="005A0F24"/>
    <w:rsid w:val="005A21B1"/>
    <w:rsid w:val="005A2218"/>
    <w:rsid w:val="005A2727"/>
    <w:rsid w:val="005A30F7"/>
    <w:rsid w:val="005A4CBD"/>
    <w:rsid w:val="005A4D7F"/>
    <w:rsid w:val="005A52B6"/>
    <w:rsid w:val="005A596C"/>
    <w:rsid w:val="005A69CF"/>
    <w:rsid w:val="005A6DAC"/>
    <w:rsid w:val="005A7E0B"/>
    <w:rsid w:val="005B01EE"/>
    <w:rsid w:val="005B15C1"/>
    <w:rsid w:val="005B16A0"/>
    <w:rsid w:val="005B1ECB"/>
    <w:rsid w:val="005B2A13"/>
    <w:rsid w:val="005B343B"/>
    <w:rsid w:val="005B353F"/>
    <w:rsid w:val="005B35A2"/>
    <w:rsid w:val="005B3ABE"/>
    <w:rsid w:val="005B3F4C"/>
    <w:rsid w:val="005B54D9"/>
    <w:rsid w:val="005B5B15"/>
    <w:rsid w:val="005B5C42"/>
    <w:rsid w:val="005B5E56"/>
    <w:rsid w:val="005B692A"/>
    <w:rsid w:val="005B697A"/>
    <w:rsid w:val="005B7770"/>
    <w:rsid w:val="005B7A7A"/>
    <w:rsid w:val="005B7E9A"/>
    <w:rsid w:val="005B7F86"/>
    <w:rsid w:val="005BE5AA"/>
    <w:rsid w:val="005C0414"/>
    <w:rsid w:val="005C16C2"/>
    <w:rsid w:val="005C18AD"/>
    <w:rsid w:val="005C2467"/>
    <w:rsid w:val="005C33B5"/>
    <w:rsid w:val="005C3733"/>
    <w:rsid w:val="005C409B"/>
    <w:rsid w:val="005C47D3"/>
    <w:rsid w:val="005C4D86"/>
    <w:rsid w:val="005C570E"/>
    <w:rsid w:val="005C5F5C"/>
    <w:rsid w:val="005C6B8F"/>
    <w:rsid w:val="005D0B5F"/>
    <w:rsid w:val="005D0FA2"/>
    <w:rsid w:val="005D253F"/>
    <w:rsid w:val="005D2802"/>
    <w:rsid w:val="005D2D64"/>
    <w:rsid w:val="005D4129"/>
    <w:rsid w:val="005D7CC9"/>
    <w:rsid w:val="005E0989"/>
    <w:rsid w:val="005E12C1"/>
    <w:rsid w:val="005E2F83"/>
    <w:rsid w:val="005E31DE"/>
    <w:rsid w:val="005E399F"/>
    <w:rsid w:val="005E3B5C"/>
    <w:rsid w:val="005E4A8D"/>
    <w:rsid w:val="005E4EB3"/>
    <w:rsid w:val="005E50AB"/>
    <w:rsid w:val="005E67FE"/>
    <w:rsid w:val="005E6818"/>
    <w:rsid w:val="005E68A0"/>
    <w:rsid w:val="005F040C"/>
    <w:rsid w:val="005F18D7"/>
    <w:rsid w:val="005F18E9"/>
    <w:rsid w:val="005F2102"/>
    <w:rsid w:val="005F2761"/>
    <w:rsid w:val="005F2ED9"/>
    <w:rsid w:val="005F327D"/>
    <w:rsid w:val="005F37B9"/>
    <w:rsid w:val="005F4273"/>
    <w:rsid w:val="005F4550"/>
    <w:rsid w:val="005F4FFA"/>
    <w:rsid w:val="005F5BF4"/>
    <w:rsid w:val="005F641F"/>
    <w:rsid w:val="005F65BE"/>
    <w:rsid w:val="005F6E56"/>
    <w:rsid w:val="0060057D"/>
    <w:rsid w:val="006005DF"/>
    <w:rsid w:val="006011F0"/>
    <w:rsid w:val="00601693"/>
    <w:rsid w:val="006028C6"/>
    <w:rsid w:val="0060308F"/>
    <w:rsid w:val="00603841"/>
    <w:rsid w:val="00603A90"/>
    <w:rsid w:val="00604A34"/>
    <w:rsid w:val="006050B2"/>
    <w:rsid w:val="00605D09"/>
    <w:rsid w:val="00606359"/>
    <w:rsid w:val="006078BE"/>
    <w:rsid w:val="00610891"/>
    <w:rsid w:val="00610908"/>
    <w:rsid w:val="00610954"/>
    <w:rsid w:val="00610C8F"/>
    <w:rsid w:val="00611422"/>
    <w:rsid w:val="00611EAD"/>
    <w:rsid w:val="006121AD"/>
    <w:rsid w:val="0061240D"/>
    <w:rsid w:val="00612636"/>
    <w:rsid w:val="00612A46"/>
    <w:rsid w:val="00613450"/>
    <w:rsid w:val="00613735"/>
    <w:rsid w:val="00613A47"/>
    <w:rsid w:val="0061436C"/>
    <w:rsid w:val="006149E0"/>
    <w:rsid w:val="00614CC6"/>
    <w:rsid w:val="00615E67"/>
    <w:rsid w:val="00616610"/>
    <w:rsid w:val="00616640"/>
    <w:rsid w:val="00616D84"/>
    <w:rsid w:val="006175AB"/>
    <w:rsid w:val="006177BE"/>
    <w:rsid w:val="00617EB5"/>
    <w:rsid w:val="0062085C"/>
    <w:rsid w:val="00620D12"/>
    <w:rsid w:val="00620EF3"/>
    <w:rsid w:val="00620FFD"/>
    <w:rsid w:val="00621B18"/>
    <w:rsid w:val="00621D7D"/>
    <w:rsid w:val="006232B2"/>
    <w:rsid w:val="00623B6B"/>
    <w:rsid w:val="00623E34"/>
    <w:rsid w:val="006247A5"/>
    <w:rsid w:val="00624998"/>
    <w:rsid w:val="00625611"/>
    <w:rsid w:val="00625BE3"/>
    <w:rsid w:val="00626237"/>
    <w:rsid w:val="006270FA"/>
    <w:rsid w:val="006271A0"/>
    <w:rsid w:val="00627AE3"/>
    <w:rsid w:val="00627EBB"/>
    <w:rsid w:val="00630057"/>
    <w:rsid w:val="006310A7"/>
    <w:rsid w:val="0063117F"/>
    <w:rsid w:val="006312FF"/>
    <w:rsid w:val="006313A0"/>
    <w:rsid w:val="00631B52"/>
    <w:rsid w:val="0063280D"/>
    <w:rsid w:val="00633FC9"/>
    <w:rsid w:val="00635450"/>
    <w:rsid w:val="0063630A"/>
    <w:rsid w:val="0063670C"/>
    <w:rsid w:val="006367BC"/>
    <w:rsid w:val="00637FE2"/>
    <w:rsid w:val="006408EC"/>
    <w:rsid w:val="006418CF"/>
    <w:rsid w:val="00641F61"/>
    <w:rsid w:val="00642466"/>
    <w:rsid w:val="0064246C"/>
    <w:rsid w:val="006426D3"/>
    <w:rsid w:val="00642E3A"/>
    <w:rsid w:val="006439A3"/>
    <w:rsid w:val="00643BE9"/>
    <w:rsid w:val="00644219"/>
    <w:rsid w:val="00644340"/>
    <w:rsid w:val="00644EDE"/>
    <w:rsid w:val="00647080"/>
    <w:rsid w:val="00647143"/>
    <w:rsid w:val="00647920"/>
    <w:rsid w:val="00647AB3"/>
    <w:rsid w:val="00650B50"/>
    <w:rsid w:val="00650FCD"/>
    <w:rsid w:val="006511BB"/>
    <w:rsid w:val="0065131A"/>
    <w:rsid w:val="00652322"/>
    <w:rsid w:val="00652A27"/>
    <w:rsid w:val="00653A26"/>
    <w:rsid w:val="00653B34"/>
    <w:rsid w:val="0065449C"/>
    <w:rsid w:val="00654A86"/>
    <w:rsid w:val="00655418"/>
    <w:rsid w:val="00655FB6"/>
    <w:rsid w:val="006563AE"/>
    <w:rsid w:val="00656672"/>
    <w:rsid w:val="0065668D"/>
    <w:rsid w:val="00657881"/>
    <w:rsid w:val="00660EA9"/>
    <w:rsid w:val="00660F68"/>
    <w:rsid w:val="006610F4"/>
    <w:rsid w:val="00661E59"/>
    <w:rsid w:val="00663A50"/>
    <w:rsid w:val="00663B95"/>
    <w:rsid w:val="00663E18"/>
    <w:rsid w:val="00666149"/>
    <w:rsid w:val="00666324"/>
    <w:rsid w:val="006669E4"/>
    <w:rsid w:val="00667416"/>
    <w:rsid w:val="0067060E"/>
    <w:rsid w:val="00670CBE"/>
    <w:rsid w:val="006719B2"/>
    <w:rsid w:val="00671A11"/>
    <w:rsid w:val="0067242A"/>
    <w:rsid w:val="00672857"/>
    <w:rsid w:val="0067368F"/>
    <w:rsid w:val="00673889"/>
    <w:rsid w:val="00675152"/>
    <w:rsid w:val="00675167"/>
    <w:rsid w:val="006752EF"/>
    <w:rsid w:val="006767FB"/>
    <w:rsid w:val="0068036C"/>
    <w:rsid w:val="00680AC5"/>
    <w:rsid w:val="0068109A"/>
    <w:rsid w:val="00681155"/>
    <w:rsid w:val="00681B32"/>
    <w:rsid w:val="00682418"/>
    <w:rsid w:val="00682760"/>
    <w:rsid w:val="00682ADC"/>
    <w:rsid w:val="00683E1E"/>
    <w:rsid w:val="00683F5E"/>
    <w:rsid w:val="006840F8"/>
    <w:rsid w:val="00684D22"/>
    <w:rsid w:val="00685CEF"/>
    <w:rsid w:val="00685E66"/>
    <w:rsid w:val="00686FF1"/>
    <w:rsid w:val="00687232"/>
    <w:rsid w:val="00687E85"/>
    <w:rsid w:val="006919EA"/>
    <w:rsid w:val="006928A8"/>
    <w:rsid w:val="00692F9A"/>
    <w:rsid w:val="006944EC"/>
    <w:rsid w:val="006948B7"/>
    <w:rsid w:val="006958B6"/>
    <w:rsid w:val="00695B02"/>
    <w:rsid w:val="006965F9"/>
    <w:rsid w:val="00696812"/>
    <w:rsid w:val="00696D14"/>
    <w:rsid w:val="006970FB"/>
    <w:rsid w:val="006A1282"/>
    <w:rsid w:val="006A13C0"/>
    <w:rsid w:val="006A16EE"/>
    <w:rsid w:val="006A24DE"/>
    <w:rsid w:val="006A251E"/>
    <w:rsid w:val="006A33D3"/>
    <w:rsid w:val="006A4111"/>
    <w:rsid w:val="006A449E"/>
    <w:rsid w:val="006A5322"/>
    <w:rsid w:val="006A672F"/>
    <w:rsid w:val="006A71D9"/>
    <w:rsid w:val="006A7364"/>
    <w:rsid w:val="006A7664"/>
    <w:rsid w:val="006B05F8"/>
    <w:rsid w:val="006B0B59"/>
    <w:rsid w:val="006B0E26"/>
    <w:rsid w:val="006B15DD"/>
    <w:rsid w:val="006B1A60"/>
    <w:rsid w:val="006B2109"/>
    <w:rsid w:val="006B21BD"/>
    <w:rsid w:val="006B2BA0"/>
    <w:rsid w:val="006B2BF6"/>
    <w:rsid w:val="006B2DD7"/>
    <w:rsid w:val="006B3309"/>
    <w:rsid w:val="006B5292"/>
    <w:rsid w:val="006B58BF"/>
    <w:rsid w:val="006B5DFD"/>
    <w:rsid w:val="006B6897"/>
    <w:rsid w:val="006B768D"/>
    <w:rsid w:val="006B7968"/>
    <w:rsid w:val="006B7A37"/>
    <w:rsid w:val="006B7D9B"/>
    <w:rsid w:val="006C0339"/>
    <w:rsid w:val="006C04FF"/>
    <w:rsid w:val="006C0947"/>
    <w:rsid w:val="006C0C74"/>
    <w:rsid w:val="006C0FAE"/>
    <w:rsid w:val="006C17A6"/>
    <w:rsid w:val="006C2F2B"/>
    <w:rsid w:val="006C2FFF"/>
    <w:rsid w:val="006C3F61"/>
    <w:rsid w:val="006C49CC"/>
    <w:rsid w:val="006C5062"/>
    <w:rsid w:val="006C566E"/>
    <w:rsid w:val="006C5817"/>
    <w:rsid w:val="006C65DC"/>
    <w:rsid w:val="006C6AA0"/>
    <w:rsid w:val="006C6E4F"/>
    <w:rsid w:val="006C713E"/>
    <w:rsid w:val="006C7673"/>
    <w:rsid w:val="006C7C1D"/>
    <w:rsid w:val="006D06CB"/>
    <w:rsid w:val="006D0ADF"/>
    <w:rsid w:val="006D0D60"/>
    <w:rsid w:val="006D17C9"/>
    <w:rsid w:val="006D2245"/>
    <w:rsid w:val="006D269F"/>
    <w:rsid w:val="006D270B"/>
    <w:rsid w:val="006D2E3C"/>
    <w:rsid w:val="006D3A8D"/>
    <w:rsid w:val="006D3B12"/>
    <w:rsid w:val="006D3B17"/>
    <w:rsid w:val="006D4FC2"/>
    <w:rsid w:val="006D58FC"/>
    <w:rsid w:val="006D6454"/>
    <w:rsid w:val="006D645A"/>
    <w:rsid w:val="006E044A"/>
    <w:rsid w:val="006E12D7"/>
    <w:rsid w:val="006E18ED"/>
    <w:rsid w:val="006E1FA9"/>
    <w:rsid w:val="006E3AFF"/>
    <w:rsid w:val="006E3BE6"/>
    <w:rsid w:val="006E4003"/>
    <w:rsid w:val="006E40CA"/>
    <w:rsid w:val="006E4767"/>
    <w:rsid w:val="006E516C"/>
    <w:rsid w:val="006E560D"/>
    <w:rsid w:val="006E5A9D"/>
    <w:rsid w:val="006E6392"/>
    <w:rsid w:val="006E6F3F"/>
    <w:rsid w:val="006E79A2"/>
    <w:rsid w:val="006E7AAB"/>
    <w:rsid w:val="006F09B0"/>
    <w:rsid w:val="006F0EB6"/>
    <w:rsid w:val="006F1328"/>
    <w:rsid w:val="006F1C6E"/>
    <w:rsid w:val="006F2435"/>
    <w:rsid w:val="006F2867"/>
    <w:rsid w:val="006F3AEF"/>
    <w:rsid w:val="006F4A8B"/>
    <w:rsid w:val="006F4F22"/>
    <w:rsid w:val="006F4FE1"/>
    <w:rsid w:val="006F5012"/>
    <w:rsid w:val="006F5273"/>
    <w:rsid w:val="006F5818"/>
    <w:rsid w:val="006F61B9"/>
    <w:rsid w:val="006F6843"/>
    <w:rsid w:val="006F70E1"/>
    <w:rsid w:val="00700869"/>
    <w:rsid w:val="007008B0"/>
    <w:rsid w:val="00700C61"/>
    <w:rsid w:val="00702D69"/>
    <w:rsid w:val="0070425D"/>
    <w:rsid w:val="00704C1E"/>
    <w:rsid w:val="007054E3"/>
    <w:rsid w:val="0070653B"/>
    <w:rsid w:val="00706727"/>
    <w:rsid w:val="00706F9B"/>
    <w:rsid w:val="00707532"/>
    <w:rsid w:val="007078B2"/>
    <w:rsid w:val="00711100"/>
    <w:rsid w:val="00711B56"/>
    <w:rsid w:val="0071214B"/>
    <w:rsid w:val="00712275"/>
    <w:rsid w:val="0071269B"/>
    <w:rsid w:val="00712CDD"/>
    <w:rsid w:val="00715CBA"/>
    <w:rsid w:val="00717611"/>
    <w:rsid w:val="00717B3C"/>
    <w:rsid w:val="00717DE0"/>
    <w:rsid w:val="007209AA"/>
    <w:rsid w:val="007210C8"/>
    <w:rsid w:val="00721CEA"/>
    <w:rsid w:val="00721EC4"/>
    <w:rsid w:val="00722A6B"/>
    <w:rsid w:val="00722AF8"/>
    <w:rsid w:val="007238D3"/>
    <w:rsid w:val="00724CBE"/>
    <w:rsid w:val="00726CF4"/>
    <w:rsid w:val="0072725B"/>
    <w:rsid w:val="00727563"/>
    <w:rsid w:val="00727B12"/>
    <w:rsid w:val="00727DDE"/>
    <w:rsid w:val="007309BB"/>
    <w:rsid w:val="007320C1"/>
    <w:rsid w:val="00732ACD"/>
    <w:rsid w:val="007333B5"/>
    <w:rsid w:val="0073433F"/>
    <w:rsid w:val="00734E36"/>
    <w:rsid w:val="00735014"/>
    <w:rsid w:val="00736A31"/>
    <w:rsid w:val="00737898"/>
    <w:rsid w:val="00737A5F"/>
    <w:rsid w:val="00740971"/>
    <w:rsid w:val="00740D80"/>
    <w:rsid w:val="00741011"/>
    <w:rsid w:val="00741B00"/>
    <w:rsid w:val="00741DF0"/>
    <w:rsid w:val="007431D4"/>
    <w:rsid w:val="00743FC5"/>
    <w:rsid w:val="00745A5C"/>
    <w:rsid w:val="00747057"/>
    <w:rsid w:val="00747A7B"/>
    <w:rsid w:val="0075029D"/>
    <w:rsid w:val="00751274"/>
    <w:rsid w:val="00751B50"/>
    <w:rsid w:val="00753531"/>
    <w:rsid w:val="0075381D"/>
    <w:rsid w:val="007542EB"/>
    <w:rsid w:val="007546A2"/>
    <w:rsid w:val="00755E16"/>
    <w:rsid w:val="0075642F"/>
    <w:rsid w:val="007569E9"/>
    <w:rsid w:val="00756C68"/>
    <w:rsid w:val="00756FC3"/>
    <w:rsid w:val="0075778B"/>
    <w:rsid w:val="007603FA"/>
    <w:rsid w:val="00760523"/>
    <w:rsid w:val="0076254B"/>
    <w:rsid w:val="00762996"/>
    <w:rsid w:val="00762F1B"/>
    <w:rsid w:val="00762FC9"/>
    <w:rsid w:val="00763856"/>
    <w:rsid w:val="00763869"/>
    <w:rsid w:val="00764A0B"/>
    <w:rsid w:val="0076547F"/>
    <w:rsid w:val="00765765"/>
    <w:rsid w:val="00765F6E"/>
    <w:rsid w:val="007660AD"/>
    <w:rsid w:val="00766478"/>
    <w:rsid w:val="00766D66"/>
    <w:rsid w:val="007673AB"/>
    <w:rsid w:val="00770026"/>
    <w:rsid w:val="00770176"/>
    <w:rsid w:val="007722B9"/>
    <w:rsid w:val="00772731"/>
    <w:rsid w:val="00775253"/>
    <w:rsid w:val="007763FE"/>
    <w:rsid w:val="00776EAB"/>
    <w:rsid w:val="007777F5"/>
    <w:rsid w:val="00777B78"/>
    <w:rsid w:val="007803DB"/>
    <w:rsid w:val="00780695"/>
    <w:rsid w:val="00780B4C"/>
    <w:rsid w:val="007812E9"/>
    <w:rsid w:val="007819DA"/>
    <w:rsid w:val="00781AFF"/>
    <w:rsid w:val="00781C0D"/>
    <w:rsid w:val="00781C7B"/>
    <w:rsid w:val="00782B08"/>
    <w:rsid w:val="00782F86"/>
    <w:rsid w:val="0078305B"/>
    <w:rsid w:val="0078346E"/>
    <w:rsid w:val="00784356"/>
    <w:rsid w:val="00784970"/>
    <w:rsid w:val="00786D40"/>
    <w:rsid w:val="00786E5D"/>
    <w:rsid w:val="0078787A"/>
    <w:rsid w:val="00787E8D"/>
    <w:rsid w:val="0079028A"/>
    <w:rsid w:val="0079143E"/>
    <w:rsid w:val="007918B1"/>
    <w:rsid w:val="00791A24"/>
    <w:rsid w:val="00791DE1"/>
    <w:rsid w:val="007928ED"/>
    <w:rsid w:val="007931E3"/>
    <w:rsid w:val="00793ABE"/>
    <w:rsid w:val="00793BB3"/>
    <w:rsid w:val="00795763"/>
    <w:rsid w:val="00796675"/>
    <w:rsid w:val="007969C7"/>
    <w:rsid w:val="00796BEF"/>
    <w:rsid w:val="007A095A"/>
    <w:rsid w:val="007A1C1A"/>
    <w:rsid w:val="007A2B3E"/>
    <w:rsid w:val="007A315E"/>
    <w:rsid w:val="007A36C0"/>
    <w:rsid w:val="007A460B"/>
    <w:rsid w:val="007A4B79"/>
    <w:rsid w:val="007A58E7"/>
    <w:rsid w:val="007A5D0C"/>
    <w:rsid w:val="007A69D2"/>
    <w:rsid w:val="007A7A88"/>
    <w:rsid w:val="007B00A1"/>
    <w:rsid w:val="007B0374"/>
    <w:rsid w:val="007B085D"/>
    <w:rsid w:val="007B1D15"/>
    <w:rsid w:val="007B2DDA"/>
    <w:rsid w:val="007B3080"/>
    <w:rsid w:val="007B53E5"/>
    <w:rsid w:val="007B55CC"/>
    <w:rsid w:val="007B607E"/>
    <w:rsid w:val="007B674D"/>
    <w:rsid w:val="007B6AF9"/>
    <w:rsid w:val="007B6B9A"/>
    <w:rsid w:val="007B6D54"/>
    <w:rsid w:val="007B76DD"/>
    <w:rsid w:val="007B7A68"/>
    <w:rsid w:val="007B7C57"/>
    <w:rsid w:val="007C01F5"/>
    <w:rsid w:val="007C0B3B"/>
    <w:rsid w:val="007C0C2D"/>
    <w:rsid w:val="007C1012"/>
    <w:rsid w:val="007C164F"/>
    <w:rsid w:val="007C1AFE"/>
    <w:rsid w:val="007C24A1"/>
    <w:rsid w:val="007C2A6B"/>
    <w:rsid w:val="007C2B2A"/>
    <w:rsid w:val="007C3774"/>
    <w:rsid w:val="007C4376"/>
    <w:rsid w:val="007C53E1"/>
    <w:rsid w:val="007C5AF5"/>
    <w:rsid w:val="007C5E42"/>
    <w:rsid w:val="007C70C7"/>
    <w:rsid w:val="007D0198"/>
    <w:rsid w:val="007D022F"/>
    <w:rsid w:val="007D0237"/>
    <w:rsid w:val="007D0DE2"/>
    <w:rsid w:val="007D1002"/>
    <w:rsid w:val="007D2485"/>
    <w:rsid w:val="007D29FB"/>
    <w:rsid w:val="007D35B9"/>
    <w:rsid w:val="007D464E"/>
    <w:rsid w:val="007D48B9"/>
    <w:rsid w:val="007D54B7"/>
    <w:rsid w:val="007D6154"/>
    <w:rsid w:val="007D6618"/>
    <w:rsid w:val="007D6C2C"/>
    <w:rsid w:val="007D75C2"/>
    <w:rsid w:val="007E0A4C"/>
    <w:rsid w:val="007E0E47"/>
    <w:rsid w:val="007E1EFA"/>
    <w:rsid w:val="007E2009"/>
    <w:rsid w:val="007E3AE9"/>
    <w:rsid w:val="007E3C29"/>
    <w:rsid w:val="007E43F3"/>
    <w:rsid w:val="007E4554"/>
    <w:rsid w:val="007E49DC"/>
    <w:rsid w:val="007E4D0B"/>
    <w:rsid w:val="007E4DBE"/>
    <w:rsid w:val="007E54DC"/>
    <w:rsid w:val="007E568D"/>
    <w:rsid w:val="007E5796"/>
    <w:rsid w:val="007E5BC3"/>
    <w:rsid w:val="007E5D1E"/>
    <w:rsid w:val="007E64B4"/>
    <w:rsid w:val="007E6534"/>
    <w:rsid w:val="007E6827"/>
    <w:rsid w:val="007E6A34"/>
    <w:rsid w:val="007E7402"/>
    <w:rsid w:val="007E7991"/>
    <w:rsid w:val="007E7CC8"/>
    <w:rsid w:val="007E7D1B"/>
    <w:rsid w:val="007E8368"/>
    <w:rsid w:val="007F017C"/>
    <w:rsid w:val="007F057A"/>
    <w:rsid w:val="007F0741"/>
    <w:rsid w:val="007F08CB"/>
    <w:rsid w:val="007F0B45"/>
    <w:rsid w:val="007F1C19"/>
    <w:rsid w:val="007F2217"/>
    <w:rsid w:val="007F2500"/>
    <w:rsid w:val="007F252C"/>
    <w:rsid w:val="007F283B"/>
    <w:rsid w:val="007F3650"/>
    <w:rsid w:val="007F4102"/>
    <w:rsid w:val="007F57EE"/>
    <w:rsid w:val="007F5E9B"/>
    <w:rsid w:val="007F5ED4"/>
    <w:rsid w:val="007F62AF"/>
    <w:rsid w:val="007F69F2"/>
    <w:rsid w:val="007F6B2C"/>
    <w:rsid w:val="007F6FB6"/>
    <w:rsid w:val="007F783A"/>
    <w:rsid w:val="007F7C1E"/>
    <w:rsid w:val="008019F3"/>
    <w:rsid w:val="00801ECA"/>
    <w:rsid w:val="0080203A"/>
    <w:rsid w:val="00802139"/>
    <w:rsid w:val="00802B4F"/>
    <w:rsid w:val="00802D34"/>
    <w:rsid w:val="008041DF"/>
    <w:rsid w:val="008044FD"/>
    <w:rsid w:val="0080528E"/>
    <w:rsid w:val="00806B4C"/>
    <w:rsid w:val="00806D74"/>
    <w:rsid w:val="00807119"/>
    <w:rsid w:val="0080713F"/>
    <w:rsid w:val="00807A09"/>
    <w:rsid w:val="00807AA5"/>
    <w:rsid w:val="00810161"/>
    <w:rsid w:val="00810CCF"/>
    <w:rsid w:val="00811234"/>
    <w:rsid w:val="00811CA0"/>
    <w:rsid w:val="00811D32"/>
    <w:rsid w:val="00812786"/>
    <w:rsid w:val="00813957"/>
    <w:rsid w:val="00813BA8"/>
    <w:rsid w:val="008142FC"/>
    <w:rsid w:val="00814B5B"/>
    <w:rsid w:val="0081529B"/>
    <w:rsid w:val="00816181"/>
    <w:rsid w:val="00816185"/>
    <w:rsid w:val="00816366"/>
    <w:rsid w:val="008165DA"/>
    <w:rsid w:val="008178E5"/>
    <w:rsid w:val="00817D26"/>
    <w:rsid w:val="00817FC9"/>
    <w:rsid w:val="008212CE"/>
    <w:rsid w:val="00822816"/>
    <w:rsid w:val="00822AEE"/>
    <w:rsid w:val="0082440E"/>
    <w:rsid w:val="0082458D"/>
    <w:rsid w:val="008252CC"/>
    <w:rsid w:val="008252D6"/>
    <w:rsid w:val="00825AE6"/>
    <w:rsid w:val="00825CE9"/>
    <w:rsid w:val="008260E4"/>
    <w:rsid w:val="00826BA8"/>
    <w:rsid w:val="00826C2C"/>
    <w:rsid w:val="00827713"/>
    <w:rsid w:val="00827B1B"/>
    <w:rsid w:val="00830A7C"/>
    <w:rsid w:val="008312B6"/>
    <w:rsid w:val="008325BC"/>
    <w:rsid w:val="00832AF8"/>
    <w:rsid w:val="00832D82"/>
    <w:rsid w:val="0083344C"/>
    <w:rsid w:val="0083356F"/>
    <w:rsid w:val="0083417D"/>
    <w:rsid w:val="008348C1"/>
    <w:rsid w:val="00834A2F"/>
    <w:rsid w:val="008353E6"/>
    <w:rsid w:val="0083545D"/>
    <w:rsid w:val="0083629B"/>
    <w:rsid w:val="008371AA"/>
    <w:rsid w:val="0083789B"/>
    <w:rsid w:val="00837A83"/>
    <w:rsid w:val="0084034E"/>
    <w:rsid w:val="00840DB2"/>
    <w:rsid w:val="008421BC"/>
    <w:rsid w:val="008423C4"/>
    <w:rsid w:val="00843961"/>
    <w:rsid w:val="00843A1C"/>
    <w:rsid w:val="00843B11"/>
    <w:rsid w:val="0084448A"/>
    <w:rsid w:val="00844563"/>
    <w:rsid w:val="00844A9D"/>
    <w:rsid w:val="00844D3A"/>
    <w:rsid w:val="008450E5"/>
    <w:rsid w:val="0084513B"/>
    <w:rsid w:val="0084525F"/>
    <w:rsid w:val="008453C3"/>
    <w:rsid w:val="008455B6"/>
    <w:rsid w:val="00845E72"/>
    <w:rsid w:val="00846039"/>
    <w:rsid w:val="00846D40"/>
    <w:rsid w:val="008472D5"/>
    <w:rsid w:val="008479A5"/>
    <w:rsid w:val="0084B3E5"/>
    <w:rsid w:val="008514D0"/>
    <w:rsid w:val="00851E0F"/>
    <w:rsid w:val="00852CEC"/>
    <w:rsid w:val="008537E5"/>
    <w:rsid w:val="00854731"/>
    <w:rsid w:val="00854ABF"/>
    <w:rsid w:val="0085514C"/>
    <w:rsid w:val="0085761F"/>
    <w:rsid w:val="008579FE"/>
    <w:rsid w:val="00857A2C"/>
    <w:rsid w:val="008603A8"/>
    <w:rsid w:val="0086069C"/>
    <w:rsid w:val="00860D46"/>
    <w:rsid w:val="008615EB"/>
    <w:rsid w:val="008618B9"/>
    <w:rsid w:val="0086317B"/>
    <w:rsid w:val="008633DD"/>
    <w:rsid w:val="00864229"/>
    <w:rsid w:val="0086566A"/>
    <w:rsid w:val="00865C69"/>
    <w:rsid w:val="008660CF"/>
    <w:rsid w:val="00870EC2"/>
    <w:rsid w:val="00871211"/>
    <w:rsid w:val="00871954"/>
    <w:rsid w:val="008721DD"/>
    <w:rsid w:val="008724F1"/>
    <w:rsid w:val="0087281B"/>
    <w:rsid w:val="008735D0"/>
    <w:rsid w:val="0087497B"/>
    <w:rsid w:val="00874E25"/>
    <w:rsid w:val="00875A26"/>
    <w:rsid w:val="00876159"/>
    <w:rsid w:val="008766EB"/>
    <w:rsid w:val="00876F07"/>
    <w:rsid w:val="008772AF"/>
    <w:rsid w:val="0087797B"/>
    <w:rsid w:val="00877B7B"/>
    <w:rsid w:val="00880BC0"/>
    <w:rsid w:val="00880CCA"/>
    <w:rsid w:val="00881170"/>
    <w:rsid w:val="00881534"/>
    <w:rsid w:val="008818EE"/>
    <w:rsid w:val="0088191E"/>
    <w:rsid w:val="008820EE"/>
    <w:rsid w:val="008820F5"/>
    <w:rsid w:val="00882983"/>
    <w:rsid w:val="00882C8C"/>
    <w:rsid w:val="00882DEC"/>
    <w:rsid w:val="00883D46"/>
    <w:rsid w:val="008843DE"/>
    <w:rsid w:val="00884925"/>
    <w:rsid w:val="00887020"/>
    <w:rsid w:val="00887255"/>
    <w:rsid w:val="008873B8"/>
    <w:rsid w:val="0088769C"/>
    <w:rsid w:val="0088799C"/>
    <w:rsid w:val="00887C08"/>
    <w:rsid w:val="00887EC7"/>
    <w:rsid w:val="0089098A"/>
    <w:rsid w:val="0089130F"/>
    <w:rsid w:val="00891762"/>
    <w:rsid w:val="00892315"/>
    <w:rsid w:val="008928CA"/>
    <w:rsid w:val="00892A39"/>
    <w:rsid w:val="00892CAF"/>
    <w:rsid w:val="008930F0"/>
    <w:rsid w:val="008940EC"/>
    <w:rsid w:val="00894F32"/>
    <w:rsid w:val="00895C56"/>
    <w:rsid w:val="00896AEA"/>
    <w:rsid w:val="008974A2"/>
    <w:rsid w:val="0089785F"/>
    <w:rsid w:val="008A0249"/>
    <w:rsid w:val="008A1A08"/>
    <w:rsid w:val="008A1EA7"/>
    <w:rsid w:val="008A3DEA"/>
    <w:rsid w:val="008A41BD"/>
    <w:rsid w:val="008A5C1A"/>
    <w:rsid w:val="008A7873"/>
    <w:rsid w:val="008B0111"/>
    <w:rsid w:val="008B0385"/>
    <w:rsid w:val="008B0EB5"/>
    <w:rsid w:val="008B11DA"/>
    <w:rsid w:val="008B19AF"/>
    <w:rsid w:val="008B1D8D"/>
    <w:rsid w:val="008B20AB"/>
    <w:rsid w:val="008B20C0"/>
    <w:rsid w:val="008B2E12"/>
    <w:rsid w:val="008B3570"/>
    <w:rsid w:val="008B3868"/>
    <w:rsid w:val="008B3ED9"/>
    <w:rsid w:val="008B5CC9"/>
    <w:rsid w:val="008B66AE"/>
    <w:rsid w:val="008B68B7"/>
    <w:rsid w:val="008B6B71"/>
    <w:rsid w:val="008B6DCA"/>
    <w:rsid w:val="008B7BEC"/>
    <w:rsid w:val="008B7DBB"/>
    <w:rsid w:val="008C12D9"/>
    <w:rsid w:val="008C253B"/>
    <w:rsid w:val="008C27C9"/>
    <w:rsid w:val="008C2B7E"/>
    <w:rsid w:val="008C2D12"/>
    <w:rsid w:val="008C2DEF"/>
    <w:rsid w:val="008C30B4"/>
    <w:rsid w:val="008C4DBD"/>
    <w:rsid w:val="008C50FC"/>
    <w:rsid w:val="008C56BD"/>
    <w:rsid w:val="008C5E8A"/>
    <w:rsid w:val="008C61B9"/>
    <w:rsid w:val="008C6955"/>
    <w:rsid w:val="008C7435"/>
    <w:rsid w:val="008C74D0"/>
    <w:rsid w:val="008C762A"/>
    <w:rsid w:val="008C7902"/>
    <w:rsid w:val="008D0BE3"/>
    <w:rsid w:val="008D134A"/>
    <w:rsid w:val="008D21D0"/>
    <w:rsid w:val="008D25E7"/>
    <w:rsid w:val="008D2C3C"/>
    <w:rsid w:val="008D31BB"/>
    <w:rsid w:val="008D385F"/>
    <w:rsid w:val="008D3D2C"/>
    <w:rsid w:val="008D4B9D"/>
    <w:rsid w:val="008D59F7"/>
    <w:rsid w:val="008D6461"/>
    <w:rsid w:val="008D64FC"/>
    <w:rsid w:val="008D6A9F"/>
    <w:rsid w:val="008D7BAE"/>
    <w:rsid w:val="008D7BC5"/>
    <w:rsid w:val="008D7C7A"/>
    <w:rsid w:val="008E02CC"/>
    <w:rsid w:val="008E0739"/>
    <w:rsid w:val="008E0B08"/>
    <w:rsid w:val="008E1110"/>
    <w:rsid w:val="008E2024"/>
    <w:rsid w:val="008E4EAA"/>
    <w:rsid w:val="008E53B0"/>
    <w:rsid w:val="008E61B6"/>
    <w:rsid w:val="008E62B6"/>
    <w:rsid w:val="008E63B0"/>
    <w:rsid w:val="008E7502"/>
    <w:rsid w:val="008F04F5"/>
    <w:rsid w:val="008F06D9"/>
    <w:rsid w:val="008F087E"/>
    <w:rsid w:val="008F0C5E"/>
    <w:rsid w:val="008F0D3D"/>
    <w:rsid w:val="008F0E8F"/>
    <w:rsid w:val="008F136B"/>
    <w:rsid w:val="008F1F5A"/>
    <w:rsid w:val="008F2CE8"/>
    <w:rsid w:val="008F31C2"/>
    <w:rsid w:val="008F37D1"/>
    <w:rsid w:val="008F4333"/>
    <w:rsid w:val="008F472F"/>
    <w:rsid w:val="008F4867"/>
    <w:rsid w:val="008F499C"/>
    <w:rsid w:val="008F4AE6"/>
    <w:rsid w:val="008F4F44"/>
    <w:rsid w:val="008F571F"/>
    <w:rsid w:val="008F675C"/>
    <w:rsid w:val="008F7A4E"/>
    <w:rsid w:val="00900052"/>
    <w:rsid w:val="009001D7"/>
    <w:rsid w:val="009004BE"/>
    <w:rsid w:val="009004C8"/>
    <w:rsid w:val="00900E48"/>
    <w:rsid w:val="00901E20"/>
    <w:rsid w:val="00902940"/>
    <w:rsid w:val="00903D09"/>
    <w:rsid w:val="00903E40"/>
    <w:rsid w:val="00903F29"/>
    <w:rsid w:val="0090425B"/>
    <w:rsid w:val="009060C7"/>
    <w:rsid w:val="009065A7"/>
    <w:rsid w:val="00906BBD"/>
    <w:rsid w:val="0090715A"/>
    <w:rsid w:val="00907DF3"/>
    <w:rsid w:val="009101B1"/>
    <w:rsid w:val="009101F3"/>
    <w:rsid w:val="009104F9"/>
    <w:rsid w:val="00911904"/>
    <w:rsid w:val="00911E12"/>
    <w:rsid w:val="00912EFB"/>
    <w:rsid w:val="00913131"/>
    <w:rsid w:val="00913706"/>
    <w:rsid w:val="00913B5C"/>
    <w:rsid w:val="00914393"/>
    <w:rsid w:val="00914E47"/>
    <w:rsid w:val="00915A4B"/>
    <w:rsid w:val="00917216"/>
    <w:rsid w:val="00917317"/>
    <w:rsid w:val="009174AF"/>
    <w:rsid w:val="0091766C"/>
    <w:rsid w:val="00917A58"/>
    <w:rsid w:val="009200BD"/>
    <w:rsid w:val="00920F1F"/>
    <w:rsid w:val="0092134B"/>
    <w:rsid w:val="00921B61"/>
    <w:rsid w:val="009224E5"/>
    <w:rsid w:val="0092257B"/>
    <w:rsid w:val="00922DBC"/>
    <w:rsid w:val="009236C5"/>
    <w:rsid w:val="00924409"/>
    <w:rsid w:val="00924737"/>
    <w:rsid w:val="00924F42"/>
    <w:rsid w:val="009250E4"/>
    <w:rsid w:val="0092526F"/>
    <w:rsid w:val="009262C6"/>
    <w:rsid w:val="009263AA"/>
    <w:rsid w:val="0092677D"/>
    <w:rsid w:val="00927058"/>
    <w:rsid w:val="00927B29"/>
    <w:rsid w:val="009309FB"/>
    <w:rsid w:val="00930A1B"/>
    <w:rsid w:val="00930BD6"/>
    <w:rsid w:val="009314A5"/>
    <w:rsid w:val="00931983"/>
    <w:rsid w:val="00931BBD"/>
    <w:rsid w:val="0093218E"/>
    <w:rsid w:val="0093250A"/>
    <w:rsid w:val="00932518"/>
    <w:rsid w:val="009325B3"/>
    <w:rsid w:val="00933687"/>
    <w:rsid w:val="00934135"/>
    <w:rsid w:val="00934710"/>
    <w:rsid w:val="009350F7"/>
    <w:rsid w:val="0093522B"/>
    <w:rsid w:val="00935C00"/>
    <w:rsid w:val="009361EA"/>
    <w:rsid w:val="0093644E"/>
    <w:rsid w:val="009364FA"/>
    <w:rsid w:val="00936731"/>
    <w:rsid w:val="009372F9"/>
    <w:rsid w:val="00937633"/>
    <w:rsid w:val="009379F7"/>
    <w:rsid w:val="009403CB"/>
    <w:rsid w:val="009404C5"/>
    <w:rsid w:val="00940745"/>
    <w:rsid w:val="009424BB"/>
    <w:rsid w:val="009425F7"/>
    <w:rsid w:val="00942B26"/>
    <w:rsid w:val="00942BC8"/>
    <w:rsid w:val="0094361B"/>
    <w:rsid w:val="00943B33"/>
    <w:rsid w:val="009440DF"/>
    <w:rsid w:val="0094452C"/>
    <w:rsid w:val="00945894"/>
    <w:rsid w:val="00946278"/>
    <w:rsid w:val="00947293"/>
    <w:rsid w:val="00947898"/>
    <w:rsid w:val="00950334"/>
    <w:rsid w:val="00952103"/>
    <w:rsid w:val="009533D7"/>
    <w:rsid w:val="00954CE6"/>
    <w:rsid w:val="00954E2F"/>
    <w:rsid w:val="00955DA2"/>
    <w:rsid w:val="00956A3B"/>
    <w:rsid w:val="00957351"/>
    <w:rsid w:val="00957798"/>
    <w:rsid w:val="00957A6E"/>
    <w:rsid w:val="00960478"/>
    <w:rsid w:val="00961171"/>
    <w:rsid w:val="00961424"/>
    <w:rsid w:val="00962F34"/>
    <w:rsid w:val="009639CC"/>
    <w:rsid w:val="00964039"/>
    <w:rsid w:val="0096416A"/>
    <w:rsid w:val="00964D9B"/>
    <w:rsid w:val="009652B1"/>
    <w:rsid w:val="0096568D"/>
    <w:rsid w:val="00965AEF"/>
    <w:rsid w:val="00965D26"/>
    <w:rsid w:val="00965D48"/>
    <w:rsid w:val="00965F78"/>
    <w:rsid w:val="00966007"/>
    <w:rsid w:val="00966E0A"/>
    <w:rsid w:val="00966F98"/>
    <w:rsid w:val="00967678"/>
    <w:rsid w:val="00967FD7"/>
    <w:rsid w:val="0097285E"/>
    <w:rsid w:val="00972AAF"/>
    <w:rsid w:val="00972D64"/>
    <w:rsid w:val="009733F7"/>
    <w:rsid w:val="00973741"/>
    <w:rsid w:val="009744C8"/>
    <w:rsid w:val="009758CB"/>
    <w:rsid w:val="00975BE3"/>
    <w:rsid w:val="00975DBC"/>
    <w:rsid w:val="00975F56"/>
    <w:rsid w:val="009805BC"/>
    <w:rsid w:val="00981161"/>
    <w:rsid w:val="00982169"/>
    <w:rsid w:val="00982CA6"/>
    <w:rsid w:val="00983669"/>
    <w:rsid w:val="00984D78"/>
    <w:rsid w:val="00985E23"/>
    <w:rsid w:val="0098646A"/>
    <w:rsid w:val="009866BE"/>
    <w:rsid w:val="00986BC8"/>
    <w:rsid w:val="00986C26"/>
    <w:rsid w:val="00986D9F"/>
    <w:rsid w:val="00987108"/>
    <w:rsid w:val="0098786B"/>
    <w:rsid w:val="009878EF"/>
    <w:rsid w:val="00990181"/>
    <w:rsid w:val="00990383"/>
    <w:rsid w:val="009903A9"/>
    <w:rsid w:val="00990FD7"/>
    <w:rsid w:val="0099146F"/>
    <w:rsid w:val="00992961"/>
    <w:rsid w:val="009932E8"/>
    <w:rsid w:val="00993E83"/>
    <w:rsid w:val="009952BB"/>
    <w:rsid w:val="00996856"/>
    <w:rsid w:val="00996975"/>
    <w:rsid w:val="009A0207"/>
    <w:rsid w:val="009A0489"/>
    <w:rsid w:val="009A094C"/>
    <w:rsid w:val="009A0B49"/>
    <w:rsid w:val="009A16FD"/>
    <w:rsid w:val="009A225F"/>
    <w:rsid w:val="009A2311"/>
    <w:rsid w:val="009A2ECB"/>
    <w:rsid w:val="009A3814"/>
    <w:rsid w:val="009A40A7"/>
    <w:rsid w:val="009A5BD6"/>
    <w:rsid w:val="009A60F6"/>
    <w:rsid w:val="009A6191"/>
    <w:rsid w:val="009A7734"/>
    <w:rsid w:val="009A7936"/>
    <w:rsid w:val="009AFDFE"/>
    <w:rsid w:val="009B1180"/>
    <w:rsid w:val="009B122F"/>
    <w:rsid w:val="009B1457"/>
    <w:rsid w:val="009B22A8"/>
    <w:rsid w:val="009B2A79"/>
    <w:rsid w:val="009B2E21"/>
    <w:rsid w:val="009B368E"/>
    <w:rsid w:val="009B3A14"/>
    <w:rsid w:val="009B3DC5"/>
    <w:rsid w:val="009B40F6"/>
    <w:rsid w:val="009B4C59"/>
    <w:rsid w:val="009B4CC8"/>
    <w:rsid w:val="009B5030"/>
    <w:rsid w:val="009B51D3"/>
    <w:rsid w:val="009B56A2"/>
    <w:rsid w:val="009B6A21"/>
    <w:rsid w:val="009B707C"/>
    <w:rsid w:val="009B73E9"/>
    <w:rsid w:val="009B7F29"/>
    <w:rsid w:val="009C059B"/>
    <w:rsid w:val="009C1028"/>
    <w:rsid w:val="009C19B9"/>
    <w:rsid w:val="009C1A34"/>
    <w:rsid w:val="009C1AF6"/>
    <w:rsid w:val="009C1D4D"/>
    <w:rsid w:val="009C2217"/>
    <w:rsid w:val="009C2484"/>
    <w:rsid w:val="009C2C60"/>
    <w:rsid w:val="009C32E5"/>
    <w:rsid w:val="009C3CC9"/>
    <w:rsid w:val="009C4444"/>
    <w:rsid w:val="009C5182"/>
    <w:rsid w:val="009C5865"/>
    <w:rsid w:val="009C6D7E"/>
    <w:rsid w:val="009D07E4"/>
    <w:rsid w:val="009D180E"/>
    <w:rsid w:val="009D18F9"/>
    <w:rsid w:val="009D1990"/>
    <w:rsid w:val="009D1A25"/>
    <w:rsid w:val="009D1C69"/>
    <w:rsid w:val="009D1F96"/>
    <w:rsid w:val="009D2F27"/>
    <w:rsid w:val="009D31E8"/>
    <w:rsid w:val="009D49A7"/>
    <w:rsid w:val="009D4E3E"/>
    <w:rsid w:val="009D4FB2"/>
    <w:rsid w:val="009D5582"/>
    <w:rsid w:val="009D6ED7"/>
    <w:rsid w:val="009D7248"/>
    <w:rsid w:val="009D79B4"/>
    <w:rsid w:val="009D7C9E"/>
    <w:rsid w:val="009E0823"/>
    <w:rsid w:val="009E0B7C"/>
    <w:rsid w:val="009E1C1F"/>
    <w:rsid w:val="009E3289"/>
    <w:rsid w:val="009E3DD9"/>
    <w:rsid w:val="009E6985"/>
    <w:rsid w:val="009E6AE6"/>
    <w:rsid w:val="009E6B60"/>
    <w:rsid w:val="009E6F34"/>
    <w:rsid w:val="009E706A"/>
    <w:rsid w:val="009E7796"/>
    <w:rsid w:val="009E7AFA"/>
    <w:rsid w:val="009F0E67"/>
    <w:rsid w:val="009F1257"/>
    <w:rsid w:val="009F180C"/>
    <w:rsid w:val="009F2076"/>
    <w:rsid w:val="009F2B6F"/>
    <w:rsid w:val="009F2F42"/>
    <w:rsid w:val="009F34A6"/>
    <w:rsid w:val="009F412B"/>
    <w:rsid w:val="009F426E"/>
    <w:rsid w:val="009F455D"/>
    <w:rsid w:val="009F4792"/>
    <w:rsid w:val="009F5307"/>
    <w:rsid w:val="009F5EF3"/>
    <w:rsid w:val="009F5EF8"/>
    <w:rsid w:val="009F61B5"/>
    <w:rsid w:val="009F673D"/>
    <w:rsid w:val="009F6909"/>
    <w:rsid w:val="009F6B43"/>
    <w:rsid w:val="009F726E"/>
    <w:rsid w:val="009F72E4"/>
    <w:rsid w:val="009F73F5"/>
    <w:rsid w:val="009F76F4"/>
    <w:rsid w:val="009F7A31"/>
    <w:rsid w:val="009F7BAC"/>
    <w:rsid w:val="00A000DA"/>
    <w:rsid w:val="00A00CC2"/>
    <w:rsid w:val="00A022F4"/>
    <w:rsid w:val="00A02945"/>
    <w:rsid w:val="00A02D67"/>
    <w:rsid w:val="00A03E31"/>
    <w:rsid w:val="00A0424F"/>
    <w:rsid w:val="00A04530"/>
    <w:rsid w:val="00A04DF4"/>
    <w:rsid w:val="00A05127"/>
    <w:rsid w:val="00A0548D"/>
    <w:rsid w:val="00A05F5D"/>
    <w:rsid w:val="00A065D6"/>
    <w:rsid w:val="00A0709A"/>
    <w:rsid w:val="00A07618"/>
    <w:rsid w:val="00A07816"/>
    <w:rsid w:val="00A07E69"/>
    <w:rsid w:val="00A10999"/>
    <w:rsid w:val="00A10A86"/>
    <w:rsid w:val="00A11463"/>
    <w:rsid w:val="00A118C4"/>
    <w:rsid w:val="00A11DD0"/>
    <w:rsid w:val="00A127EC"/>
    <w:rsid w:val="00A12EA5"/>
    <w:rsid w:val="00A136F9"/>
    <w:rsid w:val="00A138C9"/>
    <w:rsid w:val="00A13F8D"/>
    <w:rsid w:val="00A14437"/>
    <w:rsid w:val="00A14B4D"/>
    <w:rsid w:val="00A14F1A"/>
    <w:rsid w:val="00A1516D"/>
    <w:rsid w:val="00A15442"/>
    <w:rsid w:val="00A15847"/>
    <w:rsid w:val="00A167B4"/>
    <w:rsid w:val="00A16E0C"/>
    <w:rsid w:val="00A16F87"/>
    <w:rsid w:val="00A1709A"/>
    <w:rsid w:val="00A170FD"/>
    <w:rsid w:val="00A1755B"/>
    <w:rsid w:val="00A178AE"/>
    <w:rsid w:val="00A21595"/>
    <w:rsid w:val="00A21AFC"/>
    <w:rsid w:val="00A22C4D"/>
    <w:rsid w:val="00A237FC"/>
    <w:rsid w:val="00A239E6"/>
    <w:rsid w:val="00A23BA1"/>
    <w:rsid w:val="00A2426E"/>
    <w:rsid w:val="00A25248"/>
    <w:rsid w:val="00A25321"/>
    <w:rsid w:val="00A25A3B"/>
    <w:rsid w:val="00A2687B"/>
    <w:rsid w:val="00A27025"/>
    <w:rsid w:val="00A2738B"/>
    <w:rsid w:val="00A27914"/>
    <w:rsid w:val="00A27E4D"/>
    <w:rsid w:val="00A3029B"/>
    <w:rsid w:val="00A308B8"/>
    <w:rsid w:val="00A31C95"/>
    <w:rsid w:val="00A323F1"/>
    <w:rsid w:val="00A3252F"/>
    <w:rsid w:val="00A33434"/>
    <w:rsid w:val="00A339D8"/>
    <w:rsid w:val="00A35488"/>
    <w:rsid w:val="00A3564B"/>
    <w:rsid w:val="00A36B45"/>
    <w:rsid w:val="00A36F0B"/>
    <w:rsid w:val="00A378D6"/>
    <w:rsid w:val="00A37B53"/>
    <w:rsid w:val="00A400C7"/>
    <w:rsid w:val="00A40B4D"/>
    <w:rsid w:val="00A41630"/>
    <w:rsid w:val="00A4253C"/>
    <w:rsid w:val="00A42AE6"/>
    <w:rsid w:val="00A42E2E"/>
    <w:rsid w:val="00A4373C"/>
    <w:rsid w:val="00A43A56"/>
    <w:rsid w:val="00A43BB3"/>
    <w:rsid w:val="00A445E0"/>
    <w:rsid w:val="00A44E86"/>
    <w:rsid w:val="00A45293"/>
    <w:rsid w:val="00A4617B"/>
    <w:rsid w:val="00A46556"/>
    <w:rsid w:val="00A4663C"/>
    <w:rsid w:val="00A46D5B"/>
    <w:rsid w:val="00A47066"/>
    <w:rsid w:val="00A4718F"/>
    <w:rsid w:val="00A509D7"/>
    <w:rsid w:val="00A50E97"/>
    <w:rsid w:val="00A511A3"/>
    <w:rsid w:val="00A519F9"/>
    <w:rsid w:val="00A51DC8"/>
    <w:rsid w:val="00A51E89"/>
    <w:rsid w:val="00A52738"/>
    <w:rsid w:val="00A535CE"/>
    <w:rsid w:val="00A54858"/>
    <w:rsid w:val="00A54CCC"/>
    <w:rsid w:val="00A54E39"/>
    <w:rsid w:val="00A56F94"/>
    <w:rsid w:val="00A60370"/>
    <w:rsid w:val="00A60407"/>
    <w:rsid w:val="00A605BF"/>
    <w:rsid w:val="00A60999"/>
    <w:rsid w:val="00A60DEA"/>
    <w:rsid w:val="00A61332"/>
    <w:rsid w:val="00A620B1"/>
    <w:rsid w:val="00A62419"/>
    <w:rsid w:val="00A63669"/>
    <w:rsid w:val="00A6373D"/>
    <w:rsid w:val="00A63779"/>
    <w:rsid w:val="00A641E8"/>
    <w:rsid w:val="00A64306"/>
    <w:rsid w:val="00A6448E"/>
    <w:rsid w:val="00A645A6"/>
    <w:rsid w:val="00A646C0"/>
    <w:rsid w:val="00A64785"/>
    <w:rsid w:val="00A647BB"/>
    <w:rsid w:val="00A64BF1"/>
    <w:rsid w:val="00A6558F"/>
    <w:rsid w:val="00A65931"/>
    <w:rsid w:val="00A65E6F"/>
    <w:rsid w:val="00A66103"/>
    <w:rsid w:val="00A67CD0"/>
    <w:rsid w:val="00A71892"/>
    <w:rsid w:val="00A719A7"/>
    <w:rsid w:val="00A71BB0"/>
    <w:rsid w:val="00A72FA7"/>
    <w:rsid w:val="00A73E41"/>
    <w:rsid w:val="00A73FC6"/>
    <w:rsid w:val="00A74C72"/>
    <w:rsid w:val="00A751A3"/>
    <w:rsid w:val="00A755EB"/>
    <w:rsid w:val="00A75D4F"/>
    <w:rsid w:val="00A7670E"/>
    <w:rsid w:val="00A77446"/>
    <w:rsid w:val="00A77473"/>
    <w:rsid w:val="00A77593"/>
    <w:rsid w:val="00A809F4"/>
    <w:rsid w:val="00A810FB"/>
    <w:rsid w:val="00A81530"/>
    <w:rsid w:val="00A8199D"/>
    <w:rsid w:val="00A82A02"/>
    <w:rsid w:val="00A8326E"/>
    <w:rsid w:val="00A8416F"/>
    <w:rsid w:val="00A84DB9"/>
    <w:rsid w:val="00A85660"/>
    <w:rsid w:val="00A86767"/>
    <w:rsid w:val="00A86A4B"/>
    <w:rsid w:val="00A86BEA"/>
    <w:rsid w:val="00A86FDA"/>
    <w:rsid w:val="00A87D79"/>
    <w:rsid w:val="00A904BB"/>
    <w:rsid w:val="00A9077F"/>
    <w:rsid w:val="00A90C70"/>
    <w:rsid w:val="00A91C74"/>
    <w:rsid w:val="00A926CC"/>
    <w:rsid w:val="00A92AF5"/>
    <w:rsid w:val="00A92E60"/>
    <w:rsid w:val="00A93255"/>
    <w:rsid w:val="00A93FB2"/>
    <w:rsid w:val="00A9428B"/>
    <w:rsid w:val="00A9447D"/>
    <w:rsid w:val="00A94862"/>
    <w:rsid w:val="00A94E45"/>
    <w:rsid w:val="00A95095"/>
    <w:rsid w:val="00A95842"/>
    <w:rsid w:val="00A96586"/>
    <w:rsid w:val="00A96CCA"/>
    <w:rsid w:val="00A97355"/>
    <w:rsid w:val="00A975B8"/>
    <w:rsid w:val="00A97C6B"/>
    <w:rsid w:val="00AA079D"/>
    <w:rsid w:val="00AA1FFA"/>
    <w:rsid w:val="00AA267B"/>
    <w:rsid w:val="00AA2A8D"/>
    <w:rsid w:val="00AA2D97"/>
    <w:rsid w:val="00AA434D"/>
    <w:rsid w:val="00AA46B7"/>
    <w:rsid w:val="00AA4BC5"/>
    <w:rsid w:val="00AA4FE0"/>
    <w:rsid w:val="00AA5073"/>
    <w:rsid w:val="00AA5374"/>
    <w:rsid w:val="00AA5388"/>
    <w:rsid w:val="00AA5FC3"/>
    <w:rsid w:val="00AA6C74"/>
    <w:rsid w:val="00AA6F7E"/>
    <w:rsid w:val="00AA738B"/>
    <w:rsid w:val="00AB0DE5"/>
    <w:rsid w:val="00AB1453"/>
    <w:rsid w:val="00AB1717"/>
    <w:rsid w:val="00AB2210"/>
    <w:rsid w:val="00AB24FF"/>
    <w:rsid w:val="00AB34E3"/>
    <w:rsid w:val="00AB39D9"/>
    <w:rsid w:val="00AB3A7C"/>
    <w:rsid w:val="00AB571B"/>
    <w:rsid w:val="00AB5C02"/>
    <w:rsid w:val="00AB6D64"/>
    <w:rsid w:val="00AB7223"/>
    <w:rsid w:val="00AB777B"/>
    <w:rsid w:val="00AC0128"/>
    <w:rsid w:val="00AC1B1D"/>
    <w:rsid w:val="00AC2819"/>
    <w:rsid w:val="00AC2E10"/>
    <w:rsid w:val="00AC2EDE"/>
    <w:rsid w:val="00AC3733"/>
    <w:rsid w:val="00AC3D66"/>
    <w:rsid w:val="00AC3F0C"/>
    <w:rsid w:val="00AC4863"/>
    <w:rsid w:val="00AC4E88"/>
    <w:rsid w:val="00AC5700"/>
    <w:rsid w:val="00AC5D2D"/>
    <w:rsid w:val="00AC5EFE"/>
    <w:rsid w:val="00AC6099"/>
    <w:rsid w:val="00AC690C"/>
    <w:rsid w:val="00AC6B81"/>
    <w:rsid w:val="00AC6BFF"/>
    <w:rsid w:val="00AC7606"/>
    <w:rsid w:val="00AC7B4F"/>
    <w:rsid w:val="00AD083F"/>
    <w:rsid w:val="00AD101C"/>
    <w:rsid w:val="00AD203F"/>
    <w:rsid w:val="00AD23B8"/>
    <w:rsid w:val="00AD2F4B"/>
    <w:rsid w:val="00AD327A"/>
    <w:rsid w:val="00AD4663"/>
    <w:rsid w:val="00AD4AAF"/>
    <w:rsid w:val="00AD4EF9"/>
    <w:rsid w:val="00AD50A1"/>
    <w:rsid w:val="00AD5979"/>
    <w:rsid w:val="00AD5DBC"/>
    <w:rsid w:val="00AD6689"/>
    <w:rsid w:val="00AD6CA0"/>
    <w:rsid w:val="00AD6CA9"/>
    <w:rsid w:val="00AD6DD8"/>
    <w:rsid w:val="00AD7DAD"/>
    <w:rsid w:val="00AE0608"/>
    <w:rsid w:val="00AE0C0E"/>
    <w:rsid w:val="00AE1DFA"/>
    <w:rsid w:val="00AE2706"/>
    <w:rsid w:val="00AE2B1E"/>
    <w:rsid w:val="00AE3035"/>
    <w:rsid w:val="00AE3606"/>
    <w:rsid w:val="00AE4FFF"/>
    <w:rsid w:val="00AE556B"/>
    <w:rsid w:val="00AE5665"/>
    <w:rsid w:val="00AE6144"/>
    <w:rsid w:val="00AE6327"/>
    <w:rsid w:val="00AE6713"/>
    <w:rsid w:val="00AF008D"/>
    <w:rsid w:val="00AF0387"/>
    <w:rsid w:val="00AF0D76"/>
    <w:rsid w:val="00AF1447"/>
    <w:rsid w:val="00AF280C"/>
    <w:rsid w:val="00AF312C"/>
    <w:rsid w:val="00AF39AD"/>
    <w:rsid w:val="00AF3E20"/>
    <w:rsid w:val="00AF3FE1"/>
    <w:rsid w:val="00AF417F"/>
    <w:rsid w:val="00AF5566"/>
    <w:rsid w:val="00AF56DD"/>
    <w:rsid w:val="00AF5755"/>
    <w:rsid w:val="00AF58CE"/>
    <w:rsid w:val="00AF626D"/>
    <w:rsid w:val="00AF67EE"/>
    <w:rsid w:val="00AF6B05"/>
    <w:rsid w:val="00AF6D04"/>
    <w:rsid w:val="00AF76E7"/>
    <w:rsid w:val="00AF7DBF"/>
    <w:rsid w:val="00B007AE"/>
    <w:rsid w:val="00B00E55"/>
    <w:rsid w:val="00B0169D"/>
    <w:rsid w:val="00B01F1E"/>
    <w:rsid w:val="00B02FD2"/>
    <w:rsid w:val="00B03328"/>
    <w:rsid w:val="00B03356"/>
    <w:rsid w:val="00B04FBC"/>
    <w:rsid w:val="00B05702"/>
    <w:rsid w:val="00B05737"/>
    <w:rsid w:val="00B05AC3"/>
    <w:rsid w:val="00B06A0B"/>
    <w:rsid w:val="00B06F9D"/>
    <w:rsid w:val="00B10309"/>
    <w:rsid w:val="00B105FF"/>
    <w:rsid w:val="00B10915"/>
    <w:rsid w:val="00B109A6"/>
    <w:rsid w:val="00B10ABA"/>
    <w:rsid w:val="00B1155E"/>
    <w:rsid w:val="00B119EE"/>
    <w:rsid w:val="00B11BEA"/>
    <w:rsid w:val="00B123DA"/>
    <w:rsid w:val="00B12A15"/>
    <w:rsid w:val="00B12AC7"/>
    <w:rsid w:val="00B13284"/>
    <w:rsid w:val="00B133C2"/>
    <w:rsid w:val="00B13EAB"/>
    <w:rsid w:val="00B149F1"/>
    <w:rsid w:val="00B14B93"/>
    <w:rsid w:val="00B1638B"/>
    <w:rsid w:val="00B163FF"/>
    <w:rsid w:val="00B167AA"/>
    <w:rsid w:val="00B16DFE"/>
    <w:rsid w:val="00B17226"/>
    <w:rsid w:val="00B17942"/>
    <w:rsid w:val="00B20112"/>
    <w:rsid w:val="00B20E2A"/>
    <w:rsid w:val="00B20F1E"/>
    <w:rsid w:val="00B210BB"/>
    <w:rsid w:val="00B2110C"/>
    <w:rsid w:val="00B21A32"/>
    <w:rsid w:val="00B21F36"/>
    <w:rsid w:val="00B22882"/>
    <w:rsid w:val="00B22E7F"/>
    <w:rsid w:val="00B22EC8"/>
    <w:rsid w:val="00B231EE"/>
    <w:rsid w:val="00B23A3E"/>
    <w:rsid w:val="00B2442E"/>
    <w:rsid w:val="00B24950"/>
    <w:rsid w:val="00B262AC"/>
    <w:rsid w:val="00B262CA"/>
    <w:rsid w:val="00B26BB3"/>
    <w:rsid w:val="00B3022A"/>
    <w:rsid w:val="00B30322"/>
    <w:rsid w:val="00B3039B"/>
    <w:rsid w:val="00B303D4"/>
    <w:rsid w:val="00B30CB5"/>
    <w:rsid w:val="00B3119D"/>
    <w:rsid w:val="00B31DFE"/>
    <w:rsid w:val="00B326AA"/>
    <w:rsid w:val="00B3355A"/>
    <w:rsid w:val="00B33F7A"/>
    <w:rsid w:val="00B34869"/>
    <w:rsid w:val="00B34D9C"/>
    <w:rsid w:val="00B351BC"/>
    <w:rsid w:val="00B35518"/>
    <w:rsid w:val="00B363F8"/>
    <w:rsid w:val="00B37F7E"/>
    <w:rsid w:val="00B403E8"/>
    <w:rsid w:val="00B4089D"/>
    <w:rsid w:val="00B40B9E"/>
    <w:rsid w:val="00B41494"/>
    <w:rsid w:val="00B416E1"/>
    <w:rsid w:val="00B42004"/>
    <w:rsid w:val="00B4238D"/>
    <w:rsid w:val="00B426BF"/>
    <w:rsid w:val="00B429BA"/>
    <w:rsid w:val="00B42A13"/>
    <w:rsid w:val="00B43F32"/>
    <w:rsid w:val="00B43F54"/>
    <w:rsid w:val="00B44513"/>
    <w:rsid w:val="00B4504C"/>
    <w:rsid w:val="00B458FA"/>
    <w:rsid w:val="00B459D5"/>
    <w:rsid w:val="00B460B9"/>
    <w:rsid w:val="00B466E4"/>
    <w:rsid w:val="00B479E4"/>
    <w:rsid w:val="00B47A76"/>
    <w:rsid w:val="00B47EAB"/>
    <w:rsid w:val="00B47F79"/>
    <w:rsid w:val="00B504DF"/>
    <w:rsid w:val="00B506A5"/>
    <w:rsid w:val="00B51C98"/>
    <w:rsid w:val="00B528B1"/>
    <w:rsid w:val="00B52BFE"/>
    <w:rsid w:val="00B52D67"/>
    <w:rsid w:val="00B5401F"/>
    <w:rsid w:val="00B540F0"/>
    <w:rsid w:val="00B5455F"/>
    <w:rsid w:val="00B55F89"/>
    <w:rsid w:val="00B5609E"/>
    <w:rsid w:val="00B56B8C"/>
    <w:rsid w:val="00B56F9A"/>
    <w:rsid w:val="00B5708B"/>
    <w:rsid w:val="00B6036F"/>
    <w:rsid w:val="00B61392"/>
    <w:rsid w:val="00B61781"/>
    <w:rsid w:val="00B62BC4"/>
    <w:rsid w:val="00B62C40"/>
    <w:rsid w:val="00B62E72"/>
    <w:rsid w:val="00B637D3"/>
    <w:rsid w:val="00B637E4"/>
    <w:rsid w:val="00B64A49"/>
    <w:rsid w:val="00B64D74"/>
    <w:rsid w:val="00B64FB8"/>
    <w:rsid w:val="00B66369"/>
    <w:rsid w:val="00B66BE5"/>
    <w:rsid w:val="00B671F3"/>
    <w:rsid w:val="00B673E2"/>
    <w:rsid w:val="00B67636"/>
    <w:rsid w:val="00B67D15"/>
    <w:rsid w:val="00B67ED6"/>
    <w:rsid w:val="00B71194"/>
    <w:rsid w:val="00B711A1"/>
    <w:rsid w:val="00B716A7"/>
    <w:rsid w:val="00B74358"/>
    <w:rsid w:val="00B74D05"/>
    <w:rsid w:val="00B74D37"/>
    <w:rsid w:val="00B752CE"/>
    <w:rsid w:val="00B75A70"/>
    <w:rsid w:val="00B75AFF"/>
    <w:rsid w:val="00B76668"/>
    <w:rsid w:val="00B7686A"/>
    <w:rsid w:val="00B76BE2"/>
    <w:rsid w:val="00B771AD"/>
    <w:rsid w:val="00B77B93"/>
    <w:rsid w:val="00B80953"/>
    <w:rsid w:val="00B81C94"/>
    <w:rsid w:val="00B8239A"/>
    <w:rsid w:val="00B83559"/>
    <w:rsid w:val="00B8380D"/>
    <w:rsid w:val="00B85A96"/>
    <w:rsid w:val="00B85C46"/>
    <w:rsid w:val="00B85D37"/>
    <w:rsid w:val="00B86257"/>
    <w:rsid w:val="00B86764"/>
    <w:rsid w:val="00B867A4"/>
    <w:rsid w:val="00B86F2A"/>
    <w:rsid w:val="00B87599"/>
    <w:rsid w:val="00B8762C"/>
    <w:rsid w:val="00B90731"/>
    <w:rsid w:val="00B91585"/>
    <w:rsid w:val="00B92135"/>
    <w:rsid w:val="00B92CE2"/>
    <w:rsid w:val="00B9343F"/>
    <w:rsid w:val="00B9381E"/>
    <w:rsid w:val="00B93ADA"/>
    <w:rsid w:val="00B93D9D"/>
    <w:rsid w:val="00B94056"/>
    <w:rsid w:val="00B9410F"/>
    <w:rsid w:val="00B95243"/>
    <w:rsid w:val="00B95C12"/>
    <w:rsid w:val="00B95C6D"/>
    <w:rsid w:val="00B966EB"/>
    <w:rsid w:val="00B96D41"/>
    <w:rsid w:val="00B9777F"/>
    <w:rsid w:val="00BA01A8"/>
    <w:rsid w:val="00BA0A65"/>
    <w:rsid w:val="00BA0CE5"/>
    <w:rsid w:val="00BA1423"/>
    <w:rsid w:val="00BA16C9"/>
    <w:rsid w:val="00BA189B"/>
    <w:rsid w:val="00BA1DED"/>
    <w:rsid w:val="00BA1FCC"/>
    <w:rsid w:val="00BA2890"/>
    <w:rsid w:val="00BA2EA1"/>
    <w:rsid w:val="00BA36B5"/>
    <w:rsid w:val="00BA3C15"/>
    <w:rsid w:val="00BA435F"/>
    <w:rsid w:val="00BA4DF6"/>
    <w:rsid w:val="00BA5987"/>
    <w:rsid w:val="00BA5E26"/>
    <w:rsid w:val="00BA74A5"/>
    <w:rsid w:val="00BA76AA"/>
    <w:rsid w:val="00BA7C2F"/>
    <w:rsid w:val="00BB06B5"/>
    <w:rsid w:val="00BB08CD"/>
    <w:rsid w:val="00BB0B10"/>
    <w:rsid w:val="00BB1555"/>
    <w:rsid w:val="00BB2F15"/>
    <w:rsid w:val="00BB359A"/>
    <w:rsid w:val="00BB3A24"/>
    <w:rsid w:val="00BB3D84"/>
    <w:rsid w:val="00BB5B03"/>
    <w:rsid w:val="00BB613A"/>
    <w:rsid w:val="00BB628E"/>
    <w:rsid w:val="00BB6982"/>
    <w:rsid w:val="00BB7BC5"/>
    <w:rsid w:val="00BB7DE8"/>
    <w:rsid w:val="00BB7E1F"/>
    <w:rsid w:val="00BC0413"/>
    <w:rsid w:val="00BC2D5E"/>
    <w:rsid w:val="00BC2D7D"/>
    <w:rsid w:val="00BC2EA9"/>
    <w:rsid w:val="00BC31B1"/>
    <w:rsid w:val="00BC3A5C"/>
    <w:rsid w:val="00BC47A4"/>
    <w:rsid w:val="00BC4B14"/>
    <w:rsid w:val="00BC5212"/>
    <w:rsid w:val="00BC5213"/>
    <w:rsid w:val="00BC5379"/>
    <w:rsid w:val="00BC56AC"/>
    <w:rsid w:val="00BC5723"/>
    <w:rsid w:val="00BC58C7"/>
    <w:rsid w:val="00BC6480"/>
    <w:rsid w:val="00BC6D19"/>
    <w:rsid w:val="00BC74FA"/>
    <w:rsid w:val="00BC7B86"/>
    <w:rsid w:val="00BD0446"/>
    <w:rsid w:val="00BD0530"/>
    <w:rsid w:val="00BD0B21"/>
    <w:rsid w:val="00BD1D2C"/>
    <w:rsid w:val="00BD2CEB"/>
    <w:rsid w:val="00BD2FCC"/>
    <w:rsid w:val="00BD5004"/>
    <w:rsid w:val="00BD5B0C"/>
    <w:rsid w:val="00BD5CAD"/>
    <w:rsid w:val="00BD655A"/>
    <w:rsid w:val="00BD6609"/>
    <w:rsid w:val="00BD6D84"/>
    <w:rsid w:val="00BD70EB"/>
    <w:rsid w:val="00BD7456"/>
    <w:rsid w:val="00BE098F"/>
    <w:rsid w:val="00BE0DC0"/>
    <w:rsid w:val="00BE1163"/>
    <w:rsid w:val="00BE1616"/>
    <w:rsid w:val="00BE1B92"/>
    <w:rsid w:val="00BE2136"/>
    <w:rsid w:val="00BE21ED"/>
    <w:rsid w:val="00BE369F"/>
    <w:rsid w:val="00BE3F4A"/>
    <w:rsid w:val="00BE579A"/>
    <w:rsid w:val="00BE6393"/>
    <w:rsid w:val="00BE7149"/>
    <w:rsid w:val="00BE7F84"/>
    <w:rsid w:val="00BF0795"/>
    <w:rsid w:val="00BF0EAD"/>
    <w:rsid w:val="00BF178A"/>
    <w:rsid w:val="00BF1E0C"/>
    <w:rsid w:val="00BF2443"/>
    <w:rsid w:val="00BF2FA7"/>
    <w:rsid w:val="00BF3652"/>
    <w:rsid w:val="00BF3C2F"/>
    <w:rsid w:val="00BF4080"/>
    <w:rsid w:val="00BF5208"/>
    <w:rsid w:val="00BF62C7"/>
    <w:rsid w:val="00BF7C18"/>
    <w:rsid w:val="00C01027"/>
    <w:rsid w:val="00C012D0"/>
    <w:rsid w:val="00C01460"/>
    <w:rsid w:val="00C01E10"/>
    <w:rsid w:val="00C01EA0"/>
    <w:rsid w:val="00C036B5"/>
    <w:rsid w:val="00C04003"/>
    <w:rsid w:val="00C040EA"/>
    <w:rsid w:val="00C043B4"/>
    <w:rsid w:val="00C051C5"/>
    <w:rsid w:val="00C051ED"/>
    <w:rsid w:val="00C053F5"/>
    <w:rsid w:val="00C05A1B"/>
    <w:rsid w:val="00C05DBF"/>
    <w:rsid w:val="00C069D9"/>
    <w:rsid w:val="00C06E59"/>
    <w:rsid w:val="00C06EAD"/>
    <w:rsid w:val="00C07C2D"/>
    <w:rsid w:val="00C07E7A"/>
    <w:rsid w:val="00C10CD1"/>
    <w:rsid w:val="00C11E41"/>
    <w:rsid w:val="00C12F9A"/>
    <w:rsid w:val="00C138D2"/>
    <w:rsid w:val="00C13A9C"/>
    <w:rsid w:val="00C14D61"/>
    <w:rsid w:val="00C16100"/>
    <w:rsid w:val="00C16434"/>
    <w:rsid w:val="00C16B52"/>
    <w:rsid w:val="00C16BA6"/>
    <w:rsid w:val="00C20351"/>
    <w:rsid w:val="00C21A64"/>
    <w:rsid w:val="00C21E0E"/>
    <w:rsid w:val="00C22339"/>
    <w:rsid w:val="00C22462"/>
    <w:rsid w:val="00C22509"/>
    <w:rsid w:val="00C23BEA"/>
    <w:rsid w:val="00C2409F"/>
    <w:rsid w:val="00C25AE9"/>
    <w:rsid w:val="00C260ED"/>
    <w:rsid w:val="00C27591"/>
    <w:rsid w:val="00C27B81"/>
    <w:rsid w:val="00C31C8D"/>
    <w:rsid w:val="00C3395F"/>
    <w:rsid w:val="00C33A48"/>
    <w:rsid w:val="00C3416E"/>
    <w:rsid w:val="00C34AD4"/>
    <w:rsid w:val="00C35755"/>
    <w:rsid w:val="00C369C3"/>
    <w:rsid w:val="00C36ED7"/>
    <w:rsid w:val="00C36F30"/>
    <w:rsid w:val="00C375A9"/>
    <w:rsid w:val="00C375AB"/>
    <w:rsid w:val="00C377B1"/>
    <w:rsid w:val="00C413DB"/>
    <w:rsid w:val="00C42095"/>
    <w:rsid w:val="00C4228C"/>
    <w:rsid w:val="00C42319"/>
    <w:rsid w:val="00C429F1"/>
    <w:rsid w:val="00C43ABB"/>
    <w:rsid w:val="00C43F87"/>
    <w:rsid w:val="00C4426D"/>
    <w:rsid w:val="00C44515"/>
    <w:rsid w:val="00C44689"/>
    <w:rsid w:val="00C44C99"/>
    <w:rsid w:val="00C45BB1"/>
    <w:rsid w:val="00C46065"/>
    <w:rsid w:val="00C46516"/>
    <w:rsid w:val="00C4693E"/>
    <w:rsid w:val="00C504D2"/>
    <w:rsid w:val="00C50B58"/>
    <w:rsid w:val="00C51DFF"/>
    <w:rsid w:val="00C52B41"/>
    <w:rsid w:val="00C52D28"/>
    <w:rsid w:val="00C5365E"/>
    <w:rsid w:val="00C54CE0"/>
    <w:rsid w:val="00C5534B"/>
    <w:rsid w:val="00C55A85"/>
    <w:rsid w:val="00C561CC"/>
    <w:rsid w:val="00C5644C"/>
    <w:rsid w:val="00C56E69"/>
    <w:rsid w:val="00C57650"/>
    <w:rsid w:val="00C5798A"/>
    <w:rsid w:val="00C57C45"/>
    <w:rsid w:val="00C57E80"/>
    <w:rsid w:val="00C6005E"/>
    <w:rsid w:val="00C60B52"/>
    <w:rsid w:val="00C612F2"/>
    <w:rsid w:val="00C61FC1"/>
    <w:rsid w:val="00C62132"/>
    <w:rsid w:val="00C627BE"/>
    <w:rsid w:val="00C62D89"/>
    <w:rsid w:val="00C63F82"/>
    <w:rsid w:val="00C6446A"/>
    <w:rsid w:val="00C6472D"/>
    <w:rsid w:val="00C64770"/>
    <w:rsid w:val="00C648B1"/>
    <w:rsid w:val="00C65160"/>
    <w:rsid w:val="00C652E8"/>
    <w:rsid w:val="00C65D0C"/>
    <w:rsid w:val="00C663E3"/>
    <w:rsid w:val="00C66DC3"/>
    <w:rsid w:val="00C67D96"/>
    <w:rsid w:val="00C7097C"/>
    <w:rsid w:val="00C70A88"/>
    <w:rsid w:val="00C70FAD"/>
    <w:rsid w:val="00C720F4"/>
    <w:rsid w:val="00C731F2"/>
    <w:rsid w:val="00C73988"/>
    <w:rsid w:val="00C74FE0"/>
    <w:rsid w:val="00C75526"/>
    <w:rsid w:val="00C7635E"/>
    <w:rsid w:val="00C7671F"/>
    <w:rsid w:val="00C7737C"/>
    <w:rsid w:val="00C777B0"/>
    <w:rsid w:val="00C77A5D"/>
    <w:rsid w:val="00C8006E"/>
    <w:rsid w:val="00C80AFF"/>
    <w:rsid w:val="00C80F18"/>
    <w:rsid w:val="00C81C77"/>
    <w:rsid w:val="00C8316B"/>
    <w:rsid w:val="00C83789"/>
    <w:rsid w:val="00C8385A"/>
    <w:rsid w:val="00C83B4B"/>
    <w:rsid w:val="00C83DA9"/>
    <w:rsid w:val="00C8416D"/>
    <w:rsid w:val="00C860A1"/>
    <w:rsid w:val="00C87272"/>
    <w:rsid w:val="00C87954"/>
    <w:rsid w:val="00C902B4"/>
    <w:rsid w:val="00C92139"/>
    <w:rsid w:val="00C92814"/>
    <w:rsid w:val="00C92C8E"/>
    <w:rsid w:val="00C94613"/>
    <w:rsid w:val="00C94A24"/>
    <w:rsid w:val="00C94C9C"/>
    <w:rsid w:val="00C960F4"/>
    <w:rsid w:val="00C96F87"/>
    <w:rsid w:val="00CA0229"/>
    <w:rsid w:val="00CA02D0"/>
    <w:rsid w:val="00CA12D6"/>
    <w:rsid w:val="00CA1596"/>
    <w:rsid w:val="00CA20A9"/>
    <w:rsid w:val="00CA2208"/>
    <w:rsid w:val="00CA2A4A"/>
    <w:rsid w:val="00CA2B66"/>
    <w:rsid w:val="00CA34B8"/>
    <w:rsid w:val="00CA38F8"/>
    <w:rsid w:val="00CA463D"/>
    <w:rsid w:val="00CA4671"/>
    <w:rsid w:val="00CA6843"/>
    <w:rsid w:val="00CA6A24"/>
    <w:rsid w:val="00CA6A95"/>
    <w:rsid w:val="00CA7165"/>
    <w:rsid w:val="00CA743E"/>
    <w:rsid w:val="00CA7F10"/>
    <w:rsid w:val="00CB0818"/>
    <w:rsid w:val="00CB09DF"/>
    <w:rsid w:val="00CB0F7E"/>
    <w:rsid w:val="00CB260E"/>
    <w:rsid w:val="00CB278E"/>
    <w:rsid w:val="00CB3049"/>
    <w:rsid w:val="00CB3960"/>
    <w:rsid w:val="00CB424E"/>
    <w:rsid w:val="00CB4493"/>
    <w:rsid w:val="00CB4D5E"/>
    <w:rsid w:val="00CB6BDA"/>
    <w:rsid w:val="00CB7FC3"/>
    <w:rsid w:val="00CC0BA2"/>
    <w:rsid w:val="00CC0D64"/>
    <w:rsid w:val="00CC104A"/>
    <w:rsid w:val="00CC11C3"/>
    <w:rsid w:val="00CC226E"/>
    <w:rsid w:val="00CC22BE"/>
    <w:rsid w:val="00CC28EC"/>
    <w:rsid w:val="00CC3803"/>
    <w:rsid w:val="00CC42DF"/>
    <w:rsid w:val="00CC4A82"/>
    <w:rsid w:val="00CC4BA1"/>
    <w:rsid w:val="00CC5055"/>
    <w:rsid w:val="00CC557D"/>
    <w:rsid w:val="00CC5E89"/>
    <w:rsid w:val="00CC610F"/>
    <w:rsid w:val="00CD03AA"/>
    <w:rsid w:val="00CD0A9F"/>
    <w:rsid w:val="00CD18E7"/>
    <w:rsid w:val="00CD18ED"/>
    <w:rsid w:val="00CD2259"/>
    <w:rsid w:val="00CD2D6C"/>
    <w:rsid w:val="00CD2F53"/>
    <w:rsid w:val="00CD2F73"/>
    <w:rsid w:val="00CD3898"/>
    <w:rsid w:val="00CD46E6"/>
    <w:rsid w:val="00CD4840"/>
    <w:rsid w:val="00CD4D4D"/>
    <w:rsid w:val="00CD5189"/>
    <w:rsid w:val="00CD7347"/>
    <w:rsid w:val="00CD794C"/>
    <w:rsid w:val="00CD7A83"/>
    <w:rsid w:val="00CD7B4E"/>
    <w:rsid w:val="00CE0925"/>
    <w:rsid w:val="00CE1E10"/>
    <w:rsid w:val="00CE2170"/>
    <w:rsid w:val="00CE2E4A"/>
    <w:rsid w:val="00CE3403"/>
    <w:rsid w:val="00CE4811"/>
    <w:rsid w:val="00CE5324"/>
    <w:rsid w:val="00CE5413"/>
    <w:rsid w:val="00CE567A"/>
    <w:rsid w:val="00CE5B69"/>
    <w:rsid w:val="00CE6B9A"/>
    <w:rsid w:val="00CF0197"/>
    <w:rsid w:val="00CF05FB"/>
    <w:rsid w:val="00CF1396"/>
    <w:rsid w:val="00CF1574"/>
    <w:rsid w:val="00CF1873"/>
    <w:rsid w:val="00CF24FC"/>
    <w:rsid w:val="00CF25D3"/>
    <w:rsid w:val="00CF4012"/>
    <w:rsid w:val="00CF4044"/>
    <w:rsid w:val="00CF4602"/>
    <w:rsid w:val="00CF510C"/>
    <w:rsid w:val="00CF522C"/>
    <w:rsid w:val="00CF60F8"/>
    <w:rsid w:val="00CF6118"/>
    <w:rsid w:val="00CF62E4"/>
    <w:rsid w:val="00CF69A4"/>
    <w:rsid w:val="00CF70BE"/>
    <w:rsid w:val="00CF7247"/>
    <w:rsid w:val="00D0096E"/>
    <w:rsid w:val="00D00C52"/>
    <w:rsid w:val="00D011EE"/>
    <w:rsid w:val="00D01391"/>
    <w:rsid w:val="00D01444"/>
    <w:rsid w:val="00D01C6F"/>
    <w:rsid w:val="00D01FE4"/>
    <w:rsid w:val="00D0314B"/>
    <w:rsid w:val="00D03988"/>
    <w:rsid w:val="00D03D6E"/>
    <w:rsid w:val="00D04C03"/>
    <w:rsid w:val="00D0530C"/>
    <w:rsid w:val="00D05C59"/>
    <w:rsid w:val="00D05D3A"/>
    <w:rsid w:val="00D05EA2"/>
    <w:rsid w:val="00D064AF"/>
    <w:rsid w:val="00D06CA0"/>
    <w:rsid w:val="00D07405"/>
    <w:rsid w:val="00D10385"/>
    <w:rsid w:val="00D106ED"/>
    <w:rsid w:val="00D10D93"/>
    <w:rsid w:val="00D10F8C"/>
    <w:rsid w:val="00D121AB"/>
    <w:rsid w:val="00D1248B"/>
    <w:rsid w:val="00D13204"/>
    <w:rsid w:val="00D134C8"/>
    <w:rsid w:val="00D13E27"/>
    <w:rsid w:val="00D13F08"/>
    <w:rsid w:val="00D13F56"/>
    <w:rsid w:val="00D1492B"/>
    <w:rsid w:val="00D14C8F"/>
    <w:rsid w:val="00D14DE8"/>
    <w:rsid w:val="00D14F2A"/>
    <w:rsid w:val="00D1521D"/>
    <w:rsid w:val="00D157A0"/>
    <w:rsid w:val="00D179E6"/>
    <w:rsid w:val="00D2015A"/>
    <w:rsid w:val="00D2056C"/>
    <w:rsid w:val="00D206EF"/>
    <w:rsid w:val="00D20752"/>
    <w:rsid w:val="00D20B1B"/>
    <w:rsid w:val="00D21735"/>
    <w:rsid w:val="00D21A6D"/>
    <w:rsid w:val="00D231C9"/>
    <w:rsid w:val="00D23772"/>
    <w:rsid w:val="00D23960"/>
    <w:rsid w:val="00D240D4"/>
    <w:rsid w:val="00D249D2"/>
    <w:rsid w:val="00D27224"/>
    <w:rsid w:val="00D30143"/>
    <w:rsid w:val="00D3174B"/>
    <w:rsid w:val="00D321F2"/>
    <w:rsid w:val="00D329EC"/>
    <w:rsid w:val="00D32C51"/>
    <w:rsid w:val="00D3402F"/>
    <w:rsid w:val="00D370BC"/>
    <w:rsid w:val="00D37B2D"/>
    <w:rsid w:val="00D37D70"/>
    <w:rsid w:val="00D37DE0"/>
    <w:rsid w:val="00D37F7B"/>
    <w:rsid w:val="00D403E6"/>
    <w:rsid w:val="00D40FE6"/>
    <w:rsid w:val="00D4268F"/>
    <w:rsid w:val="00D430F2"/>
    <w:rsid w:val="00D4355E"/>
    <w:rsid w:val="00D435AD"/>
    <w:rsid w:val="00D43BA6"/>
    <w:rsid w:val="00D44FFD"/>
    <w:rsid w:val="00D457BB"/>
    <w:rsid w:val="00D46095"/>
    <w:rsid w:val="00D46321"/>
    <w:rsid w:val="00D4669E"/>
    <w:rsid w:val="00D47310"/>
    <w:rsid w:val="00D503BB"/>
    <w:rsid w:val="00D509E3"/>
    <w:rsid w:val="00D510F6"/>
    <w:rsid w:val="00D51470"/>
    <w:rsid w:val="00D5287C"/>
    <w:rsid w:val="00D52A78"/>
    <w:rsid w:val="00D52C0E"/>
    <w:rsid w:val="00D538C3"/>
    <w:rsid w:val="00D549F9"/>
    <w:rsid w:val="00D54C2D"/>
    <w:rsid w:val="00D54F4D"/>
    <w:rsid w:val="00D55BD4"/>
    <w:rsid w:val="00D55D8D"/>
    <w:rsid w:val="00D56314"/>
    <w:rsid w:val="00D57156"/>
    <w:rsid w:val="00D57205"/>
    <w:rsid w:val="00D57FB4"/>
    <w:rsid w:val="00D60473"/>
    <w:rsid w:val="00D6052D"/>
    <w:rsid w:val="00D612F5"/>
    <w:rsid w:val="00D61CCF"/>
    <w:rsid w:val="00D61F2B"/>
    <w:rsid w:val="00D641BF"/>
    <w:rsid w:val="00D643C0"/>
    <w:rsid w:val="00D6560F"/>
    <w:rsid w:val="00D6641E"/>
    <w:rsid w:val="00D6734A"/>
    <w:rsid w:val="00D67735"/>
    <w:rsid w:val="00D67886"/>
    <w:rsid w:val="00D67937"/>
    <w:rsid w:val="00D67D01"/>
    <w:rsid w:val="00D7003B"/>
    <w:rsid w:val="00D707EF"/>
    <w:rsid w:val="00D71842"/>
    <w:rsid w:val="00D718A7"/>
    <w:rsid w:val="00D71A34"/>
    <w:rsid w:val="00D7249E"/>
    <w:rsid w:val="00D734EF"/>
    <w:rsid w:val="00D7389B"/>
    <w:rsid w:val="00D73B23"/>
    <w:rsid w:val="00D7413E"/>
    <w:rsid w:val="00D74DD7"/>
    <w:rsid w:val="00D75580"/>
    <w:rsid w:val="00D76766"/>
    <w:rsid w:val="00D768D6"/>
    <w:rsid w:val="00D76E59"/>
    <w:rsid w:val="00D773B1"/>
    <w:rsid w:val="00D77F42"/>
    <w:rsid w:val="00D80883"/>
    <w:rsid w:val="00D80A0B"/>
    <w:rsid w:val="00D81634"/>
    <w:rsid w:val="00D81925"/>
    <w:rsid w:val="00D81A85"/>
    <w:rsid w:val="00D81B9F"/>
    <w:rsid w:val="00D81FBC"/>
    <w:rsid w:val="00D82294"/>
    <w:rsid w:val="00D829D7"/>
    <w:rsid w:val="00D841D9"/>
    <w:rsid w:val="00D84E54"/>
    <w:rsid w:val="00D84F38"/>
    <w:rsid w:val="00D8522B"/>
    <w:rsid w:val="00D8543D"/>
    <w:rsid w:val="00D85F89"/>
    <w:rsid w:val="00D8655E"/>
    <w:rsid w:val="00D86A7E"/>
    <w:rsid w:val="00D904FE"/>
    <w:rsid w:val="00D909D6"/>
    <w:rsid w:val="00D91BD3"/>
    <w:rsid w:val="00D925AB"/>
    <w:rsid w:val="00D932BC"/>
    <w:rsid w:val="00D93420"/>
    <w:rsid w:val="00D9382A"/>
    <w:rsid w:val="00D943A0"/>
    <w:rsid w:val="00D944B4"/>
    <w:rsid w:val="00D94E28"/>
    <w:rsid w:val="00D950B5"/>
    <w:rsid w:val="00D95C49"/>
    <w:rsid w:val="00D95CAB"/>
    <w:rsid w:val="00D95DBD"/>
    <w:rsid w:val="00D95F9B"/>
    <w:rsid w:val="00D965FC"/>
    <w:rsid w:val="00DA1539"/>
    <w:rsid w:val="00DA1BEA"/>
    <w:rsid w:val="00DA1D0E"/>
    <w:rsid w:val="00DA1DDC"/>
    <w:rsid w:val="00DA25D9"/>
    <w:rsid w:val="00DA2F21"/>
    <w:rsid w:val="00DA3662"/>
    <w:rsid w:val="00DA37A7"/>
    <w:rsid w:val="00DA390C"/>
    <w:rsid w:val="00DA39F7"/>
    <w:rsid w:val="00DA48DF"/>
    <w:rsid w:val="00DA6FAF"/>
    <w:rsid w:val="00DB130A"/>
    <w:rsid w:val="00DB15A1"/>
    <w:rsid w:val="00DB2060"/>
    <w:rsid w:val="00DB22C9"/>
    <w:rsid w:val="00DB232F"/>
    <w:rsid w:val="00DB3AC8"/>
    <w:rsid w:val="00DB4170"/>
    <w:rsid w:val="00DB4227"/>
    <w:rsid w:val="00DB45CD"/>
    <w:rsid w:val="00DB4A04"/>
    <w:rsid w:val="00DB6A58"/>
    <w:rsid w:val="00DB6F16"/>
    <w:rsid w:val="00DB7098"/>
    <w:rsid w:val="00DB733D"/>
    <w:rsid w:val="00DB7616"/>
    <w:rsid w:val="00DB77A7"/>
    <w:rsid w:val="00DC01DC"/>
    <w:rsid w:val="00DC05E3"/>
    <w:rsid w:val="00DC12A8"/>
    <w:rsid w:val="00DC12C1"/>
    <w:rsid w:val="00DC20B7"/>
    <w:rsid w:val="00DC2A36"/>
    <w:rsid w:val="00DC2B8D"/>
    <w:rsid w:val="00DC2DC6"/>
    <w:rsid w:val="00DC3C06"/>
    <w:rsid w:val="00DC3FCA"/>
    <w:rsid w:val="00DC4C5D"/>
    <w:rsid w:val="00DC53E2"/>
    <w:rsid w:val="00DC5EA8"/>
    <w:rsid w:val="00DC62B2"/>
    <w:rsid w:val="00DC6A8E"/>
    <w:rsid w:val="00DC719C"/>
    <w:rsid w:val="00DD116A"/>
    <w:rsid w:val="00DD1A75"/>
    <w:rsid w:val="00DD1FCC"/>
    <w:rsid w:val="00DD280D"/>
    <w:rsid w:val="00DD2905"/>
    <w:rsid w:val="00DD31BE"/>
    <w:rsid w:val="00DD35B7"/>
    <w:rsid w:val="00DD3E94"/>
    <w:rsid w:val="00DD41BC"/>
    <w:rsid w:val="00DD47A7"/>
    <w:rsid w:val="00DD4E8F"/>
    <w:rsid w:val="00DD5345"/>
    <w:rsid w:val="00DD589C"/>
    <w:rsid w:val="00DD704E"/>
    <w:rsid w:val="00DD79A6"/>
    <w:rsid w:val="00DD7CFE"/>
    <w:rsid w:val="00DE010B"/>
    <w:rsid w:val="00DE013B"/>
    <w:rsid w:val="00DE0E56"/>
    <w:rsid w:val="00DE15B4"/>
    <w:rsid w:val="00DE3E52"/>
    <w:rsid w:val="00DE3F49"/>
    <w:rsid w:val="00DE4B49"/>
    <w:rsid w:val="00DE4DB4"/>
    <w:rsid w:val="00DE4F58"/>
    <w:rsid w:val="00DE7420"/>
    <w:rsid w:val="00DE7527"/>
    <w:rsid w:val="00DE7D45"/>
    <w:rsid w:val="00DE7FA5"/>
    <w:rsid w:val="00DF041F"/>
    <w:rsid w:val="00DF2113"/>
    <w:rsid w:val="00DF2DEA"/>
    <w:rsid w:val="00DF3848"/>
    <w:rsid w:val="00DF3FA4"/>
    <w:rsid w:val="00DF4118"/>
    <w:rsid w:val="00DF4F18"/>
    <w:rsid w:val="00DF4F56"/>
    <w:rsid w:val="00DF5867"/>
    <w:rsid w:val="00DF5AD2"/>
    <w:rsid w:val="00DF6306"/>
    <w:rsid w:val="00DF631E"/>
    <w:rsid w:val="00DF633E"/>
    <w:rsid w:val="00DF6542"/>
    <w:rsid w:val="00DF687C"/>
    <w:rsid w:val="00DF7F77"/>
    <w:rsid w:val="00E005DE"/>
    <w:rsid w:val="00E00660"/>
    <w:rsid w:val="00E006AF"/>
    <w:rsid w:val="00E006B6"/>
    <w:rsid w:val="00E00A57"/>
    <w:rsid w:val="00E017AF"/>
    <w:rsid w:val="00E018E3"/>
    <w:rsid w:val="00E01E78"/>
    <w:rsid w:val="00E02308"/>
    <w:rsid w:val="00E03101"/>
    <w:rsid w:val="00E03137"/>
    <w:rsid w:val="00E0431F"/>
    <w:rsid w:val="00E045FF"/>
    <w:rsid w:val="00E046FB"/>
    <w:rsid w:val="00E05225"/>
    <w:rsid w:val="00E05293"/>
    <w:rsid w:val="00E06094"/>
    <w:rsid w:val="00E06834"/>
    <w:rsid w:val="00E06884"/>
    <w:rsid w:val="00E068BE"/>
    <w:rsid w:val="00E06C79"/>
    <w:rsid w:val="00E07ADB"/>
    <w:rsid w:val="00E07EB5"/>
    <w:rsid w:val="00E07EEC"/>
    <w:rsid w:val="00E10D19"/>
    <w:rsid w:val="00E127F0"/>
    <w:rsid w:val="00E128FA"/>
    <w:rsid w:val="00E12A59"/>
    <w:rsid w:val="00E13241"/>
    <w:rsid w:val="00E137A6"/>
    <w:rsid w:val="00E13DBF"/>
    <w:rsid w:val="00E13E4E"/>
    <w:rsid w:val="00E14B17"/>
    <w:rsid w:val="00E14C33"/>
    <w:rsid w:val="00E14FD0"/>
    <w:rsid w:val="00E15430"/>
    <w:rsid w:val="00E15604"/>
    <w:rsid w:val="00E1618A"/>
    <w:rsid w:val="00E16384"/>
    <w:rsid w:val="00E1639A"/>
    <w:rsid w:val="00E1675C"/>
    <w:rsid w:val="00E16A8C"/>
    <w:rsid w:val="00E175C6"/>
    <w:rsid w:val="00E17AB9"/>
    <w:rsid w:val="00E17FA8"/>
    <w:rsid w:val="00E203B7"/>
    <w:rsid w:val="00E205B3"/>
    <w:rsid w:val="00E21491"/>
    <w:rsid w:val="00E21E08"/>
    <w:rsid w:val="00E229FD"/>
    <w:rsid w:val="00E22A8D"/>
    <w:rsid w:val="00E23C7E"/>
    <w:rsid w:val="00E2457C"/>
    <w:rsid w:val="00E24D5B"/>
    <w:rsid w:val="00E251FB"/>
    <w:rsid w:val="00E2605E"/>
    <w:rsid w:val="00E26387"/>
    <w:rsid w:val="00E2673D"/>
    <w:rsid w:val="00E26EC0"/>
    <w:rsid w:val="00E274FD"/>
    <w:rsid w:val="00E3000A"/>
    <w:rsid w:val="00E300BC"/>
    <w:rsid w:val="00E30E09"/>
    <w:rsid w:val="00E31713"/>
    <w:rsid w:val="00E31A13"/>
    <w:rsid w:val="00E335C8"/>
    <w:rsid w:val="00E337DC"/>
    <w:rsid w:val="00E341A7"/>
    <w:rsid w:val="00E356DD"/>
    <w:rsid w:val="00E35887"/>
    <w:rsid w:val="00E359A2"/>
    <w:rsid w:val="00E35DD1"/>
    <w:rsid w:val="00E35DE9"/>
    <w:rsid w:val="00E36851"/>
    <w:rsid w:val="00E369BB"/>
    <w:rsid w:val="00E36F90"/>
    <w:rsid w:val="00E37C1E"/>
    <w:rsid w:val="00E37D2E"/>
    <w:rsid w:val="00E40DD8"/>
    <w:rsid w:val="00E410AA"/>
    <w:rsid w:val="00E416C0"/>
    <w:rsid w:val="00E416F1"/>
    <w:rsid w:val="00E42D13"/>
    <w:rsid w:val="00E42FE3"/>
    <w:rsid w:val="00E43412"/>
    <w:rsid w:val="00E43CB8"/>
    <w:rsid w:val="00E443CD"/>
    <w:rsid w:val="00E44807"/>
    <w:rsid w:val="00E44FD0"/>
    <w:rsid w:val="00E455F5"/>
    <w:rsid w:val="00E458C8"/>
    <w:rsid w:val="00E45B7F"/>
    <w:rsid w:val="00E45FF9"/>
    <w:rsid w:val="00E463FB"/>
    <w:rsid w:val="00E46AA5"/>
    <w:rsid w:val="00E47261"/>
    <w:rsid w:val="00E503DF"/>
    <w:rsid w:val="00E514FB"/>
    <w:rsid w:val="00E52836"/>
    <w:rsid w:val="00E5312B"/>
    <w:rsid w:val="00E532AF"/>
    <w:rsid w:val="00E534E9"/>
    <w:rsid w:val="00E53B6E"/>
    <w:rsid w:val="00E53C99"/>
    <w:rsid w:val="00E53E61"/>
    <w:rsid w:val="00E54A6A"/>
    <w:rsid w:val="00E54C55"/>
    <w:rsid w:val="00E54F7A"/>
    <w:rsid w:val="00E54FE6"/>
    <w:rsid w:val="00E5572C"/>
    <w:rsid w:val="00E56259"/>
    <w:rsid w:val="00E571B1"/>
    <w:rsid w:val="00E574AB"/>
    <w:rsid w:val="00E5779F"/>
    <w:rsid w:val="00E5789F"/>
    <w:rsid w:val="00E57BC2"/>
    <w:rsid w:val="00E60262"/>
    <w:rsid w:val="00E60324"/>
    <w:rsid w:val="00E609EF"/>
    <w:rsid w:val="00E60B3F"/>
    <w:rsid w:val="00E62E2B"/>
    <w:rsid w:val="00E63242"/>
    <w:rsid w:val="00E635D7"/>
    <w:rsid w:val="00E64A0F"/>
    <w:rsid w:val="00E64D5A"/>
    <w:rsid w:val="00E654BC"/>
    <w:rsid w:val="00E6550A"/>
    <w:rsid w:val="00E66CBC"/>
    <w:rsid w:val="00E67D58"/>
    <w:rsid w:val="00E7015A"/>
    <w:rsid w:val="00E70990"/>
    <w:rsid w:val="00E70F5E"/>
    <w:rsid w:val="00E71F5E"/>
    <w:rsid w:val="00E72185"/>
    <w:rsid w:val="00E7219F"/>
    <w:rsid w:val="00E747AB"/>
    <w:rsid w:val="00E767AA"/>
    <w:rsid w:val="00E801D0"/>
    <w:rsid w:val="00E80C72"/>
    <w:rsid w:val="00E81507"/>
    <w:rsid w:val="00E816C3"/>
    <w:rsid w:val="00E81B81"/>
    <w:rsid w:val="00E81E22"/>
    <w:rsid w:val="00E82A8B"/>
    <w:rsid w:val="00E83E76"/>
    <w:rsid w:val="00E84291"/>
    <w:rsid w:val="00E84E83"/>
    <w:rsid w:val="00E84F2D"/>
    <w:rsid w:val="00E84F4D"/>
    <w:rsid w:val="00E85364"/>
    <w:rsid w:val="00E85387"/>
    <w:rsid w:val="00E8546B"/>
    <w:rsid w:val="00E85CC5"/>
    <w:rsid w:val="00E87943"/>
    <w:rsid w:val="00E90750"/>
    <w:rsid w:val="00E90D20"/>
    <w:rsid w:val="00E9195D"/>
    <w:rsid w:val="00E91B5D"/>
    <w:rsid w:val="00E9246D"/>
    <w:rsid w:val="00E92E0B"/>
    <w:rsid w:val="00E92FE4"/>
    <w:rsid w:val="00E93989"/>
    <w:rsid w:val="00E93D62"/>
    <w:rsid w:val="00E93EAD"/>
    <w:rsid w:val="00E94439"/>
    <w:rsid w:val="00E95443"/>
    <w:rsid w:val="00E95485"/>
    <w:rsid w:val="00E95CE8"/>
    <w:rsid w:val="00E96817"/>
    <w:rsid w:val="00E9685B"/>
    <w:rsid w:val="00E97C6D"/>
    <w:rsid w:val="00EA0EC2"/>
    <w:rsid w:val="00EA103E"/>
    <w:rsid w:val="00EA1084"/>
    <w:rsid w:val="00EA1CFA"/>
    <w:rsid w:val="00EA3076"/>
    <w:rsid w:val="00EA3479"/>
    <w:rsid w:val="00EA3BF0"/>
    <w:rsid w:val="00EA46F0"/>
    <w:rsid w:val="00EA54CB"/>
    <w:rsid w:val="00EA61B3"/>
    <w:rsid w:val="00EA6B9A"/>
    <w:rsid w:val="00EA7508"/>
    <w:rsid w:val="00EA76CD"/>
    <w:rsid w:val="00EA790E"/>
    <w:rsid w:val="00EA7AFF"/>
    <w:rsid w:val="00EA7F2D"/>
    <w:rsid w:val="00EB0424"/>
    <w:rsid w:val="00EB129F"/>
    <w:rsid w:val="00EB162D"/>
    <w:rsid w:val="00EB1631"/>
    <w:rsid w:val="00EB1AA3"/>
    <w:rsid w:val="00EB1C32"/>
    <w:rsid w:val="00EB1E23"/>
    <w:rsid w:val="00EB2609"/>
    <w:rsid w:val="00EB27D9"/>
    <w:rsid w:val="00EB36CD"/>
    <w:rsid w:val="00EB438F"/>
    <w:rsid w:val="00EB448C"/>
    <w:rsid w:val="00EB4762"/>
    <w:rsid w:val="00EB518C"/>
    <w:rsid w:val="00EB5340"/>
    <w:rsid w:val="00EB576F"/>
    <w:rsid w:val="00EB5C3C"/>
    <w:rsid w:val="00EB5D24"/>
    <w:rsid w:val="00EB5F6B"/>
    <w:rsid w:val="00EB682F"/>
    <w:rsid w:val="00EB6E63"/>
    <w:rsid w:val="00EB759C"/>
    <w:rsid w:val="00EB7F78"/>
    <w:rsid w:val="00EC08E4"/>
    <w:rsid w:val="00EC0F1F"/>
    <w:rsid w:val="00EC1161"/>
    <w:rsid w:val="00EC1794"/>
    <w:rsid w:val="00EC1F71"/>
    <w:rsid w:val="00EC2871"/>
    <w:rsid w:val="00EC2F2C"/>
    <w:rsid w:val="00EC38F4"/>
    <w:rsid w:val="00EC3B1D"/>
    <w:rsid w:val="00EC3C2E"/>
    <w:rsid w:val="00EC5BE6"/>
    <w:rsid w:val="00EC67CA"/>
    <w:rsid w:val="00EC768C"/>
    <w:rsid w:val="00EC7C39"/>
    <w:rsid w:val="00ED068D"/>
    <w:rsid w:val="00ED0DCE"/>
    <w:rsid w:val="00ED1140"/>
    <w:rsid w:val="00ED1639"/>
    <w:rsid w:val="00ED1785"/>
    <w:rsid w:val="00ED1C64"/>
    <w:rsid w:val="00ED2323"/>
    <w:rsid w:val="00ED3E08"/>
    <w:rsid w:val="00ED4FB9"/>
    <w:rsid w:val="00ED6972"/>
    <w:rsid w:val="00ED6D7A"/>
    <w:rsid w:val="00ED76BF"/>
    <w:rsid w:val="00EE029C"/>
    <w:rsid w:val="00EE09B6"/>
    <w:rsid w:val="00EE2575"/>
    <w:rsid w:val="00EE2686"/>
    <w:rsid w:val="00EE2E09"/>
    <w:rsid w:val="00EE4789"/>
    <w:rsid w:val="00EE4CE1"/>
    <w:rsid w:val="00EE5E06"/>
    <w:rsid w:val="00EE7952"/>
    <w:rsid w:val="00EF0731"/>
    <w:rsid w:val="00EF0C27"/>
    <w:rsid w:val="00EF1107"/>
    <w:rsid w:val="00EF28A2"/>
    <w:rsid w:val="00EF3197"/>
    <w:rsid w:val="00EF3B3A"/>
    <w:rsid w:val="00EF4E2D"/>
    <w:rsid w:val="00EF4E6E"/>
    <w:rsid w:val="00EF5EDB"/>
    <w:rsid w:val="00EF5F23"/>
    <w:rsid w:val="00EF61A4"/>
    <w:rsid w:val="00EF67FE"/>
    <w:rsid w:val="00EF6F27"/>
    <w:rsid w:val="00EF6F36"/>
    <w:rsid w:val="00F00ABC"/>
    <w:rsid w:val="00F00AD3"/>
    <w:rsid w:val="00F01614"/>
    <w:rsid w:val="00F018B1"/>
    <w:rsid w:val="00F01ACF"/>
    <w:rsid w:val="00F0208C"/>
    <w:rsid w:val="00F02CDC"/>
    <w:rsid w:val="00F02FCC"/>
    <w:rsid w:val="00F03AD6"/>
    <w:rsid w:val="00F03D23"/>
    <w:rsid w:val="00F04325"/>
    <w:rsid w:val="00F04525"/>
    <w:rsid w:val="00F04990"/>
    <w:rsid w:val="00F04997"/>
    <w:rsid w:val="00F055E9"/>
    <w:rsid w:val="00F05EDA"/>
    <w:rsid w:val="00F06054"/>
    <w:rsid w:val="00F0614F"/>
    <w:rsid w:val="00F061EC"/>
    <w:rsid w:val="00F064C4"/>
    <w:rsid w:val="00F06D2C"/>
    <w:rsid w:val="00F070F2"/>
    <w:rsid w:val="00F077A0"/>
    <w:rsid w:val="00F077B9"/>
    <w:rsid w:val="00F07B16"/>
    <w:rsid w:val="00F10D58"/>
    <w:rsid w:val="00F11CBD"/>
    <w:rsid w:val="00F1232E"/>
    <w:rsid w:val="00F1258C"/>
    <w:rsid w:val="00F12800"/>
    <w:rsid w:val="00F12FAE"/>
    <w:rsid w:val="00F1309D"/>
    <w:rsid w:val="00F132BC"/>
    <w:rsid w:val="00F133A6"/>
    <w:rsid w:val="00F13F3B"/>
    <w:rsid w:val="00F14920"/>
    <w:rsid w:val="00F153CA"/>
    <w:rsid w:val="00F15DF6"/>
    <w:rsid w:val="00F173B3"/>
    <w:rsid w:val="00F17704"/>
    <w:rsid w:val="00F20214"/>
    <w:rsid w:val="00F20322"/>
    <w:rsid w:val="00F20558"/>
    <w:rsid w:val="00F21067"/>
    <w:rsid w:val="00F219B2"/>
    <w:rsid w:val="00F22E06"/>
    <w:rsid w:val="00F24378"/>
    <w:rsid w:val="00F24F3E"/>
    <w:rsid w:val="00F25225"/>
    <w:rsid w:val="00F25AC9"/>
    <w:rsid w:val="00F25EA9"/>
    <w:rsid w:val="00F2611A"/>
    <w:rsid w:val="00F26383"/>
    <w:rsid w:val="00F2699A"/>
    <w:rsid w:val="00F26EFF"/>
    <w:rsid w:val="00F27522"/>
    <w:rsid w:val="00F3080B"/>
    <w:rsid w:val="00F30D21"/>
    <w:rsid w:val="00F31294"/>
    <w:rsid w:val="00F31C2C"/>
    <w:rsid w:val="00F31F25"/>
    <w:rsid w:val="00F3249D"/>
    <w:rsid w:val="00F32672"/>
    <w:rsid w:val="00F32E21"/>
    <w:rsid w:val="00F333C0"/>
    <w:rsid w:val="00F3367B"/>
    <w:rsid w:val="00F34C97"/>
    <w:rsid w:val="00F35474"/>
    <w:rsid w:val="00F35885"/>
    <w:rsid w:val="00F35886"/>
    <w:rsid w:val="00F359A9"/>
    <w:rsid w:val="00F365E5"/>
    <w:rsid w:val="00F37CB3"/>
    <w:rsid w:val="00F413BE"/>
    <w:rsid w:val="00F414F8"/>
    <w:rsid w:val="00F41CA9"/>
    <w:rsid w:val="00F422C3"/>
    <w:rsid w:val="00F42EC1"/>
    <w:rsid w:val="00F4300F"/>
    <w:rsid w:val="00F430F1"/>
    <w:rsid w:val="00F431F9"/>
    <w:rsid w:val="00F432DB"/>
    <w:rsid w:val="00F4358D"/>
    <w:rsid w:val="00F448DC"/>
    <w:rsid w:val="00F44F26"/>
    <w:rsid w:val="00F457ED"/>
    <w:rsid w:val="00F45E18"/>
    <w:rsid w:val="00F46136"/>
    <w:rsid w:val="00F46601"/>
    <w:rsid w:val="00F46A39"/>
    <w:rsid w:val="00F46B41"/>
    <w:rsid w:val="00F47C88"/>
    <w:rsid w:val="00F51588"/>
    <w:rsid w:val="00F51801"/>
    <w:rsid w:val="00F51D47"/>
    <w:rsid w:val="00F52059"/>
    <w:rsid w:val="00F52250"/>
    <w:rsid w:val="00F523AD"/>
    <w:rsid w:val="00F5255D"/>
    <w:rsid w:val="00F527A1"/>
    <w:rsid w:val="00F532DA"/>
    <w:rsid w:val="00F53816"/>
    <w:rsid w:val="00F539B1"/>
    <w:rsid w:val="00F53B7C"/>
    <w:rsid w:val="00F542FF"/>
    <w:rsid w:val="00F55863"/>
    <w:rsid w:val="00F55BA7"/>
    <w:rsid w:val="00F60687"/>
    <w:rsid w:val="00F609BF"/>
    <w:rsid w:val="00F626EB"/>
    <w:rsid w:val="00F62A82"/>
    <w:rsid w:val="00F63041"/>
    <w:rsid w:val="00F63FD1"/>
    <w:rsid w:val="00F64546"/>
    <w:rsid w:val="00F648DE"/>
    <w:rsid w:val="00F65030"/>
    <w:rsid w:val="00F65184"/>
    <w:rsid w:val="00F6598C"/>
    <w:rsid w:val="00F661AE"/>
    <w:rsid w:val="00F66FDC"/>
    <w:rsid w:val="00F67B3B"/>
    <w:rsid w:val="00F70DEA"/>
    <w:rsid w:val="00F71619"/>
    <w:rsid w:val="00F73988"/>
    <w:rsid w:val="00F73F9F"/>
    <w:rsid w:val="00F774BE"/>
    <w:rsid w:val="00F77879"/>
    <w:rsid w:val="00F77A08"/>
    <w:rsid w:val="00F77B0D"/>
    <w:rsid w:val="00F8041A"/>
    <w:rsid w:val="00F80C26"/>
    <w:rsid w:val="00F8129A"/>
    <w:rsid w:val="00F812B6"/>
    <w:rsid w:val="00F81D16"/>
    <w:rsid w:val="00F81F6B"/>
    <w:rsid w:val="00F82296"/>
    <w:rsid w:val="00F825F2"/>
    <w:rsid w:val="00F8297D"/>
    <w:rsid w:val="00F82BFC"/>
    <w:rsid w:val="00F82F37"/>
    <w:rsid w:val="00F839A6"/>
    <w:rsid w:val="00F8408F"/>
    <w:rsid w:val="00F8450C"/>
    <w:rsid w:val="00F84C15"/>
    <w:rsid w:val="00F84EF2"/>
    <w:rsid w:val="00F85A75"/>
    <w:rsid w:val="00F85DB7"/>
    <w:rsid w:val="00F85E22"/>
    <w:rsid w:val="00F85FCC"/>
    <w:rsid w:val="00F8618B"/>
    <w:rsid w:val="00F8631D"/>
    <w:rsid w:val="00F868E2"/>
    <w:rsid w:val="00F8735C"/>
    <w:rsid w:val="00F87378"/>
    <w:rsid w:val="00F900A4"/>
    <w:rsid w:val="00F90D7C"/>
    <w:rsid w:val="00F91D79"/>
    <w:rsid w:val="00F925FA"/>
    <w:rsid w:val="00F93156"/>
    <w:rsid w:val="00F9370A"/>
    <w:rsid w:val="00F93842"/>
    <w:rsid w:val="00F9394E"/>
    <w:rsid w:val="00F93953"/>
    <w:rsid w:val="00F93B01"/>
    <w:rsid w:val="00F94289"/>
    <w:rsid w:val="00F94492"/>
    <w:rsid w:val="00F95D19"/>
    <w:rsid w:val="00F96036"/>
    <w:rsid w:val="00F96652"/>
    <w:rsid w:val="00F96BE2"/>
    <w:rsid w:val="00FA1987"/>
    <w:rsid w:val="00FA1F1E"/>
    <w:rsid w:val="00FA2744"/>
    <w:rsid w:val="00FA2746"/>
    <w:rsid w:val="00FA2D66"/>
    <w:rsid w:val="00FA2DDA"/>
    <w:rsid w:val="00FA3747"/>
    <w:rsid w:val="00FA49B6"/>
    <w:rsid w:val="00FA4BB1"/>
    <w:rsid w:val="00FA57C9"/>
    <w:rsid w:val="00FA60AE"/>
    <w:rsid w:val="00FA6D1B"/>
    <w:rsid w:val="00FA76DE"/>
    <w:rsid w:val="00FB0256"/>
    <w:rsid w:val="00FB031A"/>
    <w:rsid w:val="00FB1D63"/>
    <w:rsid w:val="00FB2049"/>
    <w:rsid w:val="00FB2664"/>
    <w:rsid w:val="00FB2A18"/>
    <w:rsid w:val="00FB2AD6"/>
    <w:rsid w:val="00FB33C2"/>
    <w:rsid w:val="00FB358F"/>
    <w:rsid w:val="00FB3660"/>
    <w:rsid w:val="00FB3FA9"/>
    <w:rsid w:val="00FB47F5"/>
    <w:rsid w:val="00FB5554"/>
    <w:rsid w:val="00FB5FEF"/>
    <w:rsid w:val="00FB615D"/>
    <w:rsid w:val="00FB6168"/>
    <w:rsid w:val="00FB6445"/>
    <w:rsid w:val="00FB6665"/>
    <w:rsid w:val="00FB6D26"/>
    <w:rsid w:val="00FB75A0"/>
    <w:rsid w:val="00FB77C7"/>
    <w:rsid w:val="00FB78A5"/>
    <w:rsid w:val="00FB7A80"/>
    <w:rsid w:val="00FB7DB4"/>
    <w:rsid w:val="00FC0459"/>
    <w:rsid w:val="00FC113C"/>
    <w:rsid w:val="00FC13BC"/>
    <w:rsid w:val="00FC19BF"/>
    <w:rsid w:val="00FC249A"/>
    <w:rsid w:val="00FC26BC"/>
    <w:rsid w:val="00FC2989"/>
    <w:rsid w:val="00FC44C9"/>
    <w:rsid w:val="00FC46A9"/>
    <w:rsid w:val="00FC49CC"/>
    <w:rsid w:val="00FC4A49"/>
    <w:rsid w:val="00FC63CA"/>
    <w:rsid w:val="00FC69E0"/>
    <w:rsid w:val="00FC6D69"/>
    <w:rsid w:val="00FC73D2"/>
    <w:rsid w:val="00FD13B6"/>
    <w:rsid w:val="00FD1497"/>
    <w:rsid w:val="00FD321C"/>
    <w:rsid w:val="00FD43C7"/>
    <w:rsid w:val="00FD4520"/>
    <w:rsid w:val="00FD5462"/>
    <w:rsid w:val="00FD6523"/>
    <w:rsid w:val="00FD652F"/>
    <w:rsid w:val="00FD6FAB"/>
    <w:rsid w:val="00FE01C4"/>
    <w:rsid w:val="00FE0F8D"/>
    <w:rsid w:val="00FE18ED"/>
    <w:rsid w:val="00FE1D78"/>
    <w:rsid w:val="00FE3254"/>
    <w:rsid w:val="00FE4265"/>
    <w:rsid w:val="00FE43E6"/>
    <w:rsid w:val="00FE4922"/>
    <w:rsid w:val="00FE4B9B"/>
    <w:rsid w:val="00FE52D7"/>
    <w:rsid w:val="00FE5AA7"/>
    <w:rsid w:val="00FE64BE"/>
    <w:rsid w:val="00FE676F"/>
    <w:rsid w:val="00FE711F"/>
    <w:rsid w:val="00FE73E1"/>
    <w:rsid w:val="00FF027C"/>
    <w:rsid w:val="00FF2005"/>
    <w:rsid w:val="00FF287C"/>
    <w:rsid w:val="00FF2AF2"/>
    <w:rsid w:val="00FF4779"/>
    <w:rsid w:val="00FF494B"/>
    <w:rsid w:val="00FF4C83"/>
    <w:rsid w:val="00FF5CBB"/>
    <w:rsid w:val="00FF6661"/>
    <w:rsid w:val="00FF6969"/>
    <w:rsid w:val="00FF6C87"/>
    <w:rsid w:val="00FF70A9"/>
    <w:rsid w:val="00FF7FCA"/>
    <w:rsid w:val="010ABEF6"/>
    <w:rsid w:val="010AD788"/>
    <w:rsid w:val="01226129"/>
    <w:rsid w:val="01272C7D"/>
    <w:rsid w:val="01330323"/>
    <w:rsid w:val="01383C94"/>
    <w:rsid w:val="013AD7A9"/>
    <w:rsid w:val="014EDC0A"/>
    <w:rsid w:val="0194902F"/>
    <w:rsid w:val="0197CDCF"/>
    <w:rsid w:val="01BF901E"/>
    <w:rsid w:val="01E0A046"/>
    <w:rsid w:val="01ECA93C"/>
    <w:rsid w:val="01F3523F"/>
    <w:rsid w:val="02117036"/>
    <w:rsid w:val="0234BD43"/>
    <w:rsid w:val="02362A68"/>
    <w:rsid w:val="02445809"/>
    <w:rsid w:val="024495CB"/>
    <w:rsid w:val="024C13F2"/>
    <w:rsid w:val="024F37EA"/>
    <w:rsid w:val="02804EFB"/>
    <w:rsid w:val="02B2508C"/>
    <w:rsid w:val="02B79180"/>
    <w:rsid w:val="02D38B43"/>
    <w:rsid w:val="02D52F61"/>
    <w:rsid w:val="02E9BAF5"/>
    <w:rsid w:val="03019BE2"/>
    <w:rsid w:val="0307074E"/>
    <w:rsid w:val="030D9438"/>
    <w:rsid w:val="031820F6"/>
    <w:rsid w:val="032331A6"/>
    <w:rsid w:val="03310162"/>
    <w:rsid w:val="035A1D74"/>
    <w:rsid w:val="03665D58"/>
    <w:rsid w:val="036AEF78"/>
    <w:rsid w:val="0387D29E"/>
    <w:rsid w:val="03959948"/>
    <w:rsid w:val="039D7DC9"/>
    <w:rsid w:val="03A1488A"/>
    <w:rsid w:val="03B4C5EF"/>
    <w:rsid w:val="03B86988"/>
    <w:rsid w:val="03E0B52E"/>
    <w:rsid w:val="03E985DA"/>
    <w:rsid w:val="03FA7741"/>
    <w:rsid w:val="04061DED"/>
    <w:rsid w:val="040BFE70"/>
    <w:rsid w:val="0423DE3F"/>
    <w:rsid w:val="0444A570"/>
    <w:rsid w:val="047759A1"/>
    <w:rsid w:val="04B35B38"/>
    <w:rsid w:val="04F686B5"/>
    <w:rsid w:val="0500FB30"/>
    <w:rsid w:val="050D5C0B"/>
    <w:rsid w:val="05521911"/>
    <w:rsid w:val="05527932"/>
    <w:rsid w:val="055B64C6"/>
    <w:rsid w:val="055E6ABC"/>
    <w:rsid w:val="0560C954"/>
    <w:rsid w:val="05678078"/>
    <w:rsid w:val="05A896D0"/>
    <w:rsid w:val="05BCA2AB"/>
    <w:rsid w:val="05D01EED"/>
    <w:rsid w:val="05F64F4F"/>
    <w:rsid w:val="060AD37C"/>
    <w:rsid w:val="061314D7"/>
    <w:rsid w:val="0635AF90"/>
    <w:rsid w:val="063D7CE5"/>
    <w:rsid w:val="063E9B54"/>
    <w:rsid w:val="0658BC57"/>
    <w:rsid w:val="06805B2D"/>
    <w:rsid w:val="068A8B8C"/>
    <w:rsid w:val="06A2385C"/>
    <w:rsid w:val="06C9DA66"/>
    <w:rsid w:val="06CF7C61"/>
    <w:rsid w:val="06EC2D4B"/>
    <w:rsid w:val="070F6DAB"/>
    <w:rsid w:val="071E8EC7"/>
    <w:rsid w:val="07469EDC"/>
    <w:rsid w:val="07470CFC"/>
    <w:rsid w:val="075D5EEA"/>
    <w:rsid w:val="079C28BA"/>
    <w:rsid w:val="07A20BFC"/>
    <w:rsid w:val="07A78E23"/>
    <w:rsid w:val="07C4E7E3"/>
    <w:rsid w:val="07C65042"/>
    <w:rsid w:val="07CDF534"/>
    <w:rsid w:val="07F64A05"/>
    <w:rsid w:val="07FA692E"/>
    <w:rsid w:val="0808C983"/>
    <w:rsid w:val="08245C01"/>
    <w:rsid w:val="084137C9"/>
    <w:rsid w:val="088B977F"/>
    <w:rsid w:val="08DDC06D"/>
    <w:rsid w:val="08F7A91E"/>
    <w:rsid w:val="09134963"/>
    <w:rsid w:val="09277DD8"/>
    <w:rsid w:val="09395931"/>
    <w:rsid w:val="094576D4"/>
    <w:rsid w:val="09653CB7"/>
    <w:rsid w:val="096996D3"/>
    <w:rsid w:val="09827CB6"/>
    <w:rsid w:val="09CDC70A"/>
    <w:rsid w:val="09E1F231"/>
    <w:rsid w:val="09F1F7BF"/>
    <w:rsid w:val="09F747AF"/>
    <w:rsid w:val="0A17303A"/>
    <w:rsid w:val="0A186D3D"/>
    <w:rsid w:val="0A27E046"/>
    <w:rsid w:val="0A37C8F7"/>
    <w:rsid w:val="0A49891F"/>
    <w:rsid w:val="0A59539C"/>
    <w:rsid w:val="0A5DF26A"/>
    <w:rsid w:val="0A61FF1A"/>
    <w:rsid w:val="0A778384"/>
    <w:rsid w:val="0A8D7696"/>
    <w:rsid w:val="0A8F26A6"/>
    <w:rsid w:val="0ADC55E9"/>
    <w:rsid w:val="0AE00AEE"/>
    <w:rsid w:val="0AEE55A4"/>
    <w:rsid w:val="0B06F8C8"/>
    <w:rsid w:val="0B6E9B15"/>
    <w:rsid w:val="0B7BA9BE"/>
    <w:rsid w:val="0B82B8F9"/>
    <w:rsid w:val="0B967AC5"/>
    <w:rsid w:val="0B9AEA62"/>
    <w:rsid w:val="0BA3F956"/>
    <w:rsid w:val="0BA90583"/>
    <w:rsid w:val="0BE1EFD5"/>
    <w:rsid w:val="0BE2ECAE"/>
    <w:rsid w:val="0BF954E8"/>
    <w:rsid w:val="0C4C3324"/>
    <w:rsid w:val="0C58C379"/>
    <w:rsid w:val="0C969E73"/>
    <w:rsid w:val="0CBCCE1F"/>
    <w:rsid w:val="0CC9D84E"/>
    <w:rsid w:val="0CED3E90"/>
    <w:rsid w:val="0D01C7F7"/>
    <w:rsid w:val="0D65CEA9"/>
    <w:rsid w:val="0D6C8E5E"/>
    <w:rsid w:val="0D72CAD0"/>
    <w:rsid w:val="0D79DCAB"/>
    <w:rsid w:val="0D86E0AD"/>
    <w:rsid w:val="0D94658A"/>
    <w:rsid w:val="0D9F1FF6"/>
    <w:rsid w:val="0DAD53B3"/>
    <w:rsid w:val="0DC5AC43"/>
    <w:rsid w:val="0DD6DF71"/>
    <w:rsid w:val="0DD82B81"/>
    <w:rsid w:val="0DD8E0EA"/>
    <w:rsid w:val="0DE08F43"/>
    <w:rsid w:val="0DE10E0E"/>
    <w:rsid w:val="0DE13810"/>
    <w:rsid w:val="0DE3E44D"/>
    <w:rsid w:val="0E1DB863"/>
    <w:rsid w:val="0E2927EA"/>
    <w:rsid w:val="0E2F1462"/>
    <w:rsid w:val="0E47C1F6"/>
    <w:rsid w:val="0E5C1A13"/>
    <w:rsid w:val="0E6152F0"/>
    <w:rsid w:val="0E79E21B"/>
    <w:rsid w:val="0E82234D"/>
    <w:rsid w:val="0E9986B3"/>
    <w:rsid w:val="0EA17AB5"/>
    <w:rsid w:val="0EAD3B1D"/>
    <w:rsid w:val="0EBBACE8"/>
    <w:rsid w:val="0ED3B9F9"/>
    <w:rsid w:val="0EF5653D"/>
    <w:rsid w:val="0EFE173A"/>
    <w:rsid w:val="0F29DF8A"/>
    <w:rsid w:val="0F48CB37"/>
    <w:rsid w:val="0F643041"/>
    <w:rsid w:val="0F9F126F"/>
    <w:rsid w:val="0FAA6B2A"/>
    <w:rsid w:val="0FE50ED6"/>
    <w:rsid w:val="0FE6B153"/>
    <w:rsid w:val="0FE8A255"/>
    <w:rsid w:val="0FEDF93A"/>
    <w:rsid w:val="101863FA"/>
    <w:rsid w:val="1024A93B"/>
    <w:rsid w:val="10314B13"/>
    <w:rsid w:val="1032946D"/>
    <w:rsid w:val="1044CC1D"/>
    <w:rsid w:val="104BDFC3"/>
    <w:rsid w:val="10B4229C"/>
    <w:rsid w:val="10C91F6A"/>
    <w:rsid w:val="10D39617"/>
    <w:rsid w:val="10D802CC"/>
    <w:rsid w:val="110132FD"/>
    <w:rsid w:val="110374B3"/>
    <w:rsid w:val="112F9A90"/>
    <w:rsid w:val="1163D4F4"/>
    <w:rsid w:val="118961FC"/>
    <w:rsid w:val="118B6D03"/>
    <w:rsid w:val="11B2FD09"/>
    <w:rsid w:val="11D2FFF3"/>
    <w:rsid w:val="11FD0101"/>
    <w:rsid w:val="12090BA4"/>
    <w:rsid w:val="1212EED1"/>
    <w:rsid w:val="1265C55A"/>
    <w:rsid w:val="126E4C3A"/>
    <w:rsid w:val="126FCF24"/>
    <w:rsid w:val="12722CF3"/>
    <w:rsid w:val="128B4CCC"/>
    <w:rsid w:val="12DD6826"/>
    <w:rsid w:val="12E3D497"/>
    <w:rsid w:val="130ABCB2"/>
    <w:rsid w:val="13186AF3"/>
    <w:rsid w:val="1320038C"/>
    <w:rsid w:val="1324F069"/>
    <w:rsid w:val="135E042B"/>
    <w:rsid w:val="1364DBDC"/>
    <w:rsid w:val="1370B4EC"/>
    <w:rsid w:val="1373675D"/>
    <w:rsid w:val="137BC636"/>
    <w:rsid w:val="13ABF014"/>
    <w:rsid w:val="13B915BE"/>
    <w:rsid w:val="13D2824B"/>
    <w:rsid w:val="13DDA678"/>
    <w:rsid w:val="13ED7ABD"/>
    <w:rsid w:val="1413FC19"/>
    <w:rsid w:val="141D0986"/>
    <w:rsid w:val="141D4009"/>
    <w:rsid w:val="143C1EF5"/>
    <w:rsid w:val="14415B92"/>
    <w:rsid w:val="144A6780"/>
    <w:rsid w:val="146CF84F"/>
    <w:rsid w:val="1474F46D"/>
    <w:rsid w:val="1477BD9A"/>
    <w:rsid w:val="147DEA62"/>
    <w:rsid w:val="14A2C6A9"/>
    <w:rsid w:val="14CA4382"/>
    <w:rsid w:val="14CC6A90"/>
    <w:rsid w:val="14CD23F7"/>
    <w:rsid w:val="1550D14D"/>
    <w:rsid w:val="156F85BD"/>
    <w:rsid w:val="1591EB48"/>
    <w:rsid w:val="15BC9CFD"/>
    <w:rsid w:val="15E86C21"/>
    <w:rsid w:val="1641000C"/>
    <w:rsid w:val="16B2D2D5"/>
    <w:rsid w:val="16C5C44A"/>
    <w:rsid w:val="16DB53C5"/>
    <w:rsid w:val="17244715"/>
    <w:rsid w:val="173C480C"/>
    <w:rsid w:val="1760D666"/>
    <w:rsid w:val="17746919"/>
    <w:rsid w:val="17885490"/>
    <w:rsid w:val="179FB3DD"/>
    <w:rsid w:val="17A7414D"/>
    <w:rsid w:val="17BD0667"/>
    <w:rsid w:val="17CF5A76"/>
    <w:rsid w:val="17ECF12D"/>
    <w:rsid w:val="180F2148"/>
    <w:rsid w:val="181524A7"/>
    <w:rsid w:val="183699C8"/>
    <w:rsid w:val="183DAD3D"/>
    <w:rsid w:val="188C90CE"/>
    <w:rsid w:val="189E72F6"/>
    <w:rsid w:val="18D4D38B"/>
    <w:rsid w:val="18E2FC76"/>
    <w:rsid w:val="18F076BD"/>
    <w:rsid w:val="18FE2EA6"/>
    <w:rsid w:val="19052883"/>
    <w:rsid w:val="191A1749"/>
    <w:rsid w:val="1953A2BF"/>
    <w:rsid w:val="1977D440"/>
    <w:rsid w:val="197826C8"/>
    <w:rsid w:val="197D9AD8"/>
    <w:rsid w:val="198F0A3D"/>
    <w:rsid w:val="19C45B8E"/>
    <w:rsid w:val="19D7159A"/>
    <w:rsid w:val="19FBB717"/>
    <w:rsid w:val="1A1181E5"/>
    <w:rsid w:val="1A195F0C"/>
    <w:rsid w:val="1A1B5FF7"/>
    <w:rsid w:val="1A2B3A5E"/>
    <w:rsid w:val="1A526CD1"/>
    <w:rsid w:val="1A74132F"/>
    <w:rsid w:val="1A878067"/>
    <w:rsid w:val="1A89BEDA"/>
    <w:rsid w:val="1A8E689F"/>
    <w:rsid w:val="1A9017F3"/>
    <w:rsid w:val="1ABBF642"/>
    <w:rsid w:val="1AE16FD4"/>
    <w:rsid w:val="1AE9B0AA"/>
    <w:rsid w:val="1B185C6B"/>
    <w:rsid w:val="1B1BE8CF"/>
    <w:rsid w:val="1B4D08D8"/>
    <w:rsid w:val="1B66099D"/>
    <w:rsid w:val="1B6AE75A"/>
    <w:rsid w:val="1B7473D6"/>
    <w:rsid w:val="1B83D1DE"/>
    <w:rsid w:val="1B83FAA2"/>
    <w:rsid w:val="1B93A9BB"/>
    <w:rsid w:val="1BE10392"/>
    <w:rsid w:val="1BFBAE7E"/>
    <w:rsid w:val="1C0D2BCB"/>
    <w:rsid w:val="1C21907F"/>
    <w:rsid w:val="1C2E0C4B"/>
    <w:rsid w:val="1C73CD9D"/>
    <w:rsid w:val="1C7D26A2"/>
    <w:rsid w:val="1C973D9E"/>
    <w:rsid w:val="1C975A0D"/>
    <w:rsid w:val="1C9A2C45"/>
    <w:rsid w:val="1CA147D5"/>
    <w:rsid w:val="1CA63763"/>
    <w:rsid w:val="1CC0F883"/>
    <w:rsid w:val="1CCC9E2F"/>
    <w:rsid w:val="1CF27773"/>
    <w:rsid w:val="1CF360A5"/>
    <w:rsid w:val="1CFCB3C1"/>
    <w:rsid w:val="1D07F5F3"/>
    <w:rsid w:val="1D144523"/>
    <w:rsid w:val="1D25EC71"/>
    <w:rsid w:val="1D3A4E28"/>
    <w:rsid w:val="1D3DC06C"/>
    <w:rsid w:val="1D832AD6"/>
    <w:rsid w:val="1D890C93"/>
    <w:rsid w:val="1D9B3664"/>
    <w:rsid w:val="1DB21A86"/>
    <w:rsid w:val="1DC3E3A5"/>
    <w:rsid w:val="1DC5C76B"/>
    <w:rsid w:val="1DFB1CAB"/>
    <w:rsid w:val="1E039760"/>
    <w:rsid w:val="1E217B8C"/>
    <w:rsid w:val="1E3C1FC6"/>
    <w:rsid w:val="1E434C6C"/>
    <w:rsid w:val="1E4E37A8"/>
    <w:rsid w:val="1E566DF9"/>
    <w:rsid w:val="1E5847A1"/>
    <w:rsid w:val="1E647096"/>
    <w:rsid w:val="1E695D45"/>
    <w:rsid w:val="1E92356F"/>
    <w:rsid w:val="1EA7CF4B"/>
    <w:rsid w:val="1EC73782"/>
    <w:rsid w:val="1EE6D637"/>
    <w:rsid w:val="1EF7CB6E"/>
    <w:rsid w:val="1F1626BC"/>
    <w:rsid w:val="1F2B4D7F"/>
    <w:rsid w:val="1F326D70"/>
    <w:rsid w:val="1F42AB46"/>
    <w:rsid w:val="1F5A6234"/>
    <w:rsid w:val="1F8CCE3A"/>
    <w:rsid w:val="1FACB218"/>
    <w:rsid w:val="1FC0119E"/>
    <w:rsid w:val="1FEFE2D2"/>
    <w:rsid w:val="2038CC47"/>
    <w:rsid w:val="2049B676"/>
    <w:rsid w:val="20DEDCB1"/>
    <w:rsid w:val="210088B2"/>
    <w:rsid w:val="2118DF8D"/>
    <w:rsid w:val="213E2805"/>
    <w:rsid w:val="2151F16B"/>
    <w:rsid w:val="2165D335"/>
    <w:rsid w:val="218FC3AB"/>
    <w:rsid w:val="2194C014"/>
    <w:rsid w:val="2197EA08"/>
    <w:rsid w:val="2198B16F"/>
    <w:rsid w:val="21C82483"/>
    <w:rsid w:val="21EB777B"/>
    <w:rsid w:val="21ECC805"/>
    <w:rsid w:val="21FC571D"/>
    <w:rsid w:val="221DE3A3"/>
    <w:rsid w:val="224AB859"/>
    <w:rsid w:val="22547CD7"/>
    <w:rsid w:val="227F12AB"/>
    <w:rsid w:val="22903CCA"/>
    <w:rsid w:val="2296FC03"/>
    <w:rsid w:val="22B8145B"/>
    <w:rsid w:val="22E8806A"/>
    <w:rsid w:val="23016F4E"/>
    <w:rsid w:val="23372178"/>
    <w:rsid w:val="2390427C"/>
    <w:rsid w:val="23A1BCD2"/>
    <w:rsid w:val="23B5A512"/>
    <w:rsid w:val="23C1E6F5"/>
    <w:rsid w:val="23D57757"/>
    <w:rsid w:val="23D63670"/>
    <w:rsid w:val="23EC1F12"/>
    <w:rsid w:val="2407108D"/>
    <w:rsid w:val="241E83B4"/>
    <w:rsid w:val="242510D1"/>
    <w:rsid w:val="24570348"/>
    <w:rsid w:val="245886B1"/>
    <w:rsid w:val="2462EC48"/>
    <w:rsid w:val="24915C36"/>
    <w:rsid w:val="249B0E4F"/>
    <w:rsid w:val="249EDC35"/>
    <w:rsid w:val="24ECA81F"/>
    <w:rsid w:val="2518B904"/>
    <w:rsid w:val="251CB36F"/>
    <w:rsid w:val="254630A1"/>
    <w:rsid w:val="254713E0"/>
    <w:rsid w:val="2580A23E"/>
    <w:rsid w:val="25846824"/>
    <w:rsid w:val="25A848F8"/>
    <w:rsid w:val="25BA7CEB"/>
    <w:rsid w:val="25E39171"/>
    <w:rsid w:val="25E750DB"/>
    <w:rsid w:val="25F146F6"/>
    <w:rsid w:val="260D81E0"/>
    <w:rsid w:val="26170F6C"/>
    <w:rsid w:val="261D1DD0"/>
    <w:rsid w:val="265F83ED"/>
    <w:rsid w:val="266DB609"/>
    <w:rsid w:val="2681325B"/>
    <w:rsid w:val="26B6E335"/>
    <w:rsid w:val="26C95320"/>
    <w:rsid w:val="26E151A5"/>
    <w:rsid w:val="26E4AA81"/>
    <w:rsid w:val="26ED6921"/>
    <w:rsid w:val="26FE0702"/>
    <w:rsid w:val="270794CD"/>
    <w:rsid w:val="272131CB"/>
    <w:rsid w:val="2723A7F4"/>
    <w:rsid w:val="2729C7B5"/>
    <w:rsid w:val="272D39F3"/>
    <w:rsid w:val="272E55ED"/>
    <w:rsid w:val="27386EFC"/>
    <w:rsid w:val="27455964"/>
    <w:rsid w:val="275D6B32"/>
    <w:rsid w:val="276EC661"/>
    <w:rsid w:val="278BC6C9"/>
    <w:rsid w:val="27F009BD"/>
    <w:rsid w:val="27F946E4"/>
    <w:rsid w:val="27FB69F1"/>
    <w:rsid w:val="280205A8"/>
    <w:rsid w:val="284302F3"/>
    <w:rsid w:val="285F949F"/>
    <w:rsid w:val="28A19A65"/>
    <w:rsid w:val="28A6FC76"/>
    <w:rsid w:val="28AA3436"/>
    <w:rsid w:val="28AF5058"/>
    <w:rsid w:val="28B02FCC"/>
    <w:rsid w:val="28CB2A2A"/>
    <w:rsid w:val="28D13DEC"/>
    <w:rsid w:val="28D990BF"/>
    <w:rsid w:val="28E2CE29"/>
    <w:rsid w:val="28E8D980"/>
    <w:rsid w:val="28EFEC34"/>
    <w:rsid w:val="28FF204C"/>
    <w:rsid w:val="28FF4C9B"/>
    <w:rsid w:val="29079DCB"/>
    <w:rsid w:val="2928335C"/>
    <w:rsid w:val="2928E568"/>
    <w:rsid w:val="29AF482E"/>
    <w:rsid w:val="29DE3907"/>
    <w:rsid w:val="29E38C28"/>
    <w:rsid w:val="29F7C68E"/>
    <w:rsid w:val="2A7B3D30"/>
    <w:rsid w:val="2ABAE2D6"/>
    <w:rsid w:val="2AEE232D"/>
    <w:rsid w:val="2AFE84CC"/>
    <w:rsid w:val="2B235109"/>
    <w:rsid w:val="2B270CB4"/>
    <w:rsid w:val="2B38208E"/>
    <w:rsid w:val="2B70EDCD"/>
    <w:rsid w:val="2B821867"/>
    <w:rsid w:val="2B975581"/>
    <w:rsid w:val="2BA22B35"/>
    <w:rsid w:val="2BA5192D"/>
    <w:rsid w:val="2BAAFCA8"/>
    <w:rsid w:val="2BAF5F52"/>
    <w:rsid w:val="2BAF94CF"/>
    <w:rsid w:val="2BD09BF8"/>
    <w:rsid w:val="2C19A778"/>
    <w:rsid w:val="2C2BADFA"/>
    <w:rsid w:val="2C4258CF"/>
    <w:rsid w:val="2C483DBF"/>
    <w:rsid w:val="2C5820EB"/>
    <w:rsid w:val="2C606775"/>
    <w:rsid w:val="2C995D68"/>
    <w:rsid w:val="2C9E1D99"/>
    <w:rsid w:val="2CD81C23"/>
    <w:rsid w:val="2CFD6C36"/>
    <w:rsid w:val="2D6B628B"/>
    <w:rsid w:val="2D825C20"/>
    <w:rsid w:val="2D83E8CF"/>
    <w:rsid w:val="2D8FBA2E"/>
    <w:rsid w:val="2DA8969F"/>
    <w:rsid w:val="2DAF54E4"/>
    <w:rsid w:val="2DB54192"/>
    <w:rsid w:val="2DBC289B"/>
    <w:rsid w:val="2DDA8C54"/>
    <w:rsid w:val="2DDBBE8F"/>
    <w:rsid w:val="2DEA3745"/>
    <w:rsid w:val="2E005A83"/>
    <w:rsid w:val="2E137FB6"/>
    <w:rsid w:val="2E24DCF0"/>
    <w:rsid w:val="2E41F8EB"/>
    <w:rsid w:val="2E44A7F6"/>
    <w:rsid w:val="2E4DE1BF"/>
    <w:rsid w:val="2E54304F"/>
    <w:rsid w:val="2E5B7AC4"/>
    <w:rsid w:val="2E6E8CBE"/>
    <w:rsid w:val="2E81FE77"/>
    <w:rsid w:val="2E842A2C"/>
    <w:rsid w:val="2E9949B7"/>
    <w:rsid w:val="2E9BDFBA"/>
    <w:rsid w:val="2E9C16C8"/>
    <w:rsid w:val="2EA3BC0B"/>
    <w:rsid w:val="2EBCC2B2"/>
    <w:rsid w:val="2EC68812"/>
    <w:rsid w:val="2EC81D9A"/>
    <w:rsid w:val="2ED6365A"/>
    <w:rsid w:val="2ED90BC4"/>
    <w:rsid w:val="2EFCD59F"/>
    <w:rsid w:val="2F2AA230"/>
    <w:rsid w:val="2F2B5113"/>
    <w:rsid w:val="2F3247F5"/>
    <w:rsid w:val="2F404DA1"/>
    <w:rsid w:val="2F47B17B"/>
    <w:rsid w:val="2F481D84"/>
    <w:rsid w:val="2F4E2454"/>
    <w:rsid w:val="2F5617A6"/>
    <w:rsid w:val="2F66BDDB"/>
    <w:rsid w:val="2FA33E43"/>
    <w:rsid w:val="2FA8B114"/>
    <w:rsid w:val="2FB276D8"/>
    <w:rsid w:val="2FB4EF39"/>
    <w:rsid w:val="2FCC4BF3"/>
    <w:rsid w:val="2FCF20CA"/>
    <w:rsid w:val="3003322E"/>
    <w:rsid w:val="300E99FC"/>
    <w:rsid w:val="303EAC9D"/>
    <w:rsid w:val="3045785C"/>
    <w:rsid w:val="30493CD9"/>
    <w:rsid w:val="3091AA23"/>
    <w:rsid w:val="3096BC52"/>
    <w:rsid w:val="309C7B25"/>
    <w:rsid w:val="30CD96BC"/>
    <w:rsid w:val="30D5108E"/>
    <w:rsid w:val="30FE804B"/>
    <w:rsid w:val="3127C74F"/>
    <w:rsid w:val="312DD40C"/>
    <w:rsid w:val="316910E8"/>
    <w:rsid w:val="316A0B2A"/>
    <w:rsid w:val="3178C846"/>
    <w:rsid w:val="319A112F"/>
    <w:rsid w:val="31A5DAAB"/>
    <w:rsid w:val="31ABEBA5"/>
    <w:rsid w:val="31D86A7A"/>
    <w:rsid w:val="32192649"/>
    <w:rsid w:val="3219A32A"/>
    <w:rsid w:val="321DEA3B"/>
    <w:rsid w:val="324C09A7"/>
    <w:rsid w:val="327EF56E"/>
    <w:rsid w:val="32954A57"/>
    <w:rsid w:val="32C59D8B"/>
    <w:rsid w:val="32D263C8"/>
    <w:rsid w:val="32E2DF6E"/>
    <w:rsid w:val="331087CC"/>
    <w:rsid w:val="332C4D72"/>
    <w:rsid w:val="335A28F7"/>
    <w:rsid w:val="3370C93E"/>
    <w:rsid w:val="337BF937"/>
    <w:rsid w:val="338A1BC5"/>
    <w:rsid w:val="33908BDB"/>
    <w:rsid w:val="3391DAC5"/>
    <w:rsid w:val="339863E2"/>
    <w:rsid w:val="33B41923"/>
    <w:rsid w:val="33B7A29A"/>
    <w:rsid w:val="33BAB10B"/>
    <w:rsid w:val="33C7DD0A"/>
    <w:rsid w:val="340645A7"/>
    <w:rsid w:val="342A2BB0"/>
    <w:rsid w:val="344B9BF7"/>
    <w:rsid w:val="345056F5"/>
    <w:rsid w:val="34593245"/>
    <w:rsid w:val="3473DBB1"/>
    <w:rsid w:val="347710B4"/>
    <w:rsid w:val="348CADAB"/>
    <w:rsid w:val="349A2B5D"/>
    <w:rsid w:val="34A1E31F"/>
    <w:rsid w:val="34BAA5DA"/>
    <w:rsid w:val="34BDE48E"/>
    <w:rsid w:val="34CB00A4"/>
    <w:rsid w:val="34CB4DE7"/>
    <w:rsid w:val="34D3DD39"/>
    <w:rsid w:val="34E4C843"/>
    <w:rsid w:val="34F41E38"/>
    <w:rsid w:val="34FB77AF"/>
    <w:rsid w:val="34FEDAEE"/>
    <w:rsid w:val="3503775D"/>
    <w:rsid w:val="3509AD9C"/>
    <w:rsid w:val="351A8E3F"/>
    <w:rsid w:val="351B0AB6"/>
    <w:rsid w:val="3523A1D3"/>
    <w:rsid w:val="3543282C"/>
    <w:rsid w:val="35606231"/>
    <w:rsid w:val="3585B00E"/>
    <w:rsid w:val="358942FD"/>
    <w:rsid w:val="359537F3"/>
    <w:rsid w:val="359BFC59"/>
    <w:rsid w:val="359FE3A4"/>
    <w:rsid w:val="35B18501"/>
    <w:rsid w:val="35B387C3"/>
    <w:rsid w:val="35C5B597"/>
    <w:rsid w:val="35D8B35C"/>
    <w:rsid w:val="35E4B7B3"/>
    <w:rsid w:val="3627486B"/>
    <w:rsid w:val="363AB57B"/>
    <w:rsid w:val="3686EB92"/>
    <w:rsid w:val="36959D0E"/>
    <w:rsid w:val="36B476AE"/>
    <w:rsid w:val="37061563"/>
    <w:rsid w:val="371C21B0"/>
    <w:rsid w:val="375387F2"/>
    <w:rsid w:val="375B67B4"/>
    <w:rsid w:val="3773EDCE"/>
    <w:rsid w:val="37E1EF4E"/>
    <w:rsid w:val="37E505BE"/>
    <w:rsid w:val="37F61E39"/>
    <w:rsid w:val="380797CB"/>
    <w:rsid w:val="380C1394"/>
    <w:rsid w:val="381F119F"/>
    <w:rsid w:val="3837DE00"/>
    <w:rsid w:val="3845ECF3"/>
    <w:rsid w:val="38590582"/>
    <w:rsid w:val="385DDE48"/>
    <w:rsid w:val="3870FEEA"/>
    <w:rsid w:val="387149C7"/>
    <w:rsid w:val="3891ACE3"/>
    <w:rsid w:val="389DA63D"/>
    <w:rsid w:val="38AADF20"/>
    <w:rsid w:val="38B09768"/>
    <w:rsid w:val="38CD1C54"/>
    <w:rsid w:val="38FDED17"/>
    <w:rsid w:val="390B1CE8"/>
    <w:rsid w:val="3951FF18"/>
    <w:rsid w:val="395A302F"/>
    <w:rsid w:val="395D3C71"/>
    <w:rsid w:val="399ED176"/>
    <w:rsid w:val="39A69F39"/>
    <w:rsid w:val="39A86475"/>
    <w:rsid w:val="39D18B02"/>
    <w:rsid w:val="39EB1058"/>
    <w:rsid w:val="3A016CEC"/>
    <w:rsid w:val="3A02F993"/>
    <w:rsid w:val="3A0DF29F"/>
    <w:rsid w:val="3A106D3F"/>
    <w:rsid w:val="3A70365C"/>
    <w:rsid w:val="3A749ACD"/>
    <w:rsid w:val="3A9AE655"/>
    <w:rsid w:val="3A9C016F"/>
    <w:rsid w:val="3AA1059D"/>
    <w:rsid w:val="3AB99645"/>
    <w:rsid w:val="3AC23E4B"/>
    <w:rsid w:val="3AF6BCAA"/>
    <w:rsid w:val="3B0FB117"/>
    <w:rsid w:val="3B215643"/>
    <w:rsid w:val="3B26B662"/>
    <w:rsid w:val="3B357A1F"/>
    <w:rsid w:val="3B595B69"/>
    <w:rsid w:val="3B8798EC"/>
    <w:rsid w:val="3B8F3715"/>
    <w:rsid w:val="3BA2EB9A"/>
    <w:rsid w:val="3BA30C46"/>
    <w:rsid w:val="3BA56420"/>
    <w:rsid w:val="3BAEFB84"/>
    <w:rsid w:val="3BB905D6"/>
    <w:rsid w:val="3BF30DEA"/>
    <w:rsid w:val="3BF466F8"/>
    <w:rsid w:val="3BFE82D1"/>
    <w:rsid w:val="3C004D8F"/>
    <w:rsid w:val="3C085703"/>
    <w:rsid w:val="3C1070E8"/>
    <w:rsid w:val="3C1CB62D"/>
    <w:rsid w:val="3C23C732"/>
    <w:rsid w:val="3C30332B"/>
    <w:rsid w:val="3C388E83"/>
    <w:rsid w:val="3C4B5F28"/>
    <w:rsid w:val="3C537B3F"/>
    <w:rsid w:val="3C5D5340"/>
    <w:rsid w:val="3C96EB36"/>
    <w:rsid w:val="3C9C9ABB"/>
    <w:rsid w:val="3CBAD645"/>
    <w:rsid w:val="3CC02EF6"/>
    <w:rsid w:val="3CD089A8"/>
    <w:rsid w:val="3D042A46"/>
    <w:rsid w:val="3D2A3644"/>
    <w:rsid w:val="3D347DCD"/>
    <w:rsid w:val="3D3DD745"/>
    <w:rsid w:val="3D4A11F3"/>
    <w:rsid w:val="3D709B64"/>
    <w:rsid w:val="3D82543D"/>
    <w:rsid w:val="3DBDCEC3"/>
    <w:rsid w:val="3DD470D5"/>
    <w:rsid w:val="3DDC6AB4"/>
    <w:rsid w:val="3DF22984"/>
    <w:rsid w:val="3DF90823"/>
    <w:rsid w:val="3E213826"/>
    <w:rsid w:val="3E38CD59"/>
    <w:rsid w:val="3E39C0E4"/>
    <w:rsid w:val="3E3FE990"/>
    <w:rsid w:val="3E69C288"/>
    <w:rsid w:val="3E7E4F56"/>
    <w:rsid w:val="3E892BA6"/>
    <w:rsid w:val="3EB6CB9F"/>
    <w:rsid w:val="3ECA6410"/>
    <w:rsid w:val="3ED029B0"/>
    <w:rsid w:val="3EF4A5B7"/>
    <w:rsid w:val="3F2C0CCB"/>
    <w:rsid w:val="3F35927F"/>
    <w:rsid w:val="3F503154"/>
    <w:rsid w:val="3F5494C7"/>
    <w:rsid w:val="3F635E96"/>
    <w:rsid w:val="3F923F83"/>
    <w:rsid w:val="3FA2D2DC"/>
    <w:rsid w:val="3FC26966"/>
    <w:rsid w:val="3FD6A944"/>
    <w:rsid w:val="3FDACB18"/>
    <w:rsid w:val="3FFB7D5B"/>
    <w:rsid w:val="4001814B"/>
    <w:rsid w:val="403ED31F"/>
    <w:rsid w:val="4041F094"/>
    <w:rsid w:val="404DB78E"/>
    <w:rsid w:val="4079A244"/>
    <w:rsid w:val="408E5BE4"/>
    <w:rsid w:val="409C9BC1"/>
    <w:rsid w:val="409CE6EB"/>
    <w:rsid w:val="40AD56AD"/>
    <w:rsid w:val="40B7F591"/>
    <w:rsid w:val="40B8B074"/>
    <w:rsid w:val="40BDEA48"/>
    <w:rsid w:val="40F37D07"/>
    <w:rsid w:val="411EFFA4"/>
    <w:rsid w:val="412AD278"/>
    <w:rsid w:val="412EAA96"/>
    <w:rsid w:val="41481497"/>
    <w:rsid w:val="41482D62"/>
    <w:rsid w:val="414C4A7B"/>
    <w:rsid w:val="415A2DD4"/>
    <w:rsid w:val="41772100"/>
    <w:rsid w:val="41AA6B0A"/>
    <w:rsid w:val="41BD9D62"/>
    <w:rsid w:val="41C86775"/>
    <w:rsid w:val="41CC5863"/>
    <w:rsid w:val="41CE74BB"/>
    <w:rsid w:val="41E0BB82"/>
    <w:rsid w:val="41E0F829"/>
    <w:rsid w:val="4214F92D"/>
    <w:rsid w:val="42176BF9"/>
    <w:rsid w:val="4239EC50"/>
    <w:rsid w:val="426713D6"/>
    <w:rsid w:val="427B12A1"/>
    <w:rsid w:val="427E8AD4"/>
    <w:rsid w:val="4280E2E2"/>
    <w:rsid w:val="42B7D489"/>
    <w:rsid w:val="42C8DFB0"/>
    <w:rsid w:val="42D6FD4F"/>
    <w:rsid w:val="42FEAA87"/>
    <w:rsid w:val="430A3CBE"/>
    <w:rsid w:val="4317FEB0"/>
    <w:rsid w:val="431CDB75"/>
    <w:rsid w:val="432B3DB0"/>
    <w:rsid w:val="43362F78"/>
    <w:rsid w:val="437AE268"/>
    <w:rsid w:val="43864733"/>
    <w:rsid w:val="438832EE"/>
    <w:rsid w:val="439A5C4C"/>
    <w:rsid w:val="43BA1C6A"/>
    <w:rsid w:val="43BF6210"/>
    <w:rsid w:val="43C75F42"/>
    <w:rsid w:val="43D13098"/>
    <w:rsid w:val="43DD0B27"/>
    <w:rsid w:val="43FC4A13"/>
    <w:rsid w:val="440DB4E6"/>
    <w:rsid w:val="44131EA9"/>
    <w:rsid w:val="443D8FCD"/>
    <w:rsid w:val="4479A507"/>
    <w:rsid w:val="448F0EB3"/>
    <w:rsid w:val="44972150"/>
    <w:rsid w:val="44C9AF3E"/>
    <w:rsid w:val="44CFB393"/>
    <w:rsid w:val="44DD608A"/>
    <w:rsid w:val="44F7CCF2"/>
    <w:rsid w:val="44FAB5BF"/>
    <w:rsid w:val="45250AB3"/>
    <w:rsid w:val="45880C37"/>
    <w:rsid w:val="45BFE3BD"/>
    <w:rsid w:val="45CF18A6"/>
    <w:rsid w:val="45E13730"/>
    <w:rsid w:val="45E64B6E"/>
    <w:rsid w:val="45F6BA26"/>
    <w:rsid w:val="461AB632"/>
    <w:rsid w:val="46395C03"/>
    <w:rsid w:val="4641286C"/>
    <w:rsid w:val="4657034C"/>
    <w:rsid w:val="467E3E80"/>
    <w:rsid w:val="46D9CE34"/>
    <w:rsid w:val="46F9F9A5"/>
    <w:rsid w:val="46FFFC16"/>
    <w:rsid w:val="470E66B8"/>
    <w:rsid w:val="4710B0D3"/>
    <w:rsid w:val="4719483C"/>
    <w:rsid w:val="4734A607"/>
    <w:rsid w:val="473ADF60"/>
    <w:rsid w:val="474BA7B1"/>
    <w:rsid w:val="476F2692"/>
    <w:rsid w:val="477B034D"/>
    <w:rsid w:val="47BCD712"/>
    <w:rsid w:val="482C9109"/>
    <w:rsid w:val="483B336A"/>
    <w:rsid w:val="483CA0C2"/>
    <w:rsid w:val="484DDCBF"/>
    <w:rsid w:val="484F8433"/>
    <w:rsid w:val="4859CDCF"/>
    <w:rsid w:val="487395C0"/>
    <w:rsid w:val="4886C778"/>
    <w:rsid w:val="48ADAC79"/>
    <w:rsid w:val="48BC0063"/>
    <w:rsid w:val="48F4EE4A"/>
    <w:rsid w:val="490D33EE"/>
    <w:rsid w:val="492D33DD"/>
    <w:rsid w:val="494B940F"/>
    <w:rsid w:val="495145EE"/>
    <w:rsid w:val="495FDD02"/>
    <w:rsid w:val="49861077"/>
    <w:rsid w:val="4994723E"/>
    <w:rsid w:val="49956DB4"/>
    <w:rsid w:val="49B65BB7"/>
    <w:rsid w:val="49CF1D27"/>
    <w:rsid w:val="4A1CDD0B"/>
    <w:rsid w:val="4A6D1178"/>
    <w:rsid w:val="4A7140C1"/>
    <w:rsid w:val="4A835B70"/>
    <w:rsid w:val="4AD6BF2C"/>
    <w:rsid w:val="4AF06EEA"/>
    <w:rsid w:val="4AF23841"/>
    <w:rsid w:val="4AF7DED9"/>
    <w:rsid w:val="4AFF36E7"/>
    <w:rsid w:val="4B0E0C6F"/>
    <w:rsid w:val="4B1920D7"/>
    <w:rsid w:val="4B2334EB"/>
    <w:rsid w:val="4B45C9CF"/>
    <w:rsid w:val="4B64CDA1"/>
    <w:rsid w:val="4B971715"/>
    <w:rsid w:val="4BC5807E"/>
    <w:rsid w:val="4BCEC3A1"/>
    <w:rsid w:val="4BD5859E"/>
    <w:rsid w:val="4BE9CAA4"/>
    <w:rsid w:val="4C05A700"/>
    <w:rsid w:val="4C0BE51E"/>
    <w:rsid w:val="4C34790E"/>
    <w:rsid w:val="4C4771F3"/>
    <w:rsid w:val="4C61F7D8"/>
    <w:rsid w:val="4C8AE6B2"/>
    <w:rsid w:val="4C8BD9CA"/>
    <w:rsid w:val="4C8CA61A"/>
    <w:rsid w:val="4C9D2A0F"/>
    <w:rsid w:val="4CBC568A"/>
    <w:rsid w:val="4CD981CD"/>
    <w:rsid w:val="4CF94198"/>
    <w:rsid w:val="4D37A74C"/>
    <w:rsid w:val="4D4AE20B"/>
    <w:rsid w:val="4D551B30"/>
    <w:rsid w:val="4D612237"/>
    <w:rsid w:val="4D80362E"/>
    <w:rsid w:val="4D829B4E"/>
    <w:rsid w:val="4D8A46AC"/>
    <w:rsid w:val="4DA592C3"/>
    <w:rsid w:val="4DE32CA4"/>
    <w:rsid w:val="4DE743C1"/>
    <w:rsid w:val="4E0C4F1A"/>
    <w:rsid w:val="4E32F436"/>
    <w:rsid w:val="4E463586"/>
    <w:rsid w:val="4E467C1C"/>
    <w:rsid w:val="4E4C11FC"/>
    <w:rsid w:val="4E4CEF6E"/>
    <w:rsid w:val="4E5234C0"/>
    <w:rsid w:val="4E67240F"/>
    <w:rsid w:val="4E6C4E9A"/>
    <w:rsid w:val="4E73951C"/>
    <w:rsid w:val="4E7D0FB8"/>
    <w:rsid w:val="4EAD4121"/>
    <w:rsid w:val="4EE941A8"/>
    <w:rsid w:val="4EFD3779"/>
    <w:rsid w:val="4F0A1E2C"/>
    <w:rsid w:val="4F2D5D12"/>
    <w:rsid w:val="4F38E25B"/>
    <w:rsid w:val="4F4693A5"/>
    <w:rsid w:val="4F5DC3EA"/>
    <w:rsid w:val="4F95791D"/>
    <w:rsid w:val="4FCC22B4"/>
    <w:rsid w:val="4FE198A3"/>
    <w:rsid w:val="4FE4628B"/>
    <w:rsid w:val="4FF63FAE"/>
    <w:rsid w:val="5002825A"/>
    <w:rsid w:val="50183021"/>
    <w:rsid w:val="5027AF54"/>
    <w:rsid w:val="50414ED4"/>
    <w:rsid w:val="5057FC2B"/>
    <w:rsid w:val="50670E96"/>
    <w:rsid w:val="5069D6D8"/>
    <w:rsid w:val="507A2D8A"/>
    <w:rsid w:val="5083AF9A"/>
    <w:rsid w:val="5083CA6C"/>
    <w:rsid w:val="5092516F"/>
    <w:rsid w:val="50985FA3"/>
    <w:rsid w:val="50F0E178"/>
    <w:rsid w:val="51104794"/>
    <w:rsid w:val="5137F7B9"/>
    <w:rsid w:val="51697897"/>
    <w:rsid w:val="518712EA"/>
    <w:rsid w:val="51920576"/>
    <w:rsid w:val="51A2D457"/>
    <w:rsid w:val="51C2C60B"/>
    <w:rsid w:val="51C401C4"/>
    <w:rsid w:val="51CD2175"/>
    <w:rsid w:val="51EB4F96"/>
    <w:rsid w:val="51F0B165"/>
    <w:rsid w:val="51FD425F"/>
    <w:rsid w:val="51FD9ED7"/>
    <w:rsid w:val="520BAC92"/>
    <w:rsid w:val="5210F17F"/>
    <w:rsid w:val="5211D78F"/>
    <w:rsid w:val="5224DB52"/>
    <w:rsid w:val="52853AE1"/>
    <w:rsid w:val="52930FB5"/>
    <w:rsid w:val="52B45D01"/>
    <w:rsid w:val="52CC5260"/>
    <w:rsid w:val="52D2162B"/>
    <w:rsid w:val="52F7D9DA"/>
    <w:rsid w:val="5301E316"/>
    <w:rsid w:val="530AC537"/>
    <w:rsid w:val="5314B728"/>
    <w:rsid w:val="532C028E"/>
    <w:rsid w:val="53459022"/>
    <w:rsid w:val="53A2DD0C"/>
    <w:rsid w:val="53E112AB"/>
    <w:rsid w:val="53ED42E9"/>
    <w:rsid w:val="53EFD4B1"/>
    <w:rsid w:val="53FF352F"/>
    <w:rsid w:val="5408CA6E"/>
    <w:rsid w:val="54507D39"/>
    <w:rsid w:val="545423E9"/>
    <w:rsid w:val="5461AFE9"/>
    <w:rsid w:val="546BC815"/>
    <w:rsid w:val="5481E563"/>
    <w:rsid w:val="5486A9C5"/>
    <w:rsid w:val="549CC700"/>
    <w:rsid w:val="54A8F2DD"/>
    <w:rsid w:val="54B0801C"/>
    <w:rsid w:val="54B13C37"/>
    <w:rsid w:val="54B544B4"/>
    <w:rsid w:val="54FCAD4D"/>
    <w:rsid w:val="551D5E03"/>
    <w:rsid w:val="55285169"/>
    <w:rsid w:val="5536F742"/>
    <w:rsid w:val="5538CA6E"/>
    <w:rsid w:val="553FBF4D"/>
    <w:rsid w:val="5552D95E"/>
    <w:rsid w:val="5572F7AB"/>
    <w:rsid w:val="5580E696"/>
    <w:rsid w:val="558554CF"/>
    <w:rsid w:val="559386D3"/>
    <w:rsid w:val="55A1A716"/>
    <w:rsid w:val="55AE6071"/>
    <w:rsid w:val="55B0D577"/>
    <w:rsid w:val="56051018"/>
    <w:rsid w:val="560C9428"/>
    <w:rsid w:val="56394339"/>
    <w:rsid w:val="56487A76"/>
    <w:rsid w:val="564B1086"/>
    <w:rsid w:val="564DFED2"/>
    <w:rsid w:val="565EFF64"/>
    <w:rsid w:val="5668FE30"/>
    <w:rsid w:val="5689CC22"/>
    <w:rsid w:val="56A83F39"/>
    <w:rsid w:val="56ADD175"/>
    <w:rsid w:val="56B0B4FE"/>
    <w:rsid w:val="570170CA"/>
    <w:rsid w:val="5750B72A"/>
    <w:rsid w:val="57645721"/>
    <w:rsid w:val="57678DD4"/>
    <w:rsid w:val="57787342"/>
    <w:rsid w:val="577BF450"/>
    <w:rsid w:val="578C9ACD"/>
    <w:rsid w:val="57989392"/>
    <w:rsid w:val="57A45C20"/>
    <w:rsid w:val="57C8BB0E"/>
    <w:rsid w:val="57E92BAC"/>
    <w:rsid w:val="581DD0B1"/>
    <w:rsid w:val="582549CA"/>
    <w:rsid w:val="5843165D"/>
    <w:rsid w:val="58692FC3"/>
    <w:rsid w:val="589C2D7F"/>
    <w:rsid w:val="58B079C0"/>
    <w:rsid w:val="58E759AD"/>
    <w:rsid w:val="58E84E6C"/>
    <w:rsid w:val="58F3B7A0"/>
    <w:rsid w:val="58FE4D1A"/>
    <w:rsid w:val="590817D2"/>
    <w:rsid w:val="5922639E"/>
    <w:rsid w:val="592F60BA"/>
    <w:rsid w:val="593DF663"/>
    <w:rsid w:val="594E98B1"/>
    <w:rsid w:val="597F46C1"/>
    <w:rsid w:val="5997AD51"/>
    <w:rsid w:val="599B6009"/>
    <w:rsid w:val="599C9DB0"/>
    <w:rsid w:val="59AF379B"/>
    <w:rsid w:val="59C77BFD"/>
    <w:rsid w:val="5A3E856C"/>
    <w:rsid w:val="5A93B647"/>
    <w:rsid w:val="5ABA5BC3"/>
    <w:rsid w:val="5ABD39AA"/>
    <w:rsid w:val="5ABEE36A"/>
    <w:rsid w:val="5AC0D098"/>
    <w:rsid w:val="5AE9CDB0"/>
    <w:rsid w:val="5B0115B8"/>
    <w:rsid w:val="5B0509A6"/>
    <w:rsid w:val="5B2A3EE0"/>
    <w:rsid w:val="5B3CC46F"/>
    <w:rsid w:val="5B3F8F22"/>
    <w:rsid w:val="5B429F4C"/>
    <w:rsid w:val="5B46230B"/>
    <w:rsid w:val="5B53EDEB"/>
    <w:rsid w:val="5B5AD4AA"/>
    <w:rsid w:val="5B5CDDB6"/>
    <w:rsid w:val="5BD14B9C"/>
    <w:rsid w:val="5BE1A06C"/>
    <w:rsid w:val="5C317CE1"/>
    <w:rsid w:val="5C523BFA"/>
    <w:rsid w:val="5CAD903A"/>
    <w:rsid w:val="5CF17B42"/>
    <w:rsid w:val="5D1499C2"/>
    <w:rsid w:val="5D252C44"/>
    <w:rsid w:val="5D4C7283"/>
    <w:rsid w:val="5D65403C"/>
    <w:rsid w:val="5D74D4EF"/>
    <w:rsid w:val="5D752B09"/>
    <w:rsid w:val="5D7D028B"/>
    <w:rsid w:val="5D817770"/>
    <w:rsid w:val="5D9EF66B"/>
    <w:rsid w:val="5DE53123"/>
    <w:rsid w:val="5DE66585"/>
    <w:rsid w:val="5DF455DF"/>
    <w:rsid w:val="5E036CB2"/>
    <w:rsid w:val="5E21628D"/>
    <w:rsid w:val="5E65BDE4"/>
    <w:rsid w:val="5E6C025A"/>
    <w:rsid w:val="5E86E0C5"/>
    <w:rsid w:val="5E86E1EF"/>
    <w:rsid w:val="5E9962A6"/>
    <w:rsid w:val="5EA70AE0"/>
    <w:rsid w:val="5EDEDE91"/>
    <w:rsid w:val="5EF129EB"/>
    <w:rsid w:val="5EF8EC11"/>
    <w:rsid w:val="5F125CB8"/>
    <w:rsid w:val="5F2256EE"/>
    <w:rsid w:val="5F3A3645"/>
    <w:rsid w:val="5F5E3EEA"/>
    <w:rsid w:val="5FA35785"/>
    <w:rsid w:val="5FA6AB7F"/>
    <w:rsid w:val="5FA7E4B1"/>
    <w:rsid w:val="5FAB5D82"/>
    <w:rsid w:val="5FB814F8"/>
    <w:rsid w:val="5FCA70FB"/>
    <w:rsid w:val="5FD03F08"/>
    <w:rsid w:val="601C24D4"/>
    <w:rsid w:val="605243CB"/>
    <w:rsid w:val="60714472"/>
    <w:rsid w:val="6085DF55"/>
    <w:rsid w:val="60EBEF86"/>
    <w:rsid w:val="60F2AFF4"/>
    <w:rsid w:val="61026D98"/>
    <w:rsid w:val="610AB8C9"/>
    <w:rsid w:val="611B2D43"/>
    <w:rsid w:val="611E44AC"/>
    <w:rsid w:val="612E0E0C"/>
    <w:rsid w:val="6142218E"/>
    <w:rsid w:val="6153A1E2"/>
    <w:rsid w:val="6154277A"/>
    <w:rsid w:val="61630D1E"/>
    <w:rsid w:val="6166A3C4"/>
    <w:rsid w:val="61B7A033"/>
    <w:rsid w:val="61CC5365"/>
    <w:rsid w:val="61E43C71"/>
    <w:rsid w:val="6217C1BF"/>
    <w:rsid w:val="6249DC7E"/>
    <w:rsid w:val="6267BE36"/>
    <w:rsid w:val="62942C09"/>
    <w:rsid w:val="62A01E52"/>
    <w:rsid w:val="62C90074"/>
    <w:rsid w:val="62D57E57"/>
    <w:rsid w:val="6304889C"/>
    <w:rsid w:val="63693876"/>
    <w:rsid w:val="6371442A"/>
    <w:rsid w:val="637F2A25"/>
    <w:rsid w:val="638BA462"/>
    <w:rsid w:val="63C971DC"/>
    <w:rsid w:val="63DFA395"/>
    <w:rsid w:val="641A7007"/>
    <w:rsid w:val="641C9E87"/>
    <w:rsid w:val="642D4850"/>
    <w:rsid w:val="643C92D1"/>
    <w:rsid w:val="646BEB82"/>
    <w:rsid w:val="647B7CAF"/>
    <w:rsid w:val="6483B0E8"/>
    <w:rsid w:val="6491DFBD"/>
    <w:rsid w:val="649ABD99"/>
    <w:rsid w:val="64B17432"/>
    <w:rsid w:val="64C1667B"/>
    <w:rsid w:val="64CED653"/>
    <w:rsid w:val="64D0831C"/>
    <w:rsid w:val="64DEE740"/>
    <w:rsid w:val="64E64423"/>
    <w:rsid w:val="64F77733"/>
    <w:rsid w:val="650D5979"/>
    <w:rsid w:val="6536A0C1"/>
    <w:rsid w:val="653BE052"/>
    <w:rsid w:val="65684A85"/>
    <w:rsid w:val="6570C55F"/>
    <w:rsid w:val="6587F528"/>
    <w:rsid w:val="65BD7128"/>
    <w:rsid w:val="65EAACD3"/>
    <w:rsid w:val="65FC5E7F"/>
    <w:rsid w:val="65FF5B60"/>
    <w:rsid w:val="66062380"/>
    <w:rsid w:val="6620A142"/>
    <w:rsid w:val="66561393"/>
    <w:rsid w:val="66717FF0"/>
    <w:rsid w:val="6686522A"/>
    <w:rsid w:val="66A01E1A"/>
    <w:rsid w:val="66D9D5A9"/>
    <w:rsid w:val="66E88669"/>
    <w:rsid w:val="671DA50C"/>
    <w:rsid w:val="67266E26"/>
    <w:rsid w:val="6755DC0E"/>
    <w:rsid w:val="678E14A4"/>
    <w:rsid w:val="67C991BB"/>
    <w:rsid w:val="67D5783E"/>
    <w:rsid w:val="680049EA"/>
    <w:rsid w:val="684324D3"/>
    <w:rsid w:val="684B3941"/>
    <w:rsid w:val="684CFCE8"/>
    <w:rsid w:val="68669D15"/>
    <w:rsid w:val="6876B3E6"/>
    <w:rsid w:val="687DE701"/>
    <w:rsid w:val="68909338"/>
    <w:rsid w:val="689CFD11"/>
    <w:rsid w:val="68C4CB20"/>
    <w:rsid w:val="69265606"/>
    <w:rsid w:val="694AEB98"/>
    <w:rsid w:val="69550305"/>
    <w:rsid w:val="695640ED"/>
    <w:rsid w:val="6962F2B3"/>
    <w:rsid w:val="697F759B"/>
    <w:rsid w:val="69C68E43"/>
    <w:rsid w:val="69C79731"/>
    <w:rsid w:val="69D834B2"/>
    <w:rsid w:val="69D9BF30"/>
    <w:rsid w:val="69EE2A4C"/>
    <w:rsid w:val="69F705AA"/>
    <w:rsid w:val="6A0B0997"/>
    <w:rsid w:val="6A137FCB"/>
    <w:rsid w:val="6A4A6628"/>
    <w:rsid w:val="6A8D688E"/>
    <w:rsid w:val="6AB3D047"/>
    <w:rsid w:val="6ABE5E27"/>
    <w:rsid w:val="6B0C9331"/>
    <w:rsid w:val="6B1DD44E"/>
    <w:rsid w:val="6B27AE80"/>
    <w:rsid w:val="6B47CA7E"/>
    <w:rsid w:val="6B5CD662"/>
    <w:rsid w:val="6B8A6800"/>
    <w:rsid w:val="6B8DF550"/>
    <w:rsid w:val="6B917CFB"/>
    <w:rsid w:val="6BB77D06"/>
    <w:rsid w:val="6BDBC62F"/>
    <w:rsid w:val="6BDED537"/>
    <w:rsid w:val="6BF76246"/>
    <w:rsid w:val="6C149AE6"/>
    <w:rsid w:val="6C3620F8"/>
    <w:rsid w:val="6C58649E"/>
    <w:rsid w:val="6C74DAA7"/>
    <w:rsid w:val="6C77DB03"/>
    <w:rsid w:val="6C77FB56"/>
    <w:rsid w:val="6C930E08"/>
    <w:rsid w:val="6CC9FC7E"/>
    <w:rsid w:val="6D0B572D"/>
    <w:rsid w:val="6D193A45"/>
    <w:rsid w:val="6D1B119A"/>
    <w:rsid w:val="6D4BC91F"/>
    <w:rsid w:val="6DAA6572"/>
    <w:rsid w:val="6DC96F78"/>
    <w:rsid w:val="6DD02D19"/>
    <w:rsid w:val="6DD35F0B"/>
    <w:rsid w:val="6DDE80C7"/>
    <w:rsid w:val="6E101771"/>
    <w:rsid w:val="6E1095DA"/>
    <w:rsid w:val="6E32C9E0"/>
    <w:rsid w:val="6E40F5AB"/>
    <w:rsid w:val="6E5FFBE0"/>
    <w:rsid w:val="6E65B5D8"/>
    <w:rsid w:val="6E699DD5"/>
    <w:rsid w:val="6E8CD741"/>
    <w:rsid w:val="6EB7B3CC"/>
    <w:rsid w:val="6EBE03AC"/>
    <w:rsid w:val="6EC18601"/>
    <w:rsid w:val="6ED04D0D"/>
    <w:rsid w:val="6ED18C07"/>
    <w:rsid w:val="6EE67829"/>
    <w:rsid w:val="6EF3438C"/>
    <w:rsid w:val="6F146410"/>
    <w:rsid w:val="6F16A56C"/>
    <w:rsid w:val="6F19E287"/>
    <w:rsid w:val="6F318511"/>
    <w:rsid w:val="6F35D4B4"/>
    <w:rsid w:val="6F393493"/>
    <w:rsid w:val="6F5611AD"/>
    <w:rsid w:val="6F6FFAA3"/>
    <w:rsid w:val="6F94CF49"/>
    <w:rsid w:val="6FA95AFF"/>
    <w:rsid w:val="6FAFB710"/>
    <w:rsid w:val="6FBE5949"/>
    <w:rsid w:val="6FC6DF90"/>
    <w:rsid w:val="6FCA681D"/>
    <w:rsid w:val="6FCC08FA"/>
    <w:rsid w:val="6FD4D361"/>
    <w:rsid w:val="7000CAB7"/>
    <w:rsid w:val="700D8ED9"/>
    <w:rsid w:val="703FECAD"/>
    <w:rsid w:val="706C764F"/>
    <w:rsid w:val="709AC5EC"/>
    <w:rsid w:val="70AC15F9"/>
    <w:rsid w:val="70B8F43D"/>
    <w:rsid w:val="70D7912B"/>
    <w:rsid w:val="70DA6322"/>
    <w:rsid w:val="70E705E1"/>
    <w:rsid w:val="70EBD701"/>
    <w:rsid w:val="70F1457C"/>
    <w:rsid w:val="712B0485"/>
    <w:rsid w:val="714793FF"/>
    <w:rsid w:val="714F289C"/>
    <w:rsid w:val="715801AA"/>
    <w:rsid w:val="71650317"/>
    <w:rsid w:val="7169AB6F"/>
    <w:rsid w:val="7172D8CA"/>
    <w:rsid w:val="717F524B"/>
    <w:rsid w:val="7186E55E"/>
    <w:rsid w:val="7197C8A7"/>
    <w:rsid w:val="71C991F1"/>
    <w:rsid w:val="71DC7BD8"/>
    <w:rsid w:val="71FC2389"/>
    <w:rsid w:val="7216041D"/>
    <w:rsid w:val="721FC473"/>
    <w:rsid w:val="72AE8239"/>
    <w:rsid w:val="72C7A28C"/>
    <w:rsid w:val="73017A54"/>
    <w:rsid w:val="7334B601"/>
    <w:rsid w:val="7386209E"/>
    <w:rsid w:val="7390023A"/>
    <w:rsid w:val="7399F557"/>
    <w:rsid w:val="73A74D24"/>
    <w:rsid w:val="73C78498"/>
    <w:rsid w:val="73CA8602"/>
    <w:rsid w:val="73D539F2"/>
    <w:rsid w:val="73E68119"/>
    <w:rsid w:val="740B4DDF"/>
    <w:rsid w:val="741ABA44"/>
    <w:rsid w:val="741C6ACA"/>
    <w:rsid w:val="74245AB7"/>
    <w:rsid w:val="7435376E"/>
    <w:rsid w:val="74411CF4"/>
    <w:rsid w:val="744B345F"/>
    <w:rsid w:val="7489D3DD"/>
    <w:rsid w:val="7494E9B7"/>
    <w:rsid w:val="74B7044B"/>
    <w:rsid w:val="752B73C5"/>
    <w:rsid w:val="75335196"/>
    <w:rsid w:val="75772A63"/>
    <w:rsid w:val="757D5577"/>
    <w:rsid w:val="7584A7F8"/>
    <w:rsid w:val="75983AC8"/>
    <w:rsid w:val="75AD1340"/>
    <w:rsid w:val="75B4939C"/>
    <w:rsid w:val="75B733EF"/>
    <w:rsid w:val="75C4CF3C"/>
    <w:rsid w:val="75D3F8A4"/>
    <w:rsid w:val="75DD9130"/>
    <w:rsid w:val="75E3AF76"/>
    <w:rsid w:val="76087889"/>
    <w:rsid w:val="763B9F65"/>
    <w:rsid w:val="76627068"/>
    <w:rsid w:val="767AEB85"/>
    <w:rsid w:val="769A0760"/>
    <w:rsid w:val="769BA7AA"/>
    <w:rsid w:val="76A44FC8"/>
    <w:rsid w:val="76C7A864"/>
    <w:rsid w:val="76F5FBF3"/>
    <w:rsid w:val="77268AD7"/>
    <w:rsid w:val="778444C6"/>
    <w:rsid w:val="77871CAF"/>
    <w:rsid w:val="77A82C27"/>
    <w:rsid w:val="77B077A2"/>
    <w:rsid w:val="77B583C6"/>
    <w:rsid w:val="77D513A7"/>
    <w:rsid w:val="77E4283A"/>
    <w:rsid w:val="77EB4552"/>
    <w:rsid w:val="77F2DAF0"/>
    <w:rsid w:val="780121A9"/>
    <w:rsid w:val="781492F7"/>
    <w:rsid w:val="781F315D"/>
    <w:rsid w:val="7825BBAF"/>
    <w:rsid w:val="782CBAD3"/>
    <w:rsid w:val="783886CF"/>
    <w:rsid w:val="78612C66"/>
    <w:rsid w:val="78A1ECBA"/>
    <w:rsid w:val="78CB6986"/>
    <w:rsid w:val="78E0D6BF"/>
    <w:rsid w:val="78EC85F3"/>
    <w:rsid w:val="790EDAC4"/>
    <w:rsid w:val="79155B8E"/>
    <w:rsid w:val="79547BAA"/>
    <w:rsid w:val="7970F5EE"/>
    <w:rsid w:val="7981BCDB"/>
    <w:rsid w:val="7999AAFE"/>
    <w:rsid w:val="79B0EB26"/>
    <w:rsid w:val="79B9D4A5"/>
    <w:rsid w:val="79C37705"/>
    <w:rsid w:val="79E94D76"/>
    <w:rsid w:val="79FAB37C"/>
    <w:rsid w:val="79FF8DED"/>
    <w:rsid w:val="7A0158A7"/>
    <w:rsid w:val="7A0C6DF1"/>
    <w:rsid w:val="7A2AE663"/>
    <w:rsid w:val="7A7575F6"/>
    <w:rsid w:val="7A7C90B3"/>
    <w:rsid w:val="7A824314"/>
    <w:rsid w:val="7AACC9AA"/>
    <w:rsid w:val="7AAE71B5"/>
    <w:rsid w:val="7ADE1B2F"/>
    <w:rsid w:val="7AF483E9"/>
    <w:rsid w:val="7AF53BA3"/>
    <w:rsid w:val="7AFAEC2B"/>
    <w:rsid w:val="7B0FFA89"/>
    <w:rsid w:val="7B2FCE7D"/>
    <w:rsid w:val="7B4B4231"/>
    <w:rsid w:val="7B5083C4"/>
    <w:rsid w:val="7B71A89C"/>
    <w:rsid w:val="7B753EBC"/>
    <w:rsid w:val="7B7F2C5D"/>
    <w:rsid w:val="7BF60EE6"/>
    <w:rsid w:val="7BF61D76"/>
    <w:rsid w:val="7BF7D375"/>
    <w:rsid w:val="7C220247"/>
    <w:rsid w:val="7C405C2B"/>
    <w:rsid w:val="7C428FC3"/>
    <w:rsid w:val="7C4EB0FE"/>
    <w:rsid w:val="7C5A23A8"/>
    <w:rsid w:val="7C6949CB"/>
    <w:rsid w:val="7C9253D7"/>
    <w:rsid w:val="7CAE6D06"/>
    <w:rsid w:val="7CBC00A1"/>
    <w:rsid w:val="7CCDEA0E"/>
    <w:rsid w:val="7CD192D6"/>
    <w:rsid w:val="7CD5A553"/>
    <w:rsid w:val="7CE2F662"/>
    <w:rsid w:val="7D218D24"/>
    <w:rsid w:val="7D28A0C0"/>
    <w:rsid w:val="7D38E4C9"/>
    <w:rsid w:val="7D487507"/>
    <w:rsid w:val="7D5E0455"/>
    <w:rsid w:val="7D63F385"/>
    <w:rsid w:val="7D802E38"/>
    <w:rsid w:val="7DC05B21"/>
    <w:rsid w:val="7DC459A6"/>
    <w:rsid w:val="7DDD3FC6"/>
    <w:rsid w:val="7DE2C165"/>
    <w:rsid w:val="7E05BAA2"/>
    <w:rsid w:val="7E0EFA67"/>
    <w:rsid w:val="7E22CD50"/>
    <w:rsid w:val="7E3400F8"/>
    <w:rsid w:val="7E34998A"/>
    <w:rsid w:val="7E42215A"/>
    <w:rsid w:val="7E51F8BF"/>
    <w:rsid w:val="7E618647"/>
    <w:rsid w:val="7E7100FD"/>
    <w:rsid w:val="7E710D5D"/>
    <w:rsid w:val="7E73A246"/>
    <w:rsid w:val="7E988825"/>
    <w:rsid w:val="7E9F76D3"/>
    <w:rsid w:val="7F0A21AA"/>
    <w:rsid w:val="7F2443D5"/>
    <w:rsid w:val="7F32ED95"/>
    <w:rsid w:val="7F9A5619"/>
    <w:rsid w:val="7F9EEBFD"/>
    <w:rsid w:val="7FBDECB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6639C7"/>
  <w15:chartTrackingRefBased/>
  <w15:docId w15:val="{73F87F5F-8ADB-4A20-A0CF-CA9CDACBA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8435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A1DE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A2F2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4356"/>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784356"/>
    <w:pPr>
      <w:spacing w:after="0" w:line="240" w:lineRule="auto"/>
    </w:pPr>
  </w:style>
  <w:style w:type="character" w:styleId="LineNumber">
    <w:name w:val="line number"/>
    <w:basedOn w:val="DefaultParagraphFont"/>
    <w:uiPriority w:val="99"/>
    <w:semiHidden/>
    <w:unhideWhenUsed/>
    <w:rsid w:val="00282BC1"/>
  </w:style>
  <w:style w:type="character" w:styleId="CommentReference">
    <w:name w:val="annotation reference"/>
    <w:basedOn w:val="DefaultParagraphFont"/>
    <w:uiPriority w:val="99"/>
    <w:semiHidden/>
    <w:unhideWhenUsed/>
    <w:rsid w:val="00C22509"/>
    <w:rPr>
      <w:sz w:val="16"/>
      <w:szCs w:val="16"/>
    </w:rPr>
  </w:style>
  <w:style w:type="paragraph" w:styleId="CommentText">
    <w:name w:val="annotation text"/>
    <w:basedOn w:val="Normal"/>
    <w:link w:val="CommentTextChar"/>
    <w:uiPriority w:val="99"/>
    <w:unhideWhenUsed/>
    <w:rsid w:val="00C22509"/>
    <w:pPr>
      <w:spacing w:line="240" w:lineRule="auto"/>
    </w:pPr>
    <w:rPr>
      <w:sz w:val="20"/>
      <w:szCs w:val="20"/>
    </w:rPr>
  </w:style>
  <w:style w:type="character" w:customStyle="1" w:styleId="CommentTextChar">
    <w:name w:val="Comment Text Char"/>
    <w:basedOn w:val="DefaultParagraphFont"/>
    <w:link w:val="CommentText"/>
    <w:uiPriority w:val="99"/>
    <w:rsid w:val="00C22509"/>
    <w:rPr>
      <w:sz w:val="20"/>
      <w:szCs w:val="20"/>
    </w:rPr>
  </w:style>
  <w:style w:type="paragraph" w:styleId="CommentSubject">
    <w:name w:val="annotation subject"/>
    <w:basedOn w:val="CommentText"/>
    <w:next w:val="CommentText"/>
    <w:link w:val="CommentSubjectChar"/>
    <w:uiPriority w:val="99"/>
    <w:semiHidden/>
    <w:unhideWhenUsed/>
    <w:rsid w:val="00C22509"/>
    <w:rPr>
      <w:b/>
      <w:bCs/>
    </w:rPr>
  </w:style>
  <w:style w:type="character" w:customStyle="1" w:styleId="CommentSubjectChar">
    <w:name w:val="Comment Subject Char"/>
    <w:basedOn w:val="CommentTextChar"/>
    <w:link w:val="CommentSubject"/>
    <w:uiPriority w:val="99"/>
    <w:semiHidden/>
    <w:rsid w:val="00C22509"/>
    <w:rPr>
      <w:b/>
      <w:bCs/>
      <w:sz w:val="20"/>
      <w:szCs w:val="20"/>
    </w:rPr>
  </w:style>
  <w:style w:type="character" w:styleId="Strong">
    <w:name w:val="Strong"/>
    <w:basedOn w:val="DefaultParagraphFont"/>
    <w:uiPriority w:val="22"/>
    <w:qFormat/>
    <w:rsid w:val="007C3774"/>
    <w:rPr>
      <w:b/>
      <w:bCs/>
    </w:rPr>
  </w:style>
  <w:style w:type="paragraph" w:styleId="ListParagraph">
    <w:name w:val="List Paragraph"/>
    <w:basedOn w:val="Normal"/>
    <w:uiPriority w:val="34"/>
    <w:qFormat/>
    <w:rsid w:val="00F413BE"/>
    <w:pPr>
      <w:ind w:left="720"/>
      <w:contextualSpacing/>
    </w:pPr>
  </w:style>
  <w:style w:type="character" w:customStyle="1" w:styleId="Heading2Char">
    <w:name w:val="Heading 2 Char"/>
    <w:basedOn w:val="DefaultParagraphFont"/>
    <w:link w:val="Heading2"/>
    <w:uiPriority w:val="9"/>
    <w:rsid w:val="00BA1DED"/>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9A02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0207"/>
  </w:style>
  <w:style w:type="paragraph" w:styleId="Footer">
    <w:name w:val="footer"/>
    <w:basedOn w:val="Normal"/>
    <w:link w:val="FooterChar"/>
    <w:uiPriority w:val="99"/>
    <w:unhideWhenUsed/>
    <w:rsid w:val="009A02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0207"/>
  </w:style>
  <w:style w:type="paragraph" w:styleId="Revision">
    <w:name w:val="Revision"/>
    <w:hidden/>
    <w:uiPriority w:val="99"/>
    <w:semiHidden/>
    <w:rsid w:val="00172742"/>
    <w:pPr>
      <w:spacing w:after="0" w:line="240" w:lineRule="auto"/>
    </w:pPr>
  </w:style>
  <w:style w:type="table" w:styleId="TableGrid">
    <w:name w:val="Table Grid"/>
    <w:basedOn w:val="TableNormal"/>
    <w:uiPriority w:val="39"/>
    <w:rsid w:val="000160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38469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8469C"/>
    <w:rPr>
      <w:sz w:val="20"/>
      <w:szCs w:val="20"/>
    </w:rPr>
  </w:style>
  <w:style w:type="character" w:styleId="FootnoteReference">
    <w:name w:val="footnote reference"/>
    <w:basedOn w:val="DefaultParagraphFont"/>
    <w:uiPriority w:val="99"/>
    <w:semiHidden/>
    <w:unhideWhenUsed/>
    <w:rsid w:val="0038469C"/>
    <w:rPr>
      <w:vertAlign w:val="superscript"/>
    </w:rPr>
  </w:style>
  <w:style w:type="character" w:styleId="Hyperlink">
    <w:name w:val="Hyperlink"/>
    <w:basedOn w:val="DefaultParagraphFont"/>
    <w:uiPriority w:val="99"/>
    <w:unhideWhenUsed/>
    <w:rsid w:val="003A5439"/>
    <w:rPr>
      <w:color w:val="0563C1" w:themeColor="hyperlink"/>
      <w:u w:val="single"/>
    </w:rPr>
  </w:style>
  <w:style w:type="character" w:customStyle="1" w:styleId="Heading3Char">
    <w:name w:val="Heading 3 Char"/>
    <w:basedOn w:val="DefaultParagraphFont"/>
    <w:link w:val="Heading3"/>
    <w:uiPriority w:val="9"/>
    <w:rsid w:val="00DA2F21"/>
    <w:rPr>
      <w:rFonts w:asciiTheme="majorHAnsi" w:eastAsiaTheme="majorEastAsia" w:hAnsiTheme="majorHAnsi" w:cstheme="majorBidi"/>
      <w:color w:val="1F3763" w:themeColor="accent1" w:themeShade="7F"/>
      <w:sz w:val="24"/>
      <w:szCs w:val="24"/>
    </w:rPr>
  </w:style>
  <w:style w:type="character" w:styleId="UnresolvedMention">
    <w:name w:val="Unresolved Mention"/>
    <w:basedOn w:val="DefaultParagraphFont"/>
    <w:uiPriority w:val="99"/>
    <w:semiHidden/>
    <w:unhideWhenUsed/>
    <w:rsid w:val="00A05F5D"/>
    <w:rPr>
      <w:color w:val="605E5C"/>
      <w:shd w:val="clear" w:color="auto" w:fill="E1DFDD"/>
    </w:rPr>
  </w:style>
  <w:style w:type="character" w:styleId="Mention">
    <w:name w:val="Mention"/>
    <w:basedOn w:val="DefaultParagraphFont"/>
    <w:uiPriority w:val="99"/>
    <w:unhideWhenUsed/>
    <w:rsid w:val="00471A06"/>
    <w:rPr>
      <w:color w:val="2B579A"/>
      <w:shd w:val="clear" w:color="auto" w:fill="E1DFDD"/>
    </w:rPr>
  </w:style>
  <w:style w:type="paragraph" w:styleId="EndnoteText">
    <w:name w:val="endnote text"/>
    <w:basedOn w:val="Normal"/>
    <w:link w:val="EndnoteTextChar"/>
    <w:uiPriority w:val="99"/>
    <w:unhideWhenUsed/>
    <w:rsid w:val="00D9382A"/>
    <w:pPr>
      <w:spacing w:after="0" w:line="240" w:lineRule="auto"/>
    </w:pPr>
    <w:rPr>
      <w:sz w:val="20"/>
      <w:szCs w:val="20"/>
    </w:rPr>
  </w:style>
  <w:style w:type="character" w:customStyle="1" w:styleId="EndnoteTextChar">
    <w:name w:val="Endnote Text Char"/>
    <w:basedOn w:val="DefaultParagraphFont"/>
    <w:link w:val="EndnoteText"/>
    <w:uiPriority w:val="99"/>
    <w:rsid w:val="00D9382A"/>
    <w:rPr>
      <w:sz w:val="20"/>
      <w:szCs w:val="20"/>
    </w:rPr>
  </w:style>
  <w:style w:type="character" w:styleId="EndnoteReference">
    <w:name w:val="endnote reference"/>
    <w:basedOn w:val="DefaultParagraphFont"/>
    <w:uiPriority w:val="99"/>
    <w:semiHidden/>
    <w:unhideWhenUsed/>
    <w:rsid w:val="00D9382A"/>
    <w:rPr>
      <w:vertAlign w:val="superscript"/>
    </w:rPr>
  </w:style>
  <w:style w:type="paragraph" w:styleId="NormalWeb">
    <w:name w:val="Normal (Web)"/>
    <w:basedOn w:val="Normal"/>
    <w:uiPriority w:val="99"/>
    <w:semiHidden/>
    <w:unhideWhenUsed/>
    <w:rsid w:val="00BF2443"/>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94379">
      <w:bodyDiv w:val="1"/>
      <w:marLeft w:val="0"/>
      <w:marRight w:val="0"/>
      <w:marTop w:val="0"/>
      <w:marBottom w:val="0"/>
      <w:divBdr>
        <w:top w:val="none" w:sz="0" w:space="0" w:color="auto"/>
        <w:left w:val="none" w:sz="0" w:space="0" w:color="auto"/>
        <w:bottom w:val="none" w:sz="0" w:space="0" w:color="auto"/>
        <w:right w:val="none" w:sz="0" w:space="0" w:color="auto"/>
      </w:divBdr>
    </w:div>
    <w:div w:id="88158577">
      <w:bodyDiv w:val="1"/>
      <w:marLeft w:val="0"/>
      <w:marRight w:val="0"/>
      <w:marTop w:val="0"/>
      <w:marBottom w:val="0"/>
      <w:divBdr>
        <w:top w:val="none" w:sz="0" w:space="0" w:color="auto"/>
        <w:left w:val="none" w:sz="0" w:space="0" w:color="auto"/>
        <w:bottom w:val="none" w:sz="0" w:space="0" w:color="auto"/>
        <w:right w:val="none" w:sz="0" w:space="0" w:color="auto"/>
      </w:divBdr>
    </w:div>
    <w:div w:id="156580457">
      <w:bodyDiv w:val="1"/>
      <w:marLeft w:val="0"/>
      <w:marRight w:val="0"/>
      <w:marTop w:val="0"/>
      <w:marBottom w:val="0"/>
      <w:divBdr>
        <w:top w:val="none" w:sz="0" w:space="0" w:color="auto"/>
        <w:left w:val="none" w:sz="0" w:space="0" w:color="auto"/>
        <w:bottom w:val="none" w:sz="0" w:space="0" w:color="auto"/>
        <w:right w:val="none" w:sz="0" w:space="0" w:color="auto"/>
      </w:divBdr>
    </w:div>
    <w:div w:id="283077013">
      <w:bodyDiv w:val="1"/>
      <w:marLeft w:val="0"/>
      <w:marRight w:val="0"/>
      <w:marTop w:val="0"/>
      <w:marBottom w:val="0"/>
      <w:divBdr>
        <w:top w:val="none" w:sz="0" w:space="0" w:color="auto"/>
        <w:left w:val="none" w:sz="0" w:space="0" w:color="auto"/>
        <w:bottom w:val="none" w:sz="0" w:space="0" w:color="auto"/>
        <w:right w:val="none" w:sz="0" w:space="0" w:color="auto"/>
      </w:divBdr>
    </w:div>
    <w:div w:id="409932114">
      <w:bodyDiv w:val="1"/>
      <w:marLeft w:val="0"/>
      <w:marRight w:val="0"/>
      <w:marTop w:val="0"/>
      <w:marBottom w:val="0"/>
      <w:divBdr>
        <w:top w:val="none" w:sz="0" w:space="0" w:color="auto"/>
        <w:left w:val="none" w:sz="0" w:space="0" w:color="auto"/>
        <w:bottom w:val="none" w:sz="0" w:space="0" w:color="auto"/>
        <w:right w:val="none" w:sz="0" w:space="0" w:color="auto"/>
      </w:divBdr>
      <w:divsChild>
        <w:div w:id="689373955">
          <w:marLeft w:val="0"/>
          <w:marRight w:val="0"/>
          <w:marTop w:val="0"/>
          <w:marBottom w:val="0"/>
          <w:divBdr>
            <w:top w:val="none" w:sz="0" w:space="0" w:color="auto"/>
            <w:left w:val="none" w:sz="0" w:space="0" w:color="auto"/>
            <w:bottom w:val="none" w:sz="0" w:space="0" w:color="auto"/>
            <w:right w:val="none" w:sz="0" w:space="0" w:color="auto"/>
          </w:divBdr>
          <w:divsChild>
            <w:div w:id="1500658723">
              <w:marLeft w:val="0"/>
              <w:marRight w:val="0"/>
              <w:marTop w:val="0"/>
              <w:marBottom w:val="0"/>
              <w:divBdr>
                <w:top w:val="none" w:sz="0" w:space="0" w:color="auto"/>
                <w:left w:val="none" w:sz="0" w:space="0" w:color="auto"/>
                <w:bottom w:val="none" w:sz="0" w:space="0" w:color="auto"/>
                <w:right w:val="none" w:sz="0" w:space="0" w:color="auto"/>
              </w:divBdr>
              <w:divsChild>
                <w:div w:id="1335377673">
                  <w:marLeft w:val="0"/>
                  <w:marRight w:val="0"/>
                  <w:marTop w:val="0"/>
                  <w:marBottom w:val="0"/>
                  <w:divBdr>
                    <w:top w:val="none" w:sz="0" w:space="0" w:color="auto"/>
                    <w:left w:val="none" w:sz="0" w:space="0" w:color="auto"/>
                    <w:bottom w:val="none" w:sz="0" w:space="0" w:color="auto"/>
                    <w:right w:val="none" w:sz="0" w:space="0" w:color="auto"/>
                  </w:divBdr>
                  <w:divsChild>
                    <w:div w:id="1498302518">
                      <w:marLeft w:val="0"/>
                      <w:marRight w:val="0"/>
                      <w:marTop w:val="0"/>
                      <w:marBottom w:val="0"/>
                      <w:divBdr>
                        <w:top w:val="none" w:sz="0" w:space="0" w:color="auto"/>
                        <w:left w:val="none" w:sz="0" w:space="0" w:color="auto"/>
                        <w:bottom w:val="none" w:sz="0" w:space="0" w:color="auto"/>
                        <w:right w:val="none" w:sz="0" w:space="0" w:color="auto"/>
                      </w:divBdr>
                      <w:divsChild>
                        <w:div w:id="300887749">
                          <w:marLeft w:val="0"/>
                          <w:marRight w:val="0"/>
                          <w:marTop w:val="0"/>
                          <w:marBottom w:val="0"/>
                          <w:divBdr>
                            <w:top w:val="none" w:sz="0" w:space="0" w:color="auto"/>
                            <w:left w:val="none" w:sz="0" w:space="0" w:color="auto"/>
                            <w:bottom w:val="none" w:sz="0" w:space="0" w:color="auto"/>
                            <w:right w:val="none" w:sz="0" w:space="0" w:color="auto"/>
                          </w:divBdr>
                          <w:divsChild>
                            <w:div w:id="485974453">
                              <w:marLeft w:val="0"/>
                              <w:marRight w:val="0"/>
                              <w:marTop w:val="0"/>
                              <w:marBottom w:val="0"/>
                              <w:divBdr>
                                <w:top w:val="none" w:sz="0" w:space="0" w:color="auto"/>
                                <w:left w:val="none" w:sz="0" w:space="0" w:color="auto"/>
                                <w:bottom w:val="none" w:sz="0" w:space="0" w:color="auto"/>
                                <w:right w:val="none" w:sz="0" w:space="0" w:color="auto"/>
                              </w:divBdr>
                              <w:divsChild>
                                <w:div w:id="1732343854">
                                  <w:marLeft w:val="0"/>
                                  <w:marRight w:val="0"/>
                                  <w:marTop w:val="0"/>
                                  <w:marBottom w:val="0"/>
                                  <w:divBdr>
                                    <w:top w:val="none" w:sz="0" w:space="0" w:color="auto"/>
                                    <w:left w:val="none" w:sz="0" w:space="0" w:color="auto"/>
                                    <w:bottom w:val="none" w:sz="0" w:space="0" w:color="auto"/>
                                    <w:right w:val="none" w:sz="0" w:space="0" w:color="auto"/>
                                  </w:divBdr>
                                  <w:divsChild>
                                    <w:div w:id="315719451">
                                      <w:marLeft w:val="0"/>
                                      <w:marRight w:val="0"/>
                                      <w:marTop w:val="0"/>
                                      <w:marBottom w:val="0"/>
                                      <w:divBdr>
                                        <w:top w:val="none" w:sz="0" w:space="0" w:color="auto"/>
                                        <w:left w:val="none" w:sz="0" w:space="0" w:color="auto"/>
                                        <w:bottom w:val="none" w:sz="0" w:space="0" w:color="auto"/>
                                        <w:right w:val="none" w:sz="0" w:space="0" w:color="auto"/>
                                      </w:divBdr>
                                      <w:divsChild>
                                        <w:div w:id="461462995">
                                          <w:marLeft w:val="0"/>
                                          <w:marRight w:val="0"/>
                                          <w:marTop w:val="0"/>
                                          <w:marBottom w:val="0"/>
                                          <w:divBdr>
                                            <w:top w:val="none" w:sz="0" w:space="0" w:color="auto"/>
                                            <w:left w:val="none" w:sz="0" w:space="0" w:color="auto"/>
                                            <w:bottom w:val="none" w:sz="0" w:space="0" w:color="auto"/>
                                            <w:right w:val="none" w:sz="0" w:space="0" w:color="auto"/>
                                          </w:divBdr>
                                          <w:divsChild>
                                            <w:div w:id="83384193">
                                              <w:marLeft w:val="0"/>
                                              <w:marRight w:val="0"/>
                                              <w:marTop w:val="0"/>
                                              <w:marBottom w:val="0"/>
                                              <w:divBdr>
                                                <w:top w:val="none" w:sz="0" w:space="0" w:color="auto"/>
                                                <w:left w:val="none" w:sz="0" w:space="0" w:color="auto"/>
                                                <w:bottom w:val="none" w:sz="0" w:space="0" w:color="auto"/>
                                                <w:right w:val="none" w:sz="0" w:space="0" w:color="auto"/>
                                              </w:divBdr>
                                              <w:divsChild>
                                                <w:div w:id="684594574">
                                                  <w:marLeft w:val="0"/>
                                                  <w:marRight w:val="0"/>
                                                  <w:marTop w:val="0"/>
                                                  <w:marBottom w:val="0"/>
                                                  <w:divBdr>
                                                    <w:top w:val="none" w:sz="0" w:space="0" w:color="auto"/>
                                                    <w:left w:val="none" w:sz="0" w:space="0" w:color="auto"/>
                                                    <w:bottom w:val="none" w:sz="0" w:space="0" w:color="auto"/>
                                                    <w:right w:val="none" w:sz="0" w:space="0" w:color="auto"/>
                                                  </w:divBdr>
                                                  <w:divsChild>
                                                    <w:div w:id="2053653897">
                                                      <w:marLeft w:val="0"/>
                                                      <w:marRight w:val="0"/>
                                                      <w:marTop w:val="0"/>
                                                      <w:marBottom w:val="0"/>
                                                      <w:divBdr>
                                                        <w:top w:val="none" w:sz="0" w:space="0" w:color="auto"/>
                                                        <w:left w:val="none" w:sz="0" w:space="0" w:color="auto"/>
                                                        <w:bottom w:val="none" w:sz="0" w:space="0" w:color="auto"/>
                                                        <w:right w:val="none" w:sz="0" w:space="0" w:color="auto"/>
                                                      </w:divBdr>
                                                      <w:divsChild>
                                                        <w:div w:id="153111263">
                                                          <w:marLeft w:val="0"/>
                                                          <w:marRight w:val="0"/>
                                                          <w:marTop w:val="0"/>
                                                          <w:marBottom w:val="0"/>
                                                          <w:divBdr>
                                                            <w:top w:val="none" w:sz="0" w:space="0" w:color="auto"/>
                                                            <w:left w:val="none" w:sz="0" w:space="0" w:color="auto"/>
                                                            <w:bottom w:val="none" w:sz="0" w:space="0" w:color="auto"/>
                                                            <w:right w:val="none" w:sz="0" w:space="0" w:color="auto"/>
                                                          </w:divBdr>
                                                          <w:divsChild>
                                                            <w:div w:id="489374488">
                                                              <w:marLeft w:val="0"/>
                                                              <w:marRight w:val="0"/>
                                                              <w:marTop w:val="0"/>
                                                              <w:marBottom w:val="0"/>
                                                              <w:divBdr>
                                                                <w:top w:val="none" w:sz="0" w:space="0" w:color="auto"/>
                                                                <w:left w:val="none" w:sz="0" w:space="0" w:color="auto"/>
                                                                <w:bottom w:val="none" w:sz="0" w:space="0" w:color="auto"/>
                                                                <w:right w:val="none" w:sz="0" w:space="0" w:color="auto"/>
                                                              </w:divBdr>
                                                              <w:divsChild>
                                                                <w:div w:id="177500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87912296">
          <w:marLeft w:val="0"/>
          <w:marRight w:val="0"/>
          <w:marTop w:val="0"/>
          <w:marBottom w:val="0"/>
          <w:divBdr>
            <w:top w:val="none" w:sz="0" w:space="0" w:color="auto"/>
            <w:left w:val="none" w:sz="0" w:space="0" w:color="auto"/>
            <w:bottom w:val="none" w:sz="0" w:space="0" w:color="auto"/>
            <w:right w:val="none" w:sz="0" w:space="0" w:color="auto"/>
          </w:divBdr>
          <w:divsChild>
            <w:div w:id="1786727764">
              <w:marLeft w:val="0"/>
              <w:marRight w:val="0"/>
              <w:marTop w:val="0"/>
              <w:marBottom w:val="0"/>
              <w:divBdr>
                <w:top w:val="none" w:sz="0" w:space="0" w:color="auto"/>
                <w:left w:val="none" w:sz="0" w:space="0" w:color="auto"/>
                <w:bottom w:val="none" w:sz="0" w:space="0" w:color="auto"/>
                <w:right w:val="none" w:sz="0" w:space="0" w:color="auto"/>
              </w:divBdr>
              <w:divsChild>
                <w:div w:id="1609194268">
                  <w:marLeft w:val="0"/>
                  <w:marRight w:val="0"/>
                  <w:marTop w:val="0"/>
                  <w:marBottom w:val="0"/>
                  <w:divBdr>
                    <w:top w:val="none" w:sz="0" w:space="0" w:color="auto"/>
                    <w:left w:val="none" w:sz="0" w:space="0" w:color="auto"/>
                    <w:bottom w:val="none" w:sz="0" w:space="0" w:color="auto"/>
                    <w:right w:val="none" w:sz="0" w:space="0" w:color="auto"/>
                  </w:divBdr>
                  <w:divsChild>
                    <w:div w:id="170144507">
                      <w:marLeft w:val="0"/>
                      <w:marRight w:val="0"/>
                      <w:marTop w:val="0"/>
                      <w:marBottom w:val="0"/>
                      <w:divBdr>
                        <w:top w:val="none" w:sz="0" w:space="0" w:color="auto"/>
                        <w:left w:val="none" w:sz="0" w:space="0" w:color="auto"/>
                        <w:bottom w:val="none" w:sz="0" w:space="0" w:color="auto"/>
                        <w:right w:val="none" w:sz="0" w:space="0" w:color="auto"/>
                      </w:divBdr>
                      <w:divsChild>
                        <w:div w:id="479612784">
                          <w:marLeft w:val="0"/>
                          <w:marRight w:val="0"/>
                          <w:marTop w:val="0"/>
                          <w:marBottom w:val="0"/>
                          <w:divBdr>
                            <w:top w:val="none" w:sz="0" w:space="0" w:color="auto"/>
                            <w:left w:val="none" w:sz="0" w:space="0" w:color="auto"/>
                            <w:bottom w:val="none" w:sz="0" w:space="0" w:color="auto"/>
                            <w:right w:val="none" w:sz="0" w:space="0" w:color="auto"/>
                          </w:divBdr>
                          <w:divsChild>
                            <w:div w:id="88351076">
                              <w:marLeft w:val="0"/>
                              <w:marRight w:val="0"/>
                              <w:marTop w:val="0"/>
                              <w:marBottom w:val="0"/>
                              <w:divBdr>
                                <w:top w:val="none" w:sz="0" w:space="0" w:color="auto"/>
                                <w:left w:val="none" w:sz="0" w:space="0" w:color="auto"/>
                                <w:bottom w:val="none" w:sz="0" w:space="0" w:color="auto"/>
                                <w:right w:val="none" w:sz="0" w:space="0" w:color="auto"/>
                              </w:divBdr>
                              <w:divsChild>
                                <w:div w:id="1062362806">
                                  <w:marLeft w:val="0"/>
                                  <w:marRight w:val="0"/>
                                  <w:marTop w:val="0"/>
                                  <w:marBottom w:val="0"/>
                                  <w:divBdr>
                                    <w:top w:val="none" w:sz="0" w:space="0" w:color="auto"/>
                                    <w:left w:val="none" w:sz="0" w:space="0" w:color="auto"/>
                                    <w:bottom w:val="none" w:sz="0" w:space="0" w:color="auto"/>
                                    <w:right w:val="none" w:sz="0" w:space="0" w:color="auto"/>
                                  </w:divBdr>
                                  <w:divsChild>
                                    <w:div w:id="190069569">
                                      <w:marLeft w:val="0"/>
                                      <w:marRight w:val="0"/>
                                      <w:marTop w:val="0"/>
                                      <w:marBottom w:val="0"/>
                                      <w:divBdr>
                                        <w:top w:val="none" w:sz="0" w:space="0" w:color="auto"/>
                                        <w:left w:val="none" w:sz="0" w:space="0" w:color="auto"/>
                                        <w:bottom w:val="none" w:sz="0" w:space="0" w:color="auto"/>
                                        <w:right w:val="none" w:sz="0" w:space="0" w:color="auto"/>
                                      </w:divBdr>
                                      <w:divsChild>
                                        <w:div w:id="630281301">
                                          <w:marLeft w:val="0"/>
                                          <w:marRight w:val="0"/>
                                          <w:marTop w:val="0"/>
                                          <w:marBottom w:val="0"/>
                                          <w:divBdr>
                                            <w:top w:val="none" w:sz="0" w:space="0" w:color="auto"/>
                                            <w:left w:val="none" w:sz="0" w:space="0" w:color="auto"/>
                                            <w:bottom w:val="none" w:sz="0" w:space="0" w:color="auto"/>
                                            <w:right w:val="none" w:sz="0" w:space="0" w:color="auto"/>
                                          </w:divBdr>
                                          <w:divsChild>
                                            <w:div w:id="1704595361">
                                              <w:marLeft w:val="0"/>
                                              <w:marRight w:val="0"/>
                                              <w:marTop w:val="0"/>
                                              <w:marBottom w:val="0"/>
                                              <w:divBdr>
                                                <w:top w:val="none" w:sz="0" w:space="0" w:color="auto"/>
                                                <w:left w:val="none" w:sz="0" w:space="0" w:color="auto"/>
                                                <w:bottom w:val="none" w:sz="0" w:space="0" w:color="auto"/>
                                                <w:right w:val="none" w:sz="0" w:space="0" w:color="auto"/>
                                              </w:divBdr>
                                              <w:divsChild>
                                                <w:div w:id="1316103280">
                                                  <w:marLeft w:val="0"/>
                                                  <w:marRight w:val="0"/>
                                                  <w:marTop w:val="0"/>
                                                  <w:marBottom w:val="0"/>
                                                  <w:divBdr>
                                                    <w:top w:val="none" w:sz="0" w:space="0" w:color="auto"/>
                                                    <w:left w:val="none" w:sz="0" w:space="0" w:color="auto"/>
                                                    <w:bottom w:val="none" w:sz="0" w:space="0" w:color="auto"/>
                                                    <w:right w:val="none" w:sz="0" w:space="0" w:color="auto"/>
                                                  </w:divBdr>
                                                  <w:divsChild>
                                                    <w:div w:id="430391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4685598">
                                          <w:marLeft w:val="0"/>
                                          <w:marRight w:val="0"/>
                                          <w:marTop w:val="0"/>
                                          <w:marBottom w:val="0"/>
                                          <w:divBdr>
                                            <w:top w:val="none" w:sz="0" w:space="0" w:color="auto"/>
                                            <w:left w:val="none" w:sz="0" w:space="0" w:color="auto"/>
                                            <w:bottom w:val="none" w:sz="0" w:space="0" w:color="auto"/>
                                            <w:right w:val="none" w:sz="0" w:space="0" w:color="auto"/>
                                          </w:divBdr>
                                          <w:divsChild>
                                            <w:div w:id="1440754562">
                                              <w:marLeft w:val="0"/>
                                              <w:marRight w:val="0"/>
                                              <w:marTop w:val="0"/>
                                              <w:marBottom w:val="0"/>
                                              <w:divBdr>
                                                <w:top w:val="none" w:sz="0" w:space="0" w:color="auto"/>
                                                <w:left w:val="none" w:sz="0" w:space="0" w:color="auto"/>
                                                <w:bottom w:val="none" w:sz="0" w:space="0" w:color="auto"/>
                                                <w:right w:val="none" w:sz="0" w:space="0" w:color="auto"/>
                                              </w:divBdr>
                                              <w:divsChild>
                                                <w:div w:id="1453476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1799346">
      <w:bodyDiv w:val="1"/>
      <w:marLeft w:val="0"/>
      <w:marRight w:val="0"/>
      <w:marTop w:val="0"/>
      <w:marBottom w:val="0"/>
      <w:divBdr>
        <w:top w:val="none" w:sz="0" w:space="0" w:color="auto"/>
        <w:left w:val="none" w:sz="0" w:space="0" w:color="auto"/>
        <w:bottom w:val="none" w:sz="0" w:space="0" w:color="auto"/>
        <w:right w:val="none" w:sz="0" w:space="0" w:color="auto"/>
      </w:divBdr>
    </w:div>
    <w:div w:id="457527016">
      <w:bodyDiv w:val="1"/>
      <w:marLeft w:val="0"/>
      <w:marRight w:val="0"/>
      <w:marTop w:val="0"/>
      <w:marBottom w:val="0"/>
      <w:divBdr>
        <w:top w:val="none" w:sz="0" w:space="0" w:color="auto"/>
        <w:left w:val="none" w:sz="0" w:space="0" w:color="auto"/>
        <w:bottom w:val="none" w:sz="0" w:space="0" w:color="auto"/>
        <w:right w:val="none" w:sz="0" w:space="0" w:color="auto"/>
      </w:divBdr>
      <w:divsChild>
        <w:div w:id="880244999">
          <w:marLeft w:val="0"/>
          <w:marRight w:val="0"/>
          <w:marTop w:val="0"/>
          <w:marBottom w:val="0"/>
          <w:divBdr>
            <w:top w:val="none" w:sz="0" w:space="0" w:color="auto"/>
            <w:left w:val="none" w:sz="0" w:space="0" w:color="auto"/>
            <w:bottom w:val="none" w:sz="0" w:space="0" w:color="auto"/>
            <w:right w:val="none" w:sz="0" w:space="0" w:color="auto"/>
          </w:divBdr>
          <w:divsChild>
            <w:div w:id="1942177231">
              <w:marLeft w:val="0"/>
              <w:marRight w:val="0"/>
              <w:marTop w:val="0"/>
              <w:marBottom w:val="0"/>
              <w:divBdr>
                <w:top w:val="none" w:sz="0" w:space="0" w:color="auto"/>
                <w:left w:val="none" w:sz="0" w:space="0" w:color="auto"/>
                <w:bottom w:val="none" w:sz="0" w:space="0" w:color="auto"/>
                <w:right w:val="none" w:sz="0" w:space="0" w:color="auto"/>
              </w:divBdr>
              <w:divsChild>
                <w:div w:id="932858021">
                  <w:marLeft w:val="0"/>
                  <w:marRight w:val="0"/>
                  <w:marTop w:val="0"/>
                  <w:marBottom w:val="0"/>
                  <w:divBdr>
                    <w:top w:val="none" w:sz="0" w:space="0" w:color="auto"/>
                    <w:left w:val="none" w:sz="0" w:space="0" w:color="auto"/>
                    <w:bottom w:val="none" w:sz="0" w:space="0" w:color="auto"/>
                    <w:right w:val="none" w:sz="0" w:space="0" w:color="auto"/>
                  </w:divBdr>
                  <w:divsChild>
                    <w:div w:id="409549930">
                      <w:marLeft w:val="0"/>
                      <w:marRight w:val="0"/>
                      <w:marTop w:val="0"/>
                      <w:marBottom w:val="0"/>
                      <w:divBdr>
                        <w:top w:val="none" w:sz="0" w:space="0" w:color="auto"/>
                        <w:left w:val="none" w:sz="0" w:space="0" w:color="auto"/>
                        <w:bottom w:val="none" w:sz="0" w:space="0" w:color="auto"/>
                        <w:right w:val="none" w:sz="0" w:space="0" w:color="auto"/>
                      </w:divBdr>
                      <w:divsChild>
                        <w:div w:id="200703826">
                          <w:marLeft w:val="0"/>
                          <w:marRight w:val="0"/>
                          <w:marTop w:val="0"/>
                          <w:marBottom w:val="0"/>
                          <w:divBdr>
                            <w:top w:val="none" w:sz="0" w:space="0" w:color="auto"/>
                            <w:left w:val="none" w:sz="0" w:space="0" w:color="auto"/>
                            <w:bottom w:val="none" w:sz="0" w:space="0" w:color="auto"/>
                            <w:right w:val="none" w:sz="0" w:space="0" w:color="auto"/>
                          </w:divBdr>
                          <w:divsChild>
                            <w:div w:id="1624143764">
                              <w:marLeft w:val="0"/>
                              <w:marRight w:val="0"/>
                              <w:marTop w:val="0"/>
                              <w:marBottom w:val="0"/>
                              <w:divBdr>
                                <w:top w:val="none" w:sz="0" w:space="0" w:color="auto"/>
                                <w:left w:val="none" w:sz="0" w:space="0" w:color="auto"/>
                                <w:bottom w:val="none" w:sz="0" w:space="0" w:color="auto"/>
                                <w:right w:val="none" w:sz="0" w:space="0" w:color="auto"/>
                              </w:divBdr>
                              <w:divsChild>
                                <w:div w:id="1329404355">
                                  <w:marLeft w:val="0"/>
                                  <w:marRight w:val="0"/>
                                  <w:marTop w:val="0"/>
                                  <w:marBottom w:val="0"/>
                                  <w:divBdr>
                                    <w:top w:val="none" w:sz="0" w:space="0" w:color="auto"/>
                                    <w:left w:val="none" w:sz="0" w:space="0" w:color="auto"/>
                                    <w:bottom w:val="none" w:sz="0" w:space="0" w:color="auto"/>
                                    <w:right w:val="none" w:sz="0" w:space="0" w:color="auto"/>
                                  </w:divBdr>
                                  <w:divsChild>
                                    <w:div w:id="1051421836">
                                      <w:marLeft w:val="0"/>
                                      <w:marRight w:val="0"/>
                                      <w:marTop w:val="0"/>
                                      <w:marBottom w:val="0"/>
                                      <w:divBdr>
                                        <w:top w:val="none" w:sz="0" w:space="0" w:color="auto"/>
                                        <w:left w:val="none" w:sz="0" w:space="0" w:color="auto"/>
                                        <w:bottom w:val="none" w:sz="0" w:space="0" w:color="auto"/>
                                        <w:right w:val="none" w:sz="0" w:space="0" w:color="auto"/>
                                      </w:divBdr>
                                      <w:divsChild>
                                        <w:div w:id="504517529">
                                          <w:marLeft w:val="0"/>
                                          <w:marRight w:val="0"/>
                                          <w:marTop w:val="0"/>
                                          <w:marBottom w:val="0"/>
                                          <w:divBdr>
                                            <w:top w:val="none" w:sz="0" w:space="0" w:color="auto"/>
                                            <w:left w:val="none" w:sz="0" w:space="0" w:color="auto"/>
                                            <w:bottom w:val="none" w:sz="0" w:space="0" w:color="auto"/>
                                            <w:right w:val="none" w:sz="0" w:space="0" w:color="auto"/>
                                          </w:divBdr>
                                          <w:divsChild>
                                            <w:div w:id="625046357">
                                              <w:marLeft w:val="0"/>
                                              <w:marRight w:val="0"/>
                                              <w:marTop w:val="0"/>
                                              <w:marBottom w:val="0"/>
                                              <w:divBdr>
                                                <w:top w:val="none" w:sz="0" w:space="0" w:color="auto"/>
                                                <w:left w:val="none" w:sz="0" w:space="0" w:color="auto"/>
                                                <w:bottom w:val="none" w:sz="0" w:space="0" w:color="auto"/>
                                                <w:right w:val="none" w:sz="0" w:space="0" w:color="auto"/>
                                              </w:divBdr>
                                              <w:divsChild>
                                                <w:div w:id="1657413532">
                                                  <w:marLeft w:val="0"/>
                                                  <w:marRight w:val="0"/>
                                                  <w:marTop w:val="0"/>
                                                  <w:marBottom w:val="0"/>
                                                  <w:divBdr>
                                                    <w:top w:val="none" w:sz="0" w:space="0" w:color="auto"/>
                                                    <w:left w:val="none" w:sz="0" w:space="0" w:color="auto"/>
                                                    <w:bottom w:val="none" w:sz="0" w:space="0" w:color="auto"/>
                                                    <w:right w:val="none" w:sz="0" w:space="0" w:color="auto"/>
                                                  </w:divBdr>
                                                  <w:divsChild>
                                                    <w:div w:id="1111779982">
                                                      <w:marLeft w:val="0"/>
                                                      <w:marRight w:val="0"/>
                                                      <w:marTop w:val="0"/>
                                                      <w:marBottom w:val="0"/>
                                                      <w:divBdr>
                                                        <w:top w:val="none" w:sz="0" w:space="0" w:color="auto"/>
                                                        <w:left w:val="none" w:sz="0" w:space="0" w:color="auto"/>
                                                        <w:bottom w:val="none" w:sz="0" w:space="0" w:color="auto"/>
                                                        <w:right w:val="none" w:sz="0" w:space="0" w:color="auto"/>
                                                      </w:divBdr>
                                                      <w:divsChild>
                                                        <w:div w:id="532039400">
                                                          <w:marLeft w:val="0"/>
                                                          <w:marRight w:val="0"/>
                                                          <w:marTop w:val="0"/>
                                                          <w:marBottom w:val="0"/>
                                                          <w:divBdr>
                                                            <w:top w:val="none" w:sz="0" w:space="0" w:color="auto"/>
                                                            <w:left w:val="none" w:sz="0" w:space="0" w:color="auto"/>
                                                            <w:bottom w:val="none" w:sz="0" w:space="0" w:color="auto"/>
                                                            <w:right w:val="none" w:sz="0" w:space="0" w:color="auto"/>
                                                          </w:divBdr>
                                                          <w:divsChild>
                                                            <w:div w:id="575669816">
                                                              <w:marLeft w:val="0"/>
                                                              <w:marRight w:val="0"/>
                                                              <w:marTop w:val="0"/>
                                                              <w:marBottom w:val="0"/>
                                                              <w:divBdr>
                                                                <w:top w:val="none" w:sz="0" w:space="0" w:color="auto"/>
                                                                <w:left w:val="none" w:sz="0" w:space="0" w:color="auto"/>
                                                                <w:bottom w:val="none" w:sz="0" w:space="0" w:color="auto"/>
                                                                <w:right w:val="none" w:sz="0" w:space="0" w:color="auto"/>
                                                              </w:divBdr>
                                                              <w:divsChild>
                                                                <w:div w:id="188436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41533810">
          <w:marLeft w:val="0"/>
          <w:marRight w:val="0"/>
          <w:marTop w:val="0"/>
          <w:marBottom w:val="0"/>
          <w:divBdr>
            <w:top w:val="none" w:sz="0" w:space="0" w:color="auto"/>
            <w:left w:val="none" w:sz="0" w:space="0" w:color="auto"/>
            <w:bottom w:val="none" w:sz="0" w:space="0" w:color="auto"/>
            <w:right w:val="none" w:sz="0" w:space="0" w:color="auto"/>
          </w:divBdr>
          <w:divsChild>
            <w:div w:id="1920094756">
              <w:marLeft w:val="0"/>
              <w:marRight w:val="0"/>
              <w:marTop w:val="0"/>
              <w:marBottom w:val="0"/>
              <w:divBdr>
                <w:top w:val="none" w:sz="0" w:space="0" w:color="auto"/>
                <w:left w:val="none" w:sz="0" w:space="0" w:color="auto"/>
                <w:bottom w:val="none" w:sz="0" w:space="0" w:color="auto"/>
                <w:right w:val="none" w:sz="0" w:space="0" w:color="auto"/>
              </w:divBdr>
              <w:divsChild>
                <w:div w:id="1319310997">
                  <w:marLeft w:val="0"/>
                  <w:marRight w:val="0"/>
                  <w:marTop w:val="0"/>
                  <w:marBottom w:val="0"/>
                  <w:divBdr>
                    <w:top w:val="none" w:sz="0" w:space="0" w:color="auto"/>
                    <w:left w:val="none" w:sz="0" w:space="0" w:color="auto"/>
                    <w:bottom w:val="none" w:sz="0" w:space="0" w:color="auto"/>
                    <w:right w:val="none" w:sz="0" w:space="0" w:color="auto"/>
                  </w:divBdr>
                  <w:divsChild>
                    <w:div w:id="1339505994">
                      <w:marLeft w:val="0"/>
                      <w:marRight w:val="0"/>
                      <w:marTop w:val="0"/>
                      <w:marBottom w:val="0"/>
                      <w:divBdr>
                        <w:top w:val="none" w:sz="0" w:space="0" w:color="auto"/>
                        <w:left w:val="none" w:sz="0" w:space="0" w:color="auto"/>
                        <w:bottom w:val="none" w:sz="0" w:space="0" w:color="auto"/>
                        <w:right w:val="none" w:sz="0" w:space="0" w:color="auto"/>
                      </w:divBdr>
                      <w:divsChild>
                        <w:div w:id="1466200634">
                          <w:marLeft w:val="0"/>
                          <w:marRight w:val="0"/>
                          <w:marTop w:val="0"/>
                          <w:marBottom w:val="0"/>
                          <w:divBdr>
                            <w:top w:val="none" w:sz="0" w:space="0" w:color="auto"/>
                            <w:left w:val="none" w:sz="0" w:space="0" w:color="auto"/>
                            <w:bottom w:val="none" w:sz="0" w:space="0" w:color="auto"/>
                            <w:right w:val="none" w:sz="0" w:space="0" w:color="auto"/>
                          </w:divBdr>
                          <w:divsChild>
                            <w:div w:id="1872498034">
                              <w:marLeft w:val="0"/>
                              <w:marRight w:val="0"/>
                              <w:marTop w:val="0"/>
                              <w:marBottom w:val="0"/>
                              <w:divBdr>
                                <w:top w:val="none" w:sz="0" w:space="0" w:color="auto"/>
                                <w:left w:val="none" w:sz="0" w:space="0" w:color="auto"/>
                                <w:bottom w:val="none" w:sz="0" w:space="0" w:color="auto"/>
                                <w:right w:val="none" w:sz="0" w:space="0" w:color="auto"/>
                              </w:divBdr>
                              <w:divsChild>
                                <w:div w:id="1342046444">
                                  <w:marLeft w:val="0"/>
                                  <w:marRight w:val="0"/>
                                  <w:marTop w:val="0"/>
                                  <w:marBottom w:val="0"/>
                                  <w:divBdr>
                                    <w:top w:val="none" w:sz="0" w:space="0" w:color="auto"/>
                                    <w:left w:val="none" w:sz="0" w:space="0" w:color="auto"/>
                                    <w:bottom w:val="none" w:sz="0" w:space="0" w:color="auto"/>
                                    <w:right w:val="none" w:sz="0" w:space="0" w:color="auto"/>
                                  </w:divBdr>
                                  <w:divsChild>
                                    <w:div w:id="116342971">
                                      <w:marLeft w:val="0"/>
                                      <w:marRight w:val="0"/>
                                      <w:marTop w:val="0"/>
                                      <w:marBottom w:val="0"/>
                                      <w:divBdr>
                                        <w:top w:val="none" w:sz="0" w:space="0" w:color="auto"/>
                                        <w:left w:val="none" w:sz="0" w:space="0" w:color="auto"/>
                                        <w:bottom w:val="none" w:sz="0" w:space="0" w:color="auto"/>
                                        <w:right w:val="none" w:sz="0" w:space="0" w:color="auto"/>
                                      </w:divBdr>
                                      <w:divsChild>
                                        <w:div w:id="282344354">
                                          <w:marLeft w:val="0"/>
                                          <w:marRight w:val="0"/>
                                          <w:marTop w:val="0"/>
                                          <w:marBottom w:val="0"/>
                                          <w:divBdr>
                                            <w:top w:val="none" w:sz="0" w:space="0" w:color="auto"/>
                                            <w:left w:val="none" w:sz="0" w:space="0" w:color="auto"/>
                                            <w:bottom w:val="none" w:sz="0" w:space="0" w:color="auto"/>
                                            <w:right w:val="none" w:sz="0" w:space="0" w:color="auto"/>
                                          </w:divBdr>
                                          <w:divsChild>
                                            <w:div w:id="1814254835">
                                              <w:marLeft w:val="0"/>
                                              <w:marRight w:val="0"/>
                                              <w:marTop w:val="0"/>
                                              <w:marBottom w:val="0"/>
                                              <w:divBdr>
                                                <w:top w:val="none" w:sz="0" w:space="0" w:color="auto"/>
                                                <w:left w:val="none" w:sz="0" w:space="0" w:color="auto"/>
                                                <w:bottom w:val="none" w:sz="0" w:space="0" w:color="auto"/>
                                                <w:right w:val="none" w:sz="0" w:space="0" w:color="auto"/>
                                              </w:divBdr>
                                              <w:divsChild>
                                                <w:div w:id="547841217">
                                                  <w:marLeft w:val="0"/>
                                                  <w:marRight w:val="0"/>
                                                  <w:marTop w:val="0"/>
                                                  <w:marBottom w:val="0"/>
                                                  <w:divBdr>
                                                    <w:top w:val="none" w:sz="0" w:space="0" w:color="auto"/>
                                                    <w:left w:val="none" w:sz="0" w:space="0" w:color="auto"/>
                                                    <w:bottom w:val="none" w:sz="0" w:space="0" w:color="auto"/>
                                                    <w:right w:val="none" w:sz="0" w:space="0" w:color="auto"/>
                                                  </w:divBdr>
                                                  <w:divsChild>
                                                    <w:div w:id="167603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609138">
                                          <w:marLeft w:val="0"/>
                                          <w:marRight w:val="0"/>
                                          <w:marTop w:val="0"/>
                                          <w:marBottom w:val="0"/>
                                          <w:divBdr>
                                            <w:top w:val="none" w:sz="0" w:space="0" w:color="auto"/>
                                            <w:left w:val="none" w:sz="0" w:space="0" w:color="auto"/>
                                            <w:bottom w:val="none" w:sz="0" w:space="0" w:color="auto"/>
                                            <w:right w:val="none" w:sz="0" w:space="0" w:color="auto"/>
                                          </w:divBdr>
                                          <w:divsChild>
                                            <w:div w:id="769666639">
                                              <w:marLeft w:val="0"/>
                                              <w:marRight w:val="0"/>
                                              <w:marTop w:val="0"/>
                                              <w:marBottom w:val="0"/>
                                              <w:divBdr>
                                                <w:top w:val="none" w:sz="0" w:space="0" w:color="auto"/>
                                                <w:left w:val="none" w:sz="0" w:space="0" w:color="auto"/>
                                                <w:bottom w:val="none" w:sz="0" w:space="0" w:color="auto"/>
                                                <w:right w:val="none" w:sz="0" w:space="0" w:color="auto"/>
                                              </w:divBdr>
                                              <w:divsChild>
                                                <w:div w:id="115232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2388661">
      <w:bodyDiv w:val="1"/>
      <w:marLeft w:val="0"/>
      <w:marRight w:val="0"/>
      <w:marTop w:val="0"/>
      <w:marBottom w:val="0"/>
      <w:divBdr>
        <w:top w:val="none" w:sz="0" w:space="0" w:color="auto"/>
        <w:left w:val="none" w:sz="0" w:space="0" w:color="auto"/>
        <w:bottom w:val="none" w:sz="0" w:space="0" w:color="auto"/>
        <w:right w:val="none" w:sz="0" w:space="0" w:color="auto"/>
      </w:divBdr>
    </w:div>
    <w:div w:id="495459227">
      <w:bodyDiv w:val="1"/>
      <w:marLeft w:val="0"/>
      <w:marRight w:val="0"/>
      <w:marTop w:val="0"/>
      <w:marBottom w:val="0"/>
      <w:divBdr>
        <w:top w:val="none" w:sz="0" w:space="0" w:color="auto"/>
        <w:left w:val="none" w:sz="0" w:space="0" w:color="auto"/>
        <w:bottom w:val="none" w:sz="0" w:space="0" w:color="auto"/>
        <w:right w:val="none" w:sz="0" w:space="0" w:color="auto"/>
      </w:divBdr>
    </w:div>
    <w:div w:id="512303585">
      <w:bodyDiv w:val="1"/>
      <w:marLeft w:val="0"/>
      <w:marRight w:val="0"/>
      <w:marTop w:val="0"/>
      <w:marBottom w:val="0"/>
      <w:divBdr>
        <w:top w:val="none" w:sz="0" w:space="0" w:color="auto"/>
        <w:left w:val="none" w:sz="0" w:space="0" w:color="auto"/>
        <w:bottom w:val="none" w:sz="0" w:space="0" w:color="auto"/>
        <w:right w:val="none" w:sz="0" w:space="0" w:color="auto"/>
      </w:divBdr>
    </w:div>
    <w:div w:id="688221437">
      <w:bodyDiv w:val="1"/>
      <w:marLeft w:val="0"/>
      <w:marRight w:val="0"/>
      <w:marTop w:val="0"/>
      <w:marBottom w:val="0"/>
      <w:divBdr>
        <w:top w:val="none" w:sz="0" w:space="0" w:color="auto"/>
        <w:left w:val="none" w:sz="0" w:space="0" w:color="auto"/>
        <w:bottom w:val="none" w:sz="0" w:space="0" w:color="auto"/>
        <w:right w:val="none" w:sz="0" w:space="0" w:color="auto"/>
      </w:divBdr>
    </w:div>
    <w:div w:id="981889620">
      <w:bodyDiv w:val="1"/>
      <w:marLeft w:val="0"/>
      <w:marRight w:val="0"/>
      <w:marTop w:val="0"/>
      <w:marBottom w:val="0"/>
      <w:divBdr>
        <w:top w:val="none" w:sz="0" w:space="0" w:color="auto"/>
        <w:left w:val="none" w:sz="0" w:space="0" w:color="auto"/>
        <w:bottom w:val="none" w:sz="0" w:space="0" w:color="auto"/>
        <w:right w:val="none" w:sz="0" w:space="0" w:color="auto"/>
      </w:divBdr>
    </w:div>
    <w:div w:id="1087313481">
      <w:bodyDiv w:val="1"/>
      <w:marLeft w:val="0"/>
      <w:marRight w:val="0"/>
      <w:marTop w:val="0"/>
      <w:marBottom w:val="0"/>
      <w:divBdr>
        <w:top w:val="none" w:sz="0" w:space="0" w:color="auto"/>
        <w:left w:val="none" w:sz="0" w:space="0" w:color="auto"/>
        <w:bottom w:val="none" w:sz="0" w:space="0" w:color="auto"/>
        <w:right w:val="none" w:sz="0" w:space="0" w:color="auto"/>
      </w:divBdr>
    </w:div>
    <w:div w:id="1152017069">
      <w:bodyDiv w:val="1"/>
      <w:marLeft w:val="0"/>
      <w:marRight w:val="0"/>
      <w:marTop w:val="0"/>
      <w:marBottom w:val="0"/>
      <w:divBdr>
        <w:top w:val="none" w:sz="0" w:space="0" w:color="auto"/>
        <w:left w:val="none" w:sz="0" w:space="0" w:color="auto"/>
        <w:bottom w:val="none" w:sz="0" w:space="0" w:color="auto"/>
        <w:right w:val="none" w:sz="0" w:space="0" w:color="auto"/>
      </w:divBdr>
    </w:div>
    <w:div w:id="1199783647">
      <w:bodyDiv w:val="1"/>
      <w:marLeft w:val="0"/>
      <w:marRight w:val="0"/>
      <w:marTop w:val="0"/>
      <w:marBottom w:val="0"/>
      <w:divBdr>
        <w:top w:val="none" w:sz="0" w:space="0" w:color="auto"/>
        <w:left w:val="none" w:sz="0" w:space="0" w:color="auto"/>
        <w:bottom w:val="none" w:sz="0" w:space="0" w:color="auto"/>
        <w:right w:val="none" w:sz="0" w:space="0" w:color="auto"/>
      </w:divBdr>
    </w:div>
    <w:div w:id="1206334947">
      <w:bodyDiv w:val="1"/>
      <w:marLeft w:val="0"/>
      <w:marRight w:val="0"/>
      <w:marTop w:val="0"/>
      <w:marBottom w:val="0"/>
      <w:divBdr>
        <w:top w:val="none" w:sz="0" w:space="0" w:color="auto"/>
        <w:left w:val="none" w:sz="0" w:space="0" w:color="auto"/>
        <w:bottom w:val="none" w:sz="0" w:space="0" w:color="auto"/>
        <w:right w:val="none" w:sz="0" w:space="0" w:color="auto"/>
      </w:divBdr>
    </w:div>
    <w:div w:id="1276254474">
      <w:bodyDiv w:val="1"/>
      <w:marLeft w:val="0"/>
      <w:marRight w:val="0"/>
      <w:marTop w:val="0"/>
      <w:marBottom w:val="0"/>
      <w:divBdr>
        <w:top w:val="none" w:sz="0" w:space="0" w:color="auto"/>
        <w:left w:val="none" w:sz="0" w:space="0" w:color="auto"/>
        <w:bottom w:val="none" w:sz="0" w:space="0" w:color="auto"/>
        <w:right w:val="none" w:sz="0" w:space="0" w:color="auto"/>
      </w:divBdr>
    </w:div>
    <w:div w:id="1330208394">
      <w:bodyDiv w:val="1"/>
      <w:marLeft w:val="0"/>
      <w:marRight w:val="0"/>
      <w:marTop w:val="0"/>
      <w:marBottom w:val="0"/>
      <w:divBdr>
        <w:top w:val="none" w:sz="0" w:space="0" w:color="auto"/>
        <w:left w:val="none" w:sz="0" w:space="0" w:color="auto"/>
        <w:bottom w:val="none" w:sz="0" w:space="0" w:color="auto"/>
        <w:right w:val="none" w:sz="0" w:space="0" w:color="auto"/>
      </w:divBdr>
    </w:div>
    <w:div w:id="1330210692">
      <w:bodyDiv w:val="1"/>
      <w:marLeft w:val="0"/>
      <w:marRight w:val="0"/>
      <w:marTop w:val="0"/>
      <w:marBottom w:val="0"/>
      <w:divBdr>
        <w:top w:val="none" w:sz="0" w:space="0" w:color="auto"/>
        <w:left w:val="none" w:sz="0" w:space="0" w:color="auto"/>
        <w:bottom w:val="none" w:sz="0" w:space="0" w:color="auto"/>
        <w:right w:val="none" w:sz="0" w:space="0" w:color="auto"/>
      </w:divBdr>
    </w:div>
    <w:div w:id="1339769347">
      <w:bodyDiv w:val="1"/>
      <w:marLeft w:val="0"/>
      <w:marRight w:val="0"/>
      <w:marTop w:val="0"/>
      <w:marBottom w:val="0"/>
      <w:divBdr>
        <w:top w:val="none" w:sz="0" w:space="0" w:color="auto"/>
        <w:left w:val="none" w:sz="0" w:space="0" w:color="auto"/>
        <w:bottom w:val="none" w:sz="0" w:space="0" w:color="auto"/>
        <w:right w:val="none" w:sz="0" w:space="0" w:color="auto"/>
      </w:divBdr>
    </w:div>
    <w:div w:id="1371488546">
      <w:bodyDiv w:val="1"/>
      <w:marLeft w:val="0"/>
      <w:marRight w:val="0"/>
      <w:marTop w:val="0"/>
      <w:marBottom w:val="0"/>
      <w:divBdr>
        <w:top w:val="none" w:sz="0" w:space="0" w:color="auto"/>
        <w:left w:val="none" w:sz="0" w:space="0" w:color="auto"/>
        <w:bottom w:val="none" w:sz="0" w:space="0" w:color="auto"/>
        <w:right w:val="none" w:sz="0" w:space="0" w:color="auto"/>
      </w:divBdr>
    </w:div>
    <w:div w:id="1438058020">
      <w:bodyDiv w:val="1"/>
      <w:marLeft w:val="0"/>
      <w:marRight w:val="0"/>
      <w:marTop w:val="0"/>
      <w:marBottom w:val="0"/>
      <w:divBdr>
        <w:top w:val="none" w:sz="0" w:space="0" w:color="auto"/>
        <w:left w:val="none" w:sz="0" w:space="0" w:color="auto"/>
        <w:bottom w:val="none" w:sz="0" w:space="0" w:color="auto"/>
        <w:right w:val="none" w:sz="0" w:space="0" w:color="auto"/>
      </w:divBdr>
    </w:div>
    <w:div w:id="1439638727">
      <w:bodyDiv w:val="1"/>
      <w:marLeft w:val="0"/>
      <w:marRight w:val="0"/>
      <w:marTop w:val="0"/>
      <w:marBottom w:val="0"/>
      <w:divBdr>
        <w:top w:val="none" w:sz="0" w:space="0" w:color="auto"/>
        <w:left w:val="none" w:sz="0" w:space="0" w:color="auto"/>
        <w:bottom w:val="none" w:sz="0" w:space="0" w:color="auto"/>
        <w:right w:val="none" w:sz="0" w:space="0" w:color="auto"/>
      </w:divBdr>
    </w:div>
    <w:div w:id="1453136529">
      <w:bodyDiv w:val="1"/>
      <w:marLeft w:val="0"/>
      <w:marRight w:val="0"/>
      <w:marTop w:val="0"/>
      <w:marBottom w:val="0"/>
      <w:divBdr>
        <w:top w:val="none" w:sz="0" w:space="0" w:color="auto"/>
        <w:left w:val="none" w:sz="0" w:space="0" w:color="auto"/>
        <w:bottom w:val="none" w:sz="0" w:space="0" w:color="auto"/>
        <w:right w:val="none" w:sz="0" w:space="0" w:color="auto"/>
      </w:divBdr>
    </w:div>
    <w:div w:id="1531146560">
      <w:bodyDiv w:val="1"/>
      <w:marLeft w:val="0"/>
      <w:marRight w:val="0"/>
      <w:marTop w:val="0"/>
      <w:marBottom w:val="0"/>
      <w:divBdr>
        <w:top w:val="none" w:sz="0" w:space="0" w:color="auto"/>
        <w:left w:val="none" w:sz="0" w:space="0" w:color="auto"/>
        <w:bottom w:val="none" w:sz="0" w:space="0" w:color="auto"/>
        <w:right w:val="none" w:sz="0" w:space="0" w:color="auto"/>
      </w:divBdr>
    </w:div>
    <w:div w:id="1545174186">
      <w:bodyDiv w:val="1"/>
      <w:marLeft w:val="0"/>
      <w:marRight w:val="0"/>
      <w:marTop w:val="0"/>
      <w:marBottom w:val="0"/>
      <w:divBdr>
        <w:top w:val="none" w:sz="0" w:space="0" w:color="auto"/>
        <w:left w:val="none" w:sz="0" w:space="0" w:color="auto"/>
        <w:bottom w:val="none" w:sz="0" w:space="0" w:color="auto"/>
        <w:right w:val="none" w:sz="0" w:space="0" w:color="auto"/>
      </w:divBdr>
    </w:div>
    <w:div w:id="1620260492">
      <w:bodyDiv w:val="1"/>
      <w:marLeft w:val="0"/>
      <w:marRight w:val="0"/>
      <w:marTop w:val="0"/>
      <w:marBottom w:val="0"/>
      <w:divBdr>
        <w:top w:val="none" w:sz="0" w:space="0" w:color="auto"/>
        <w:left w:val="none" w:sz="0" w:space="0" w:color="auto"/>
        <w:bottom w:val="none" w:sz="0" w:space="0" w:color="auto"/>
        <w:right w:val="none" w:sz="0" w:space="0" w:color="auto"/>
      </w:divBdr>
    </w:div>
    <w:div w:id="1747992649">
      <w:bodyDiv w:val="1"/>
      <w:marLeft w:val="0"/>
      <w:marRight w:val="0"/>
      <w:marTop w:val="0"/>
      <w:marBottom w:val="0"/>
      <w:divBdr>
        <w:top w:val="none" w:sz="0" w:space="0" w:color="auto"/>
        <w:left w:val="none" w:sz="0" w:space="0" w:color="auto"/>
        <w:bottom w:val="none" w:sz="0" w:space="0" w:color="auto"/>
        <w:right w:val="none" w:sz="0" w:space="0" w:color="auto"/>
      </w:divBdr>
    </w:div>
    <w:div w:id="1918972562">
      <w:bodyDiv w:val="1"/>
      <w:marLeft w:val="0"/>
      <w:marRight w:val="0"/>
      <w:marTop w:val="0"/>
      <w:marBottom w:val="0"/>
      <w:divBdr>
        <w:top w:val="none" w:sz="0" w:space="0" w:color="auto"/>
        <w:left w:val="none" w:sz="0" w:space="0" w:color="auto"/>
        <w:bottom w:val="none" w:sz="0" w:space="0" w:color="auto"/>
        <w:right w:val="none" w:sz="0" w:space="0" w:color="auto"/>
      </w:divBdr>
    </w:div>
    <w:div w:id="1933857031">
      <w:bodyDiv w:val="1"/>
      <w:marLeft w:val="0"/>
      <w:marRight w:val="0"/>
      <w:marTop w:val="0"/>
      <w:marBottom w:val="0"/>
      <w:divBdr>
        <w:top w:val="none" w:sz="0" w:space="0" w:color="auto"/>
        <w:left w:val="none" w:sz="0" w:space="0" w:color="auto"/>
        <w:bottom w:val="none" w:sz="0" w:space="0" w:color="auto"/>
        <w:right w:val="none" w:sz="0" w:space="0" w:color="auto"/>
      </w:divBdr>
    </w:div>
    <w:div w:id="1994261013">
      <w:bodyDiv w:val="1"/>
      <w:marLeft w:val="0"/>
      <w:marRight w:val="0"/>
      <w:marTop w:val="0"/>
      <w:marBottom w:val="0"/>
      <w:divBdr>
        <w:top w:val="none" w:sz="0" w:space="0" w:color="auto"/>
        <w:left w:val="none" w:sz="0" w:space="0" w:color="auto"/>
        <w:bottom w:val="none" w:sz="0" w:space="0" w:color="auto"/>
        <w:right w:val="none" w:sz="0" w:space="0" w:color="auto"/>
      </w:divBdr>
    </w:div>
    <w:div w:id="2134861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apps.who.int/iris/handle/10665/204266" TargetMode="External"/><Relationship Id="rId18" Type="http://schemas.openxmlformats.org/officeDocument/2006/relationships/hyperlink" Target="mailto:cghr@kemri.go.k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who.int/publications"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s://www.who.int/docs/default-source/documents/publications/gmp/who-cds-gmp-2018-26-eng.pd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93/cid/ciaa191" TargetMode="External"/><Relationship Id="rId5" Type="http://schemas.openxmlformats.org/officeDocument/2006/relationships/webSettings" Target="webSettings.xml"/><Relationship Id="rId15" Type="http://schemas.openxmlformats.org/officeDocument/2006/relationships/hyperlink" Target="https://apps.who.int/iris/handle/10665/204458" TargetMode="External"/><Relationship Id="rId10" Type="http://schemas.openxmlformats.org/officeDocument/2006/relationships/hyperlink" Target="https://dhsprogram.com/pubs/pdf/MIS36/MIS36.pdf"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hsprogram.com/pubs/pdf/mis7/mis7.pdf" TargetMode="External"/><Relationship Id="rId14" Type="http://schemas.openxmlformats.org/officeDocument/2006/relationships/hyperlink" Target="https://doi.org/10.1371/journal.pone.03057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D3354D-940A-49EB-936B-968351C7CE04}">
  <ds:schemaRefs>
    <ds:schemaRef ds:uri="http://schemas.openxmlformats.org/officeDocument/2006/bibliography"/>
  </ds:schemaRefs>
</ds:datastoreItem>
</file>

<file path=docMetadata/LabelInfo.xml><?xml version="1.0" encoding="utf-8"?>
<clbl:labelList xmlns:clbl="http://schemas.microsoft.com/office/2020/mipLabelMetadata">
  <clbl:label id="{8af03ff0-41c5-4c41-b55e-fabb8fae94be}" enabled="1" method="Privileged" siteId="{9ce70869-60db-44fd-abe8-d2767077fc8f}"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31</Pages>
  <Words>8075</Words>
  <Characters>46030</Characters>
  <Application>Microsoft Office Word</Application>
  <DocSecurity>0</DocSecurity>
  <Lines>383</Lines>
  <Paragraphs>107</Paragraphs>
  <ScaleCrop>false</ScaleCrop>
  <Company/>
  <LinksUpToDate>false</LinksUpToDate>
  <CharactersWithSpaces>53998</CharactersWithSpaces>
  <SharedDoc>false</SharedDoc>
  <HLinks>
    <vt:vector size="48" baseType="variant">
      <vt:variant>
        <vt:i4>1310841</vt:i4>
      </vt:variant>
      <vt:variant>
        <vt:i4>21</vt:i4>
      </vt:variant>
      <vt:variant>
        <vt:i4>0</vt:i4>
      </vt:variant>
      <vt:variant>
        <vt:i4>5</vt:i4>
      </vt:variant>
      <vt:variant>
        <vt:lpwstr>mailto:cghr@kemri.go.ke</vt:lpwstr>
      </vt:variant>
      <vt:variant>
        <vt:lpwstr/>
      </vt:variant>
      <vt:variant>
        <vt:i4>2621480</vt:i4>
      </vt:variant>
      <vt:variant>
        <vt:i4>18</vt:i4>
      </vt:variant>
      <vt:variant>
        <vt:i4>0</vt:i4>
      </vt:variant>
      <vt:variant>
        <vt:i4>5</vt:i4>
      </vt:variant>
      <vt:variant>
        <vt:lpwstr>https://www.who.int/docs/default-source/documents/publications/gmp/who-cds-gmp-2018-26-eng.pdf</vt:lpwstr>
      </vt:variant>
      <vt:variant>
        <vt:lpwstr/>
      </vt:variant>
      <vt:variant>
        <vt:i4>5832721</vt:i4>
      </vt:variant>
      <vt:variant>
        <vt:i4>15</vt:i4>
      </vt:variant>
      <vt:variant>
        <vt:i4>0</vt:i4>
      </vt:variant>
      <vt:variant>
        <vt:i4>5</vt:i4>
      </vt:variant>
      <vt:variant>
        <vt:lpwstr>https://apps.who.int/iris/handle/10665/204458</vt:lpwstr>
      </vt:variant>
      <vt:variant>
        <vt:lpwstr/>
      </vt:variant>
      <vt:variant>
        <vt:i4>4915267</vt:i4>
      </vt:variant>
      <vt:variant>
        <vt:i4>12</vt:i4>
      </vt:variant>
      <vt:variant>
        <vt:i4>0</vt:i4>
      </vt:variant>
      <vt:variant>
        <vt:i4>5</vt:i4>
      </vt:variant>
      <vt:variant>
        <vt:lpwstr>https://doi.org/10.1371/journal.pone.0305700</vt:lpwstr>
      </vt:variant>
      <vt:variant>
        <vt:lpwstr/>
      </vt:variant>
      <vt:variant>
        <vt:i4>5898263</vt:i4>
      </vt:variant>
      <vt:variant>
        <vt:i4>9</vt:i4>
      </vt:variant>
      <vt:variant>
        <vt:i4>0</vt:i4>
      </vt:variant>
      <vt:variant>
        <vt:i4>5</vt:i4>
      </vt:variant>
      <vt:variant>
        <vt:lpwstr>https://apps.who.int/iris/handle/10665/204266</vt:lpwstr>
      </vt:variant>
      <vt:variant>
        <vt:lpwstr/>
      </vt:variant>
      <vt:variant>
        <vt:i4>6094936</vt:i4>
      </vt:variant>
      <vt:variant>
        <vt:i4>6</vt:i4>
      </vt:variant>
      <vt:variant>
        <vt:i4>0</vt:i4>
      </vt:variant>
      <vt:variant>
        <vt:i4>5</vt:i4>
      </vt:variant>
      <vt:variant>
        <vt:lpwstr>https://www.who.int/publications</vt:lpwstr>
      </vt:variant>
      <vt:variant>
        <vt:lpwstr/>
      </vt:variant>
      <vt:variant>
        <vt:i4>7143533</vt:i4>
      </vt:variant>
      <vt:variant>
        <vt:i4>3</vt:i4>
      </vt:variant>
      <vt:variant>
        <vt:i4>0</vt:i4>
      </vt:variant>
      <vt:variant>
        <vt:i4>5</vt:i4>
      </vt:variant>
      <vt:variant>
        <vt:lpwstr>https://doi.org/10.1093/cid/ciaa191</vt:lpwstr>
      </vt:variant>
      <vt:variant>
        <vt:lpwstr/>
      </vt:variant>
      <vt:variant>
        <vt:i4>720962</vt:i4>
      </vt:variant>
      <vt:variant>
        <vt:i4>0</vt:i4>
      </vt:variant>
      <vt:variant>
        <vt:i4>0</vt:i4>
      </vt:variant>
      <vt:variant>
        <vt:i4>5</vt:i4>
      </vt:variant>
      <vt:variant>
        <vt:lpwstr>https://dhsprogram.com/pubs/pdf/mis7/mis7.pdf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Itoh, Megumi (CDC/NCEZID/DPDM/MB)</dc:creator>
  <cp:keywords/>
  <dc:description/>
  <cp:lastModifiedBy>Nilesh Nawale</cp:lastModifiedBy>
  <cp:revision>2</cp:revision>
  <dcterms:created xsi:type="dcterms:W3CDTF">2025-08-25T09:30:00Z</dcterms:created>
  <dcterms:modified xsi:type="dcterms:W3CDTF">2025-08-25T09:30:00Z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03ff0-41c5-4c41-b55e-fabb8fae94be_Enabled">
    <vt:lpwstr>true</vt:lpwstr>
  </property>
  <property fmtid="{D5CDD505-2E9C-101B-9397-08002B2CF9AE}" pid="3" name="MSIP_Label_8af03ff0-41c5-4c41-b55e-fabb8fae94be_SetDate">
    <vt:lpwstr>2024-11-07T07:08:42Z</vt:lpwstr>
  </property>
  <property fmtid="{D5CDD505-2E9C-101B-9397-08002B2CF9AE}" pid="4" name="MSIP_Label_8af03ff0-41c5-4c41-b55e-fabb8fae94be_Method">
    <vt:lpwstr>Privileged</vt:lpwstr>
  </property>
  <property fmtid="{D5CDD505-2E9C-101B-9397-08002B2CF9AE}" pid="5" name="MSIP_Label_8af03ff0-41c5-4c41-b55e-fabb8fae94be_Name">
    <vt:lpwstr>8af03ff0-41c5-4c41-b55e-fabb8fae94be</vt:lpwstr>
  </property>
  <property fmtid="{D5CDD505-2E9C-101B-9397-08002B2CF9AE}" pid="6" name="MSIP_Label_8af03ff0-41c5-4c41-b55e-fabb8fae94be_SiteId">
    <vt:lpwstr>9ce70869-60db-44fd-abe8-d2767077fc8f</vt:lpwstr>
  </property>
  <property fmtid="{D5CDD505-2E9C-101B-9397-08002B2CF9AE}" pid="7" name="MSIP_Label_8af03ff0-41c5-4c41-b55e-fabb8fae94be_ActionId">
    <vt:lpwstr>1ba52113-8566-4e3e-89e6-c0f39569f4cc</vt:lpwstr>
  </property>
  <property fmtid="{D5CDD505-2E9C-101B-9397-08002B2CF9AE}" pid="8" name="MSIP_Label_8af03ff0-41c5-4c41-b55e-fabb8fae94be_ContentBits">
    <vt:lpwstr>0</vt:lpwstr>
  </property>
</Properties>
</file>