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5466" w14:textId="77777777" w:rsidR="00CE7F9C" w:rsidRDefault="00CE7F9C" w:rsidP="00CE7F9C">
      <w:r w:rsidRPr="60316FCE">
        <w:rPr>
          <w:b/>
          <w:bCs/>
        </w:rPr>
        <w:t xml:space="preserve">Supplemental figure 1: </w:t>
      </w:r>
      <w:r>
        <w:t>Immunohistochemistry of lung slices and immunofluorescence of HLF culture</w:t>
      </w:r>
    </w:p>
    <w:p w14:paraId="559CC64A" w14:textId="77777777" w:rsidR="00CE7F9C" w:rsidRDefault="00CE7F9C" w:rsidP="00CE7F9C">
      <w:r>
        <w:t>A:  Immunohistochemistry of lung slice (20X) demonstrating vimentin positive fibroblasts</w:t>
      </w:r>
      <w:r w:rsidRPr="00CF39C9">
        <w:rPr>
          <w:b/>
          <w:bCs/>
          <w:sz w:val="32"/>
          <w:szCs w:val="32"/>
        </w:rPr>
        <w:t xml:space="preserve"> </w:t>
      </w:r>
      <w:r>
        <w:t>(</w:t>
      </w:r>
      <w:r w:rsidRPr="00CF39C9">
        <w:rPr>
          <w:b/>
          <w:bCs/>
          <w:sz w:val="32"/>
          <w:szCs w:val="32"/>
        </w:rPr>
        <w:t>*</w:t>
      </w:r>
      <w:r>
        <w:t xml:space="preserve">) and vimentin negative airway smooth muscle cells (SM) </w:t>
      </w:r>
    </w:p>
    <w:p w14:paraId="7A6FDAD3" w14:textId="77777777" w:rsidR="00CE7F9C" w:rsidRDefault="00CE7F9C" w:rsidP="00CE7F9C">
      <w:r>
        <w:t>B: Immunohistochemistry of lung slice (20X) demonstrating S100A4 positive fibroblasts</w:t>
      </w:r>
      <w:r w:rsidRPr="00CF39C9">
        <w:rPr>
          <w:b/>
          <w:bCs/>
          <w:sz w:val="32"/>
          <w:szCs w:val="32"/>
        </w:rPr>
        <w:t xml:space="preserve"> </w:t>
      </w:r>
      <w:r>
        <w:t>(</w:t>
      </w:r>
      <w:r w:rsidRPr="00CF39C9">
        <w:rPr>
          <w:b/>
          <w:bCs/>
          <w:sz w:val="32"/>
          <w:szCs w:val="32"/>
        </w:rPr>
        <w:t>*</w:t>
      </w:r>
      <w:r>
        <w:t>) and S100A4 negative airway smooth muscle cells (SM)</w:t>
      </w:r>
    </w:p>
    <w:p w14:paraId="302AB79B" w14:textId="77777777" w:rsidR="00CE7F9C" w:rsidRDefault="00CE7F9C" w:rsidP="00CE7F9C">
      <w:r>
        <w:t>C: Immunofluorescence of HLF culture (Vimentin: green, SMA: red)</w:t>
      </w:r>
    </w:p>
    <w:p w14:paraId="71D27EF6" w14:textId="77777777" w:rsidR="00CE7F9C" w:rsidRDefault="00CE7F9C" w:rsidP="00CE7F9C">
      <w:r>
        <w:t>D: Immunofluorescence of HLF culture (S100A4: green, SMA: red)</w:t>
      </w:r>
    </w:p>
    <w:p w14:paraId="335D9269" w14:textId="77777777" w:rsidR="00CE7F9C" w:rsidRDefault="00CE7F9C" w:rsidP="00CE7F9C"/>
    <w:p w14:paraId="27C6A77A" w14:textId="77777777" w:rsidR="00CE7F9C" w:rsidRDefault="00CE7F9C" w:rsidP="00CE7F9C">
      <w:r w:rsidRPr="60316FCE">
        <w:rPr>
          <w:b/>
          <w:bCs/>
        </w:rPr>
        <w:t>Supplemental figure 2</w:t>
      </w:r>
      <w:r>
        <w:t>: Demographic donor data of HLF cell lines.</w:t>
      </w:r>
    </w:p>
    <w:p w14:paraId="0B13CB4A" w14:textId="77777777" w:rsidR="00CE7F9C" w:rsidRPr="00EA3121" w:rsidRDefault="00CE7F9C" w:rsidP="00CE7F9C">
      <w:r w:rsidRPr="00EA3121">
        <w:t> </w:t>
      </w:r>
    </w:p>
    <w:p w14:paraId="116A92CD" w14:textId="77777777" w:rsidR="00CE7F9C" w:rsidRPr="00EA3121" w:rsidRDefault="00CE7F9C" w:rsidP="00CE7F9C">
      <w:pPr>
        <w:jc w:val="both"/>
      </w:pPr>
      <w:r w:rsidRPr="60316FCE">
        <w:rPr>
          <w:b/>
          <w:bCs/>
        </w:rPr>
        <w:t xml:space="preserve">Supplemental figure </w:t>
      </w:r>
      <w:r>
        <w:rPr>
          <w:b/>
          <w:bCs/>
        </w:rPr>
        <w:t>3</w:t>
      </w:r>
      <w:r w:rsidRPr="60316FCE">
        <w:rPr>
          <w:b/>
          <w:bCs/>
        </w:rPr>
        <w:t>:</w:t>
      </w:r>
      <w:r>
        <w:rPr>
          <w:b/>
          <w:bCs/>
        </w:rPr>
        <w:t xml:space="preserve"> </w:t>
      </w:r>
      <w:r>
        <w:t>Dose response of treprostinil on TGF-β induced phosphorylation of SMAD3. </w:t>
      </w:r>
    </w:p>
    <w:p w14:paraId="408E8FCD" w14:textId="77777777" w:rsidR="00CE7F9C" w:rsidRPr="00EA3121" w:rsidRDefault="00CE7F9C" w:rsidP="00CE7F9C">
      <w:pPr>
        <w:jc w:val="both"/>
      </w:pPr>
      <w:r>
        <w:t xml:space="preserve">Measurement </w:t>
      </w:r>
      <w:r w:rsidRPr="00EA3121">
        <w:t>of TGF-β-induced (5 ng/ml, 1 hr) phosphorylation of SMAD3 in HLF preincubated with treprostinil (30 min, 1 nM</w:t>
      </w:r>
      <w:r>
        <w:t xml:space="preserve"> to 1 μM</w:t>
      </w:r>
      <w:r w:rsidRPr="00EA3121">
        <w:t>) (n=5). </w:t>
      </w:r>
      <w:r>
        <w:t xml:space="preserve">Treprostinil has little effect on inhibiting TGF-β-induced phosphorylation of SMAD3. </w:t>
      </w:r>
    </w:p>
    <w:p w14:paraId="382F7055" w14:textId="77777777" w:rsidR="00CE7F9C" w:rsidRPr="00EA3121" w:rsidRDefault="00CE7F9C" w:rsidP="00CE7F9C">
      <w:r w:rsidRPr="00EA3121">
        <w:t> </w:t>
      </w:r>
    </w:p>
    <w:p w14:paraId="0EF543F3" w14:textId="77777777" w:rsidR="00CE7F9C" w:rsidRPr="00EA3121" w:rsidRDefault="00CE7F9C" w:rsidP="00CE7F9C">
      <w:pPr>
        <w:jc w:val="both"/>
      </w:pPr>
      <w:r w:rsidRPr="60316FCE">
        <w:rPr>
          <w:b/>
          <w:bCs/>
        </w:rPr>
        <w:t xml:space="preserve">Supplemental figure </w:t>
      </w:r>
      <w:r>
        <w:rPr>
          <w:b/>
          <w:bCs/>
        </w:rPr>
        <w:t>4</w:t>
      </w:r>
      <w:r w:rsidRPr="60316FCE">
        <w:rPr>
          <w:b/>
          <w:bCs/>
        </w:rPr>
        <w:t xml:space="preserve">: </w:t>
      </w:r>
      <w:r>
        <w:t>Dose response of IPR blocker on treprostinil phosphorylation of HSP20. </w:t>
      </w:r>
    </w:p>
    <w:p w14:paraId="723C774C" w14:textId="77777777" w:rsidR="00CE7F9C" w:rsidRPr="00EA3121" w:rsidRDefault="00CE7F9C" w:rsidP="00CE7F9C">
      <w:pPr>
        <w:jc w:val="both"/>
      </w:pPr>
      <w:r>
        <w:t>HLF were pretreated with an IPR blocker (CAY10441 – 30 min, 10 nM-10 µM), treated with treprostinil (30 min, 10 nM), then stimulated with TGF-β (5 ng/ml, 1 hr) and phosphorylation of HSP20 was assessed (n=4). </w:t>
      </w:r>
    </w:p>
    <w:p w14:paraId="14B99D64" w14:textId="77777777" w:rsidR="00CE7F9C" w:rsidRDefault="00CE7F9C" w:rsidP="00CE7F9C"/>
    <w:p w14:paraId="6582C8D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F9C"/>
    <w:rsid w:val="002E281E"/>
    <w:rsid w:val="003201BB"/>
    <w:rsid w:val="00865217"/>
    <w:rsid w:val="00A55BE8"/>
    <w:rsid w:val="00CE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0E675"/>
  <w15:chartTrackingRefBased/>
  <w15:docId w15:val="{F6478557-BEDE-4DBD-9037-51069898A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F9C"/>
  </w:style>
  <w:style w:type="paragraph" w:styleId="Heading1">
    <w:name w:val="heading 1"/>
    <w:basedOn w:val="Normal"/>
    <w:next w:val="Normal"/>
    <w:link w:val="Heading1Char"/>
    <w:uiPriority w:val="9"/>
    <w:qFormat/>
    <w:rsid w:val="00CE7F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F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F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F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F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F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F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F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F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F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F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F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F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F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F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F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F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F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F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7F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F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7F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F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7F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F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7F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F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F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F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1032</Characters>
  <Application>Microsoft Office Word</Application>
  <DocSecurity>0</DocSecurity>
  <Lines>8</Lines>
  <Paragraphs>2</Paragraphs>
  <ScaleCrop>false</ScaleCrop>
  <Company>Springer Nature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2025-08-22T10:39:00Z</dcterms:created>
  <dcterms:modified xsi:type="dcterms:W3CDTF">2025-08-22T10:39:00Z</dcterms:modified>
</cp:coreProperties>
</file>