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ED6DCB" w14:textId="5D1267FD" w:rsidR="009171AD" w:rsidRPr="00220C33" w:rsidRDefault="009171AD" w:rsidP="009171AD">
      <w:pPr>
        <w:pStyle w:val="Beschriftung"/>
        <w:keepNext/>
        <w:rPr>
          <w:rFonts w:ascii="Arial" w:hAnsi="Arial" w:cs="Arial"/>
          <w:color w:val="auto"/>
          <w:sz w:val="22"/>
          <w:szCs w:val="22"/>
        </w:rPr>
      </w:pPr>
      <w:bookmarkStart w:id="0" w:name="_Toc30014325"/>
      <w:r w:rsidRPr="00220C33">
        <w:rPr>
          <w:rFonts w:ascii="Arial" w:hAnsi="Arial" w:cs="Arial"/>
          <w:b/>
          <w:bCs/>
          <w:color w:val="auto"/>
          <w:sz w:val="22"/>
          <w:szCs w:val="22"/>
        </w:rPr>
        <w:t>Table S1:</w:t>
      </w:r>
      <w:r w:rsidRPr="00220C33">
        <w:rPr>
          <w:rFonts w:ascii="Arial" w:hAnsi="Arial" w:cs="Arial"/>
          <w:color w:val="auto"/>
          <w:sz w:val="22"/>
          <w:szCs w:val="22"/>
        </w:rPr>
        <w:t xml:space="preserve"> Overview of the RFS rates for all patients and group analyses</w:t>
      </w:r>
      <w:bookmarkEnd w:id="0"/>
    </w:p>
    <w:tbl>
      <w:tblPr>
        <w:tblStyle w:val="Tabellenraster"/>
        <w:tblW w:w="9236" w:type="dxa"/>
        <w:tblLook w:val="04A0" w:firstRow="1" w:lastRow="0" w:firstColumn="1" w:lastColumn="0" w:noHBand="0" w:noVBand="1"/>
      </w:tblPr>
      <w:tblGrid>
        <w:gridCol w:w="3114"/>
        <w:gridCol w:w="1417"/>
        <w:gridCol w:w="1417"/>
        <w:gridCol w:w="1418"/>
        <w:gridCol w:w="1870"/>
      </w:tblGrid>
      <w:tr w:rsidR="00220C33" w:rsidRPr="00220C33" w14:paraId="559F6C09" w14:textId="77777777" w:rsidTr="005E3B00">
        <w:tc>
          <w:tcPr>
            <w:tcW w:w="31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4BC5318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220C33">
              <w:rPr>
                <w:rFonts w:ascii="Arial" w:hAnsi="Arial" w:cs="Arial"/>
                <w:b/>
                <w:bCs/>
                <w:lang w:val="en-GB"/>
              </w:rPr>
              <w:t>Patient Groups (number of transplants/patients)</w:t>
            </w:r>
          </w:p>
        </w:tc>
        <w:tc>
          <w:tcPr>
            <w:tcW w:w="4252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7CC851A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220C33">
              <w:rPr>
                <w:rFonts w:ascii="Arial" w:hAnsi="Arial" w:cs="Arial"/>
                <w:b/>
                <w:bCs/>
              </w:rPr>
              <w:t>Relapse-Free Survival (%)</w:t>
            </w:r>
          </w:p>
        </w:tc>
        <w:tc>
          <w:tcPr>
            <w:tcW w:w="187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C1B17EE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220C33">
              <w:rPr>
                <w:rFonts w:ascii="Arial" w:hAnsi="Arial" w:cs="Arial"/>
                <w:b/>
                <w:bCs/>
                <w:i/>
                <w:iCs/>
                <w:lang w:val="en-GB"/>
              </w:rPr>
              <w:t>P</w:t>
            </w:r>
            <w:r w:rsidRPr="00220C33">
              <w:rPr>
                <w:rFonts w:ascii="Arial" w:hAnsi="Arial" w:cs="Arial"/>
                <w:b/>
                <w:bCs/>
                <w:lang w:val="en-GB"/>
              </w:rPr>
              <w:t>-value</w:t>
            </w:r>
          </w:p>
          <w:p w14:paraId="0671C501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  <w:b/>
                <w:bCs/>
                <w:lang w:val="en-GB"/>
              </w:rPr>
            </w:pPr>
            <w:r w:rsidRPr="00220C33">
              <w:rPr>
                <w:rFonts w:ascii="Arial" w:hAnsi="Arial" w:cs="Arial"/>
                <w:b/>
                <w:bCs/>
                <w:lang w:val="en-GB"/>
              </w:rPr>
              <w:t>(log-rank test)</w:t>
            </w:r>
          </w:p>
        </w:tc>
      </w:tr>
      <w:tr w:rsidR="00220C33" w:rsidRPr="00220C33" w14:paraId="163229B7" w14:textId="77777777" w:rsidTr="005E3B00">
        <w:tc>
          <w:tcPr>
            <w:tcW w:w="3114" w:type="dxa"/>
            <w:tcBorders>
              <w:top w:val="single" w:sz="12" w:space="0" w:color="auto"/>
            </w:tcBorders>
            <w:shd w:val="clear" w:color="auto" w:fill="auto"/>
          </w:tcPr>
          <w:p w14:paraId="600089B5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  <w:lang w:val="en-GB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</w:tcPr>
          <w:p w14:paraId="0FAFC8F0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  <w:u w:val="single"/>
              </w:rPr>
            </w:pPr>
            <w:r w:rsidRPr="00220C33">
              <w:rPr>
                <w:rFonts w:ascii="Arial" w:hAnsi="Arial" w:cs="Arial"/>
                <w:u w:val="single"/>
              </w:rPr>
              <w:t>One-year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</w:tcPr>
          <w:p w14:paraId="65BC4D0B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  <w:u w:val="single"/>
              </w:rPr>
            </w:pPr>
            <w:r w:rsidRPr="00220C33">
              <w:rPr>
                <w:rFonts w:ascii="Arial" w:hAnsi="Arial" w:cs="Arial"/>
                <w:u w:val="single"/>
              </w:rPr>
              <w:t>Two-year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</w:tcPr>
          <w:p w14:paraId="03E47F22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  <w:u w:val="single"/>
              </w:rPr>
            </w:pPr>
            <w:r w:rsidRPr="00220C33">
              <w:rPr>
                <w:rFonts w:ascii="Arial" w:hAnsi="Arial" w:cs="Arial"/>
                <w:u w:val="single"/>
              </w:rPr>
              <w:t>Three-year</w:t>
            </w:r>
          </w:p>
        </w:tc>
        <w:tc>
          <w:tcPr>
            <w:tcW w:w="1870" w:type="dxa"/>
            <w:tcBorders>
              <w:top w:val="single" w:sz="12" w:space="0" w:color="auto"/>
            </w:tcBorders>
            <w:shd w:val="clear" w:color="auto" w:fill="auto"/>
          </w:tcPr>
          <w:p w14:paraId="6FEDF08C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  <w:u w:val="single"/>
              </w:rPr>
            </w:pPr>
          </w:p>
        </w:tc>
      </w:tr>
      <w:tr w:rsidR="00220C33" w:rsidRPr="00220C33" w14:paraId="483D66D3" w14:textId="77777777" w:rsidTr="005E3B00">
        <w:tc>
          <w:tcPr>
            <w:tcW w:w="3114" w:type="dxa"/>
            <w:shd w:val="clear" w:color="auto" w:fill="auto"/>
          </w:tcPr>
          <w:p w14:paraId="1D7718E4" w14:textId="6FBA650F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bookmarkStart w:id="1" w:name="_GoBack"/>
            <w:r w:rsidRPr="00AB4D37">
              <w:rPr>
                <w:rFonts w:ascii="Arial" w:hAnsi="Arial" w:cs="Arial"/>
              </w:rPr>
              <w:t xml:space="preserve">All </w:t>
            </w:r>
            <w:r w:rsidR="00A52ABA" w:rsidRPr="00AB4D37">
              <w:rPr>
                <w:rFonts w:ascii="Arial" w:hAnsi="Arial" w:cs="Arial"/>
              </w:rPr>
              <w:t>transplanted patients</w:t>
            </w:r>
            <w:r w:rsidRPr="00AB4D37">
              <w:rPr>
                <w:rFonts w:ascii="Arial" w:hAnsi="Arial" w:cs="Arial"/>
              </w:rPr>
              <w:t xml:space="preserve"> (</w:t>
            </w:r>
            <w:r w:rsidR="00C61528" w:rsidRPr="00AB4D37">
              <w:rPr>
                <w:rFonts w:ascii="Arial" w:hAnsi="Arial" w:cs="Arial"/>
              </w:rPr>
              <w:t>80</w:t>
            </w:r>
            <w:bookmarkEnd w:id="1"/>
            <w:r w:rsidRPr="00220C33">
              <w:rPr>
                <w:rFonts w:ascii="Arial" w:hAnsi="Arial" w:cs="Arial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7D029A46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47.5</w:t>
            </w:r>
          </w:p>
        </w:tc>
        <w:tc>
          <w:tcPr>
            <w:tcW w:w="1417" w:type="dxa"/>
            <w:shd w:val="clear" w:color="auto" w:fill="auto"/>
          </w:tcPr>
          <w:p w14:paraId="67E55927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40.7</w:t>
            </w:r>
          </w:p>
        </w:tc>
        <w:tc>
          <w:tcPr>
            <w:tcW w:w="1418" w:type="dxa"/>
            <w:shd w:val="clear" w:color="auto" w:fill="auto"/>
          </w:tcPr>
          <w:p w14:paraId="649A1265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37.3</w:t>
            </w:r>
          </w:p>
        </w:tc>
        <w:tc>
          <w:tcPr>
            <w:tcW w:w="1870" w:type="dxa"/>
            <w:shd w:val="clear" w:color="auto" w:fill="auto"/>
          </w:tcPr>
          <w:p w14:paraId="05C095BF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  <w:highlight w:val="yellow"/>
              </w:rPr>
            </w:pPr>
          </w:p>
        </w:tc>
      </w:tr>
      <w:tr w:rsidR="00220C33" w:rsidRPr="00220C33" w14:paraId="05F73161" w14:textId="77777777" w:rsidTr="005E3B00">
        <w:tc>
          <w:tcPr>
            <w:tcW w:w="3114" w:type="dxa"/>
            <w:shd w:val="clear" w:color="auto" w:fill="auto"/>
          </w:tcPr>
          <w:p w14:paraId="769E8D75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MUD (49)</w:t>
            </w:r>
          </w:p>
          <w:p w14:paraId="3BA5B56B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MRD (21)</w:t>
            </w:r>
          </w:p>
          <w:p w14:paraId="5F2DA3B5" w14:textId="78DB827E" w:rsidR="004230E8" w:rsidRPr="00220C33" w:rsidRDefault="00C6152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M</w:t>
            </w:r>
            <w:r w:rsidR="004230E8" w:rsidRPr="00220C33">
              <w:rPr>
                <w:rFonts w:ascii="Arial" w:hAnsi="Arial" w:cs="Arial"/>
              </w:rPr>
              <w:t>MUD (10)</w:t>
            </w:r>
          </w:p>
        </w:tc>
        <w:tc>
          <w:tcPr>
            <w:tcW w:w="1417" w:type="dxa"/>
            <w:shd w:val="clear" w:color="auto" w:fill="auto"/>
          </w:tcPr>
          <w:p w14:paraId="74EE4EC9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46.9</w:t>
            </w:r>
          </w:p>
          <w:p w14:paraId="755174C5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52.4</w:t>
            </w:r>
          </w:p>
          <w:p w14:paraId="50F99E3B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40.0</w:t>
            </w:r>
          </w:p>
        </w:tc>
        <w:tc>
          <w:tcPr>
            <w:tcW w:w="1417" w:type="dxa"/>
            <w:shd w:val="clear" w:color="auto" w:fill="auto"/>
          </w:tcPr>
          <w:p w14:paraId="1338103B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38.0</w:t>
            </w:r>
          </w:p>
          <w:p w14:paraId="68D37642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47.1</w:t>
            </w:r>
          </w:p>
          <w:p w14:paraId="136C9F1E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40.0</w:t>
            </w:r>
          </w:p>
        </w:tc>
        <w:tc>
          <w:tcPr>
            <w:tcW w:w="1418" w:type="dxa"/>
            <w:shd w:val="clear" w:color="auto" w:fill="auto"/>
          </w:tcPr>
          <w:p w14:paraId="4920ECE8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35.4</w:t>
            </w:r>
          </w:p>
          <w:p w14:paraId="0F2D642A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39.3</w:t>
            </w:r>
          </w:p>
          <w:p w14:paraId="5B68579A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40.0</w:t>
            </w:r>
          </w:p>
        </w:tc>
        <w:tc>
          <w:tcPr>
            <w:tcW w:w="1870" w:type="dxa"/>
            <w:shd w:val="clear" w:color="auto" w:fill="auto"/>
          </w:tcPr>
          <w:p w14:paraId="4CF59F90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0.76</w:t>
            </w:r>
          </w:p>
        </w:tc>
      </w:tr>
      <w:tr w:rsidR="00220C33" w:rsidRPr="00220C33" w14:paraId="093D09AB" w14:textId="77777777" w:rsidTr="005E3B00">
        <w:tc>
          <w:tcPr>
            <w:tcW w:w="3114" w:type="dxa"/>
            <w:shd w:val="clear" w:color="auto" w:fill="auto"/>
          </w:tcPr>
          <w:p w14:paraId="772E1673" w14:textId="61D2B0AA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CR (37)</w:t>
            </w:r>
          </w:p>
          <w:p w14:paraId="3E202D2B" w14:textId="017DB24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Non-CR (43)</w:t>
            </w:r>
          </w:p>
        </w:tc>
        <w:tc>
          <w:tcPr>
            <w:tcW w:w="1417" w:type="dxa"/>
            <w:shd w:val="clear" w:color="auto" w:fill="auto"/>
          </w:tcPr>
          <w:p w14:paraId="737199F8" w14:textId="055CF58D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48.6</w:t>
            </w:r>
          </w:p>
          <w:p w14:paraId="682CA6A4" w14:textId="7609F9FA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46.5</w:t>
            </w:r>
          </w:p>
        </w:tc>
        <w:tc>
          <w:tcPr>
            <w:tcW w:w="1417" w:type="dxa"/>
            <w:shd w:val="clear" w:color="auto" w:fill="auto"/>
          </w:tcPr>
          <w:p w14:paraId="1401E2FB" w14:textId="736B4A16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37.5</w:t>
            </w:r>
          </w:p>
          <w:p w14:paraId="276D8543" w14:textId="4860BA69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41.5</w:t>
            </w:r>
          </w:p>
        </w:tc>
        <w:tc>
          <w:tcPr>
            <w:tcW w:w="1418" w:type="dxa"/>
            <w:shd w:val="clear" w:color="auto" w:fill="auto"/>
          </w:tcPr>
          <w:p w14:paraId="2F9E1928" w14:textId="4AD4253E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34.1</w:t>
            </w:r>
          </w:p>
          <w:p w14:paraId="5F37E7C0" w14:textId="37722F26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38.0</w:t>
            </w:r>
          </w:p>
        </w:tc>
        <w:tc>
          <w:tcPr>
            <w:tcW w:w="1870" w:type="dxa"/>
            <w:shd w:val="clear" w:color="auto" w:fill="auto"/>
          </w:tcPr>
          <w:p w14:paraId="7EC290E1" w14:textId="79697181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0.907</w:t>
            </w:r>
          </w:p>
        </w:tc>
      </w:tr>
      <w:tr w:rsidR="00220C33" w:rsidRPr="00220C33" w14:paraId="4EE851AB" w14:textId="77777777" w:rsidTr="005E3B00">
        <w:tc>
          <w:tcPr>
            <w:tcW w:w="3114" w:type="dxa"/>
            <w:shd w:val="clear" w:color="auto" w:fill="auto"/>
          </w:tcPr>
          <w:p w14:paraId="05A89767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&lt;50 years (27)</w:t>
            </w:r>
          </w:p>
          <w:p w14:paraId="2FC4F953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≥50 years (53)</w:t>
            </w:r>
          </w:p>
        </w:tc>
        <w:tc>
          <w:tcPr>
            <w:tcW w:w="1417" w:type="dxa"/>
            <w:shd w:val="clear" w:color="auto" w:fill="auto"/>
          </w:tcPr>
          <w:p w14:paraId="329DB3C1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44.4</w:t>
            </w:r>
          </w:p>
          <w:p w14:paraId="6705BB58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49.1</w:t>
            </w:r>
          </w:p>
        </w:tc>
        <w:tc>
          <w:tcPr>
            <w:tcW w:w="1417" w:type="dxa"/>
            <w:shd w:val="clear" w:color="auto" w:fill="auto"/>
          </w:tcPr>
          <w:p w14:paraId="61F0FCB4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37.0</w:t>
            </w:r>
          </w:p>
          <w:p w14:paraId="751B6825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43.1</w:t>
            </w:r>
          </w:p>
        </w:tc>
        <w:tc>
          <w:tcPr>
            <w:tcW w:w="1418" w:type="dxa"/>
            <w:shd w:val="clear" w:color="auto" w:fill="auto"/>
          </w:tcPr>
          <w:p w14:paraId="37773CB7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33.3</w:t>
            </w:r>
          </w:p>
          <w:p w14:paraId="74611A42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40.2</w:t>
            </w:r>
          </w:p>
        </w:tc>
        <w:tc>
          <w:tcPr>
            <w:tcW w:w="1870" w:type="dxa"/>
            <w:shd w:val="clear" w:color="auto" w:fill="auto"/>
          </w:tcPr>
          <w:p w14:paraId="4C3957C0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0.969</w:t>
            </w:r>
          </w:p>
        </w:tc>
      </w:tr>
      <w:tr w:rsidR="004230E8" w:rsidRPr="00220C33" w14:paraId="6985A090" w14:textId="77777777" w:rsidTr="005E3B00">
        <w:tc>
          <w:tcPr>
            <w:tcW w:w="3114" w:type="dxa"/>
            <w:shd w:val="clear" w:color="auto" w:fill="auto"/>
          </w:tcPr>
          <w:p w14:paraId="4191DCB2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AML patients (58)</w:t>
            </w:r>
          </w:p>
        </w:tc>
        <w:tc>
          <w:tcPr>
            <w:tcW w:w="1417" w:type="dxa"/>
            <w:shd w:val="clear" w:color="auto" w:fill="auto"/>
          </w:tcPr>
          <w:p w14:paraId="13CC6EC2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43.3</w:t>
            </w:r>
          </w:p>
        </w:tc>
        <w:tc>
          <w:tcPr>
            <w:tcW w:w="1417" w:type="dxa"/>
            <w:shd w:val="clear" w:color="auto" w:fill="auto"/>
          </w:tcPr>
          <w:p w14:paraId="24C1D701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38.1</w:t>
            </w:r>
          </w:p>
        </w:tc>
        <w:tc>
          <w:tcPr>
            <w:tcW w:w="1418" w:type="dxa"/>
            <w:shd w:val="clear" w:color="auto" w:fill="auto"/>
          </w:tcPr>
          <w:p w14:paraId="3B6202A0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  <w:r w:rsidRPr="00220C33">
              <w:rPr>
                <w:rFonts w:ascii="Arial" w:hAnsi="Arial" w:cs="Arial"/>
              </w:rPr>
              <w:t>33.5</w:t>
            </w:r>
          </w:p>
        </w:tc>
        <w:tc>
          <w:tcPr>
            <w:tcW w:w="1870" w:type="dxa"/>
            <w:shd w:val="clear" w:color="auto" w:fill="auto"/>
          </w:tcPr>
          <w:p w14:paraId="3A0B95FB" w14:textId="77777777" w:rsidR="004230E8" w:rsidRPr="00220C33" w:rsidRDefault="004230E8" w:rsidP="005E3B00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3ED248D1" w14:textId="77777777" w:rsidR="00D568DB" w:rsidRPr="003F5EFB" w:rsidRDefault="00D568DB" w:rsidP="00D568DB">
      <w:pPr>
        <w:jc w:val="both"/>
        <w:rPr>
          <w:lang w:val="en-US"/>
        </w:rPr>
      </w:pPr>
      <w:r w:rsidRPr="003F5EFB">
        <w:rPr>
          <w:rFonts w:ascii="Arial" w:hAnsi="Arial" w:cs="Arial"/>
          <w:sz w:val="24"/>
          <w:szCs w:val="24"/>
          <w:lang w:val="en-US"/>
        </w:rPr>
        <w:t>AML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3F5EFB">
        <w:rPr>
          <w:rFonts w:ascii="Arial" w:hAnsi="Arial" w:cs="Arial"/>
          <w:sz w:val="24"/>
          <w:szCs w:val="24"/>
          <w:lang w:val="en-US"/>
        </w:rPr>
        <w:t xml:space="preserve"> acute myeloid leukemia</w:t>
      </w:r>
      <w:r>
        <w:rPr>
          <w:rFonts w:ascii="Arial" w:hAnsi="Arial" w:cs="Arial"/>
          <w:sz w:val="24"/>
          <w:szCs w:val="24"/>
          <w:lang w:val="en-US"/>
        </w:rPr>
        <w:t xml:space="preserve">; </w:t>
      </w:r>
      <w:r w:rsidRPr="003F5EFB">
        <w:rPr>
          <w:rFonts w:ascii="Arial" w:hAnsi="Arial" w:cs="Arial"/>
          <w:sz w:val="24"/>
          <w:szCs w:val="24"/>
          <w:lang w:val="en-US"/>
        </w:rPr>
        <w:t>CR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3F5EFB">
        <w:rPr>
          <w:rFonts w:ascii="Arial" w:hAnsi="Arial" w:cs="Arial"/>
          <w:sz w:val="24"/>
          <w:szCs w:val="24"/>
          <w:lang w:val="en-US"/>
        </w:rPr>
        <w:t xml:space="preserve"> complete remission</w:t>
      </w:r>
      <w:r>
        <w:rPr>
          <w:rFonts w:ascii="Arial" w:hAnsi="Arial" w:cs="Arial"/>
          <w:sz w:val="24"/>
          <w:szCs w:val="24"/>
          <w:lang w:val="en-US"/>
        </w:rPr>
        <w:t xml:space="preserve">; </w:t>
      </w:r>
      <w:r w:rsidRPr="003F5EFB">
        <w:rPr>
          <w:rFonts w:ascii="Arial" w:hAnsi="Arial" w:cs="Arial"/>
          <w:sz w:val="24"/>
          <w:szCs w:val="24"/>
          <w:lang w:val="en-US"/>
        </w:rPr>
        <w:t>MMUD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3F5EFB">
        <w:rPr>
          <w:rFonts w:ascii="Arial" w:hAnsi="Arial" w:cs="Arial"/>
          <w:sz w:val="24"/>
          <w:szCs w:val="24"/>
          <w:lang w:val="en-US"/>
        </w:rPr>
        <w:t xml:space="preserve"> mismatched unrelated donor</w:t>
      </w:r>
      <w:r>
        <w:rPr>
          <w:rFonts w:ascii="Arial" w:hAnsi="Arial" w:cs="Arial"/>
          <w:sz w:val="24"/>
          <w:szCs w:val="24"/>
          <w:lang w:val="en-US"/>
        </w:rPr>
        <w:t xml:space="preserve">; </w:t>
      </w:r>
      <w:r w:rsidRPr="003F5EFB">
        <w:rPr>
          <w:rFonts w:ascii="Arial" w:hAnsi="Arial" w:cs="Arial"/>
          <w:sz w:val="24"/>
          <w:szCs w:val="24"/>
          <w:lang w:val="en-US"/>
        </w:rPr>
        <w:t>MRD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3F5EFB">
        <w:rPr>
          <w:rFonts w:ascii="Arial" w:hAnsi="Arial" w:cs="Arial"/>
          <w:sz w:val="24"/>
          <w:szCs w:val="24"/>
          <w:lang w:val="en-US"/>
        </w:rPr>
        <w:t xml:space="preserve"> matched-related donor</w:t>
      </w:r>
      <w:r>
        <w:rPr>
          <w:rFonts w:ascii="Arial" w:hAnsi="Arial" w:cs="Arial"/>
          <w:sz w:val="24"/>
          <w:szCs w:val="24"/>
          <w:lang w:val="en-US"/>
        </w:rPr>
        <w:t xml:space="preserve">; </w:t>
      </w:r>
      <w:r w:rsidRPr="003F5EFB">
        <w:rPr>
          <w:rFonts w:ascii="Arial" w:hAnsi="Arial" w:cs="Arial"/>
          <w:sz w:val="24"/>
          <w:szCs w:val="24"/>
          <w:lang w:val="en-US"/>
        </w:rPr>
        <w:t>MUD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3F5EFB">
        <w:rPr>
          <w:rFonts w:ascii="Arial" w:hAnsi="Arial" w:cs="Arial"/>
          <w:sz w:val="24"/>
          <w:szCs w:val="24"/>
          <w:lang w:val="en-US"/>
        </w:rPr>
        <w:t xml:space="preserve"> matched-unrelated donor</w:t>
      </w:r>
      <w:r>
        <w:rPr>
          <w:rFonts w:ascii="Arial" w:hAnsi="Arial" w:cs="Arial"/>
          <w:sz w:val="24"/>
          <w:szCs w:val="24"/>
          <w:lang w:val="en-US"/>
        </w:rPr>
        <w:t>.</w:t>
      </w:r>
    </w:p>
    <w:p w14:paraId="703B4E55" w14:textId="44A1F1FA" w:rsidR="004230E8" w:rsidRPr="00D568DB" w:rsidRDefault="004230E8">
      <w:pPr>
        <w:rPr>
          <w:lang w:val="en-US"/>
        </w:rPr>
      </w:pPr>
    </w:p>
    <w:p w14:paraId="08D4FC0E" w14:textId="0E4B8AD5" w:rsidR="009171AD" w:rsidRPr="00220C33" w:rsidRDefault="009171AD" w:rsidP="009171AD">
      <w:pPr>
        <w:pStyle w:val="Beschriftung"/>
        <w:keepNext/>
        <w:rPr>
          <w:rFonts w:ascii="Arial" w:hAnsi="Arial" w:cs="Arial"/>
          <w:color w:val="auto"/>
          <w:sz w:val="22"/>
          <w:szCs w:val="22"/>
        </w:rPr>
      </w:pPr>
      <w:r w:rsidRPr="00220C33">
        <w:rPr>
          <w:rFonts w:ascii="Arial" w:hAnsi="Arial" w:cs="Arial"/>
          <w:b/>
          <w:bCs/>
          <w:color w:val="auto"/>
          <w:sz w:val="22"/>
          <w:szCs w:val="22"/>
        </w:rPr>
        <w:t>Table S2:</w:t>
      </w:r>
      <w:r w:rsidRPr="00220C33">
        <w:rPr>
          <w:rFonts w:ascii="Arial" w:hAnsi="Arial" w:cs="Arial"/>
          <w:color w:val="auto"/>
          <w:sz w:val="22"/>
          <w:szCs w:val="22"/>
        </w:rPr>
        <w:t xml:space="preserve"> Overview of the OS rates for all patients and group analyses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14"/>
        <w:gridCol w:w="1417"/>
        <w:gridCol w:w="1418"/>
        <w:gridCol w:w="1417"/>
        <w:gridCol w:w="1696"/>
      </w:tblGrid>
      <w:tr w:rsidR="00220C33" w:rsidRPr="00220C33" w14:paraId="2EC36F92" w14:textId="77777777" w:rsidTr="009171AD">
        <w:tc>
          <w:tcPr>
            <w:tcW w:w="31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8632FEE" w14:textId="15F0C5C6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b/>
                <w:bCs/>
                <w:szCs w:val="20"/>
                <w:lang w:val="en-GB"/>
              </w:rPr>
            </w:pPr>
            <w:r w:rsidRPr="00BE35F0">
              <w:rPr>
                <w:rFonts w:ascii="Arial" w:hAnsi="Arial" w:cs="Arial"/>
                <w:b/>
                <w:bCs/>
                <w:szCs w:val="20"/>
                <w:lang w:val="en-GB"/>
              </w:rPr>
              <w:t xml:space="preserve">Patient Groups </w:t>
            </w:r>
            <w:r w:rsidRPr="00D568DB">
              <w:rPr>
                <w:rFonts w:ascii="Arial" w:hAnsi="Arial" w:cs="Arial"/>
                <w:b/>
                <w:bCs/>
                <w:szCs w:val="20"/>
                <w:lang w:val="en-GB"/>
              </w:rPr>
              <w:t xml:space="preserve">(number of </w:t>
            </w:r>
            <w:r w:rsidR="00A52ABA" w:rsidRPr="00D568DB">
              <w:rPr>
                <w:rFonts w:ascii="Arial" w:hAnsi="Arial" w:cs="Arial"/>
                <w:b/>
                <w:bCs/>
                <w:szCs w:val="20"/>
                <w:lang w:val="en-GB"/>
              </w:rPr>
              <w:t>transplanted patients</w:t>
            </w:r>
            <w:r w:rsidRPr="00D568DB">
              <w:rPr>
                <w:rFonts w:ascii="Arial" w:hAnsi="Arial" w:cs="Arial"/>
                <w:b/>
                <w:bCs/>
                <w:szCs w:val="20"/>
                <w:lang w:val="en-GB"/>
              </w:rPr>
              <w:t>)</w:t>
            </w:r>
          </w:p>
        </w:tc>
        <w:tc>
          <w:tcPr>
            <w:tcW w:w="4252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0328E3C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b/>
                <w:bCs/>
                <w:szCs w:val="20"/>
              </w:rPr>
            </w:pPr>
            <w:r w:rsidRPr="00BE35F0">
              <w:rPr>
                <w:rFonts w:ascii="Arial" w:hAnsi="Arial" w:cs="Arial"/>
                <w:b/>
                <w:bCs/>
                <w:szCs w:val="20"/>
              </w:rPr>
              <w:t>Overall Survival (%)</w:t>
            </w:r>
          </w:p>
        </w:tc>
        <w:tc>
          <w:tcPr>
            <w:tcW w:w="169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E87664B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b/>
                <w:bCs/>
                <w:szCs w:val="20"/>
                <w:lang w:val="en-GB"/>
              </w:rPr>
            </w:pPr>
            <w:r w:rsidRPr="00BE35F0">
              <w:rPr>
                <w:rFonts w:ascii="Arial" w:hAnsi="Arial" w:cs="Arial"/>
                <w:b/>
                <w:bCs/>
                <w:i/>
                <w:iCs/>
                <w:szCs w:val="20"/>
                <w:lang w:val="en-GB"/>
              </w:rPr>
              <w:t>P</w:t>
            </w:r>
            <w:r w:rsidRPr="00BE35F0">
              <w:rPr>
                <w:rFonts w:ascii="Arial" w:hAnsi="Arial" w:cs="Arial"/>
                <w:b/>
                <w:bCs/>
                <w:szCs w:val="20"/>
                <w:lang w:val="en-GB"/>
              </w:rPr>
              <w:t>-value</w:t>
            </w:r>
          </w:p>
          <w:p w14:paraId="6B6C248F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b/>
                <w:bCs/>
                <w:szCs w:val="20"/>
                <w:lang w:val="en-GB"/>
              </w:rPr>
            </w:pPr>
            <w:r w:rsidRPr="00BE35F0">
              <w:rPr>
                <w:rFonts w:ascii="Arial" w:hAnsi="Arial" w:cs="Arial"/>
                <w:b/>
                <w:bCs/>
                <w:szCs w:val="20"/>
                <w:lang w:val="en-GB"/>
              </w:rPr>
              <w:t>(log-rank test)</w:t>
            </w:r>
          </w:p>
        </w:tc>
      </w:tr>
      <w:tr w:rsidR="00220C33" w:rsidRPr="00220C33" w14:paraId="437FF48C" w14:textId="77777777" w:rsidTr="009171AD">
        <w:tc>
          <w:tcPr>
            <w:tcW w:w="3114" w:type="dxa"/>
            <w:tcBorders>
              <w:top w:val="single" w:sz="12" w:space="0" w:color="auto"/>
            </w:tcBorders>
            <w:shd w:val="clear" w:color="auto" w:fill="auto"/>
          </w:tcPr>
          <w:p w14:paraId="1A9C03FD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  <w:lang w:val="en-GB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</w:tcPr>
          <w:p w14:paraId="6E51D37B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  <w:u w:val="single"/>
              </w:rPr>
            </w:pPr>
            <w:r w:rsidRPr="00BE35F0">
              <w:rPr>
                <w:rFonts w:ascii="Arial" w:hAnsi="Arial" w:cs="Arial"/>
                <w:szCs w:val="20"/>
                <w:u w:val="single"/>
              </w:rPr>
              <w:t>One-year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</w:tcPr>
          <w:p w14:paraId="542AF5F7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  <w:u w:val="single"/>
              </w:rPr>
            </w:pPr>
            <w:r w:rsidRPr="00BE35F0">
              <w:rPr>
                <w:rFonts w:ascii="Arial" w:hAnsi="Arial" w:cs="Arial"/>
                <w:szCs w:val="20"/>
                <w:u w:val="single"/>
              </w:rPr>
              <w:t>Two-year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</w:tcPr>
          <w:p w14:paraId="0F2AEE4F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  <w:u w:val="single"/>
              </w:rPr>
            </w:pPr>
            <w:r w:rsidRPr="00BE35F0">
              <w:rPr>
                <w:rFonts w:ascii="Arial" w:hAnsi="Arial" w:cs="Arial"/>
                <w:szCs w:val="20"/>
                <w:u w:val="single"/>
              </w:rPr>
              <w:t>Three-year</w:t>
            </w:r>
          </w:p>
        </w:tc>
        <w:tc>
          <w:tcPr>
            <w:tcW w:w="1696" w:type="dxa"/>
            <w:tcBorders>
              <w:top w:val="single" w:sz="12" w:space="0" w:color="auto"/>
            </w:tcBorders>
            <w:shd w:val="clear" w:color="auto" w:fill="auto"/>
          </w:tcPr>
          <w:p w14:paraId="7D04FD8D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  <w:u w:val="single"/>
              </w:rPr>
            </w:pPr>
          </w:p>
        </w:tc>
      </w:tr>
      <w:tr w:rsidR="00220C33" w:rsidRPr="00220C33" w14:paraId="656F1C95" w14:textId="77777777" w:rsidTr="009171AD">
        <w:tc>
          <w:tcPr>
            <w:tcW w:w="3114" w:type="dxa"/>
            <w:shd w:val="clear" w:color="auto" w:fill="auto"/>
          </w:tcPr>
          <w:p w14:paraId="1ED56F1C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All patients (77)</w:t>
            </w:r>
          </w:p>
        </w:tc>
        <w:tc>
          <w:tcPr>
            <w:tcW w:w="1417" w:type="dxa"/>
            <w:shd w:val="clear" w:color="auto" w:fill="auto"/>
          </w:tcPr>
          <w:p w14:paraId="7D144D40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59.3</w:t>
            </w:r>
          </w:p>
        </w:tc>
        <w:tc>
          <w:tcPr>
            <w:tcW w:w="1418" w:type="dxa"/>
            <w:shd w:val="clear" w:color="auto" w:fill="auto"/>
          </w:tcPr>
          <w:p w14:paraId="0EE4866A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49.3</w:t>
            </w:r>
          </w:p>
        </w:tc>
        <w:tc>
          <w:tcPr>
            <w:tcW w:w="1417" w:type="dxa"/>
            <w:shd w:val="clear" w:color="auto" w:fill="auto"/>
          </w:tcPr>
          <w:p w14:paraId="70055537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45.4</w:t>
            </w:r>
          </w:p>
        </w:tc>
        <w:tc>
          <w:tcPr>
            <w:tcW w:w="1696" w:type="dxa"/>
            <w:shd w:val="clear" w:color="auto" w:fill="auto"/>
          </w:tcPr>
          <w:p w14:paraId="17A30E7A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</w:p>
        </w:tc>
      </w:tr>
      <w:tr w:rsidR="00220C33" w:rsidRPr="00220C33" w14:paraId="10B7E98D" w14:textId="77777777" w:rsidTr="009171AD">
        <w:tc>
          <w:tcPr>
            <w:tcW w:w="3114" w:type="dxa"/>
            <w:shd w:val="clear" w:color="auto" w:fill="auto"/>
          </w:tcPr>
          <w:p w14:paraId="72A87E28" w14:textId="4292D689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MUD (4</w:t>
            </w:r>
            <w:r w:rsidR="0000218F" w:rsidRPr="00BE35F0">
              <w:rPr>
                <w:rFonts w:ascii="Arial" w:hAnsi="Arial" w:cs="Arial"/>
                <w:szCs w:val="20"/>
              </w:rPr>
              <w:t>8</w:t>
            </w:r>
            <w:r w:rsidRPr="00BE35F0">
              <w:rPr>
                <w:rFonts w:ascii="Arial" w:hAnsi="Arial" w:cs="Arial"/>
                <w:szCs w:val="20"/>
              </w:rPr>
              <w:t>)</w:t>
            </w:r>
          </w:p>
          <w:p w14:paraId="44FCB24D" w14:textId="42AD4CF0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MRD (2</w:t>
            </w:r>
            <w:r w:rsidR="0000218F" w:rsidRPr="00BE35F0">
              <w:rPr>
                <w:rFonts w:ascii="Arial" w:hAnsi="Arial" w:cs="Arial"/>
                <w:szCs w:val="20"/>
              </w:rPr>
              <w:t>0</w:t>
            </w:r>
            <w:r w:rsidRPr="00BE35F0">
              <w:rPr>
                <w:rFonts w:ascii="Arial" w:hAnsi="Arial" w:cs="Arial"/>
                <w:szCs w:val="20"/>
              </w:rPr>
              <w:t>)</w:t>
            </w:r>
          </w:p>
          <w:p w14:paraId="2D5111DC" w14:textId="7049900A" w:rsidR="0096018C" w:rsidRPr="00BE35F0" w:rsidRDefault="00C61528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M</w:t>
            </w:r>
            <w:r w:rsidR="0096018C" w:rsidRPr="00BE35F0">
              <w:rPr>
                <w:rFonts w:ascii="Arial" w:hAnsi="Arial" w:cs="Arial"/>
                <w:szCs w:val="20"/>
              </w:rPr>
              <w:t>MUD (</w:t>
            </w:r>
            <w:r w:rsidR="0000218F" w:rsidRPr="00BE35F0">
              <w:rPr>
                <w:rFonts w:ascii="Arial" w:hAnsi="Arial" w:cs="Arial"/>
                <w:szCs w:val="20"/>
              </w:rPr>
              <w:t>9</w:t>
            </w:r>
            <w:r w:rsidR="0096018C" w:rsidRPr="00BE35F0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1A26EF41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56.8</w:t>
            </w:r>
          </w:p>
          <w:p w14:paraId="62B54B48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70.0</w:t>
            </w:r>
          </w:p>
          <w:p w14:paraId="6015EB9C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48.0</w:t>
            </w:r>
          </w:p>
        </w:tc>
        <w:tc>
          <w:tcPr>
            <w:tcW w:w="1418" w:type="dxa"/>
            <w:shd w:val="clear" w:color="auto" w:fill="auto"/>
          </w:tcPr>
          <w:p w14:paraId="43FCB370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49.9</w:t>
            </w:r>
          </w:p>
          <w:p w14:paraId="507C9B84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48.1</w:t>
            </w:r>
          </w:p>
          <w:p w14:paraId="5766E9E6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48.0</w:t>
            </w:r>
          </w:p>
        </w:tc>
        <w:tc>
          <w:tcPr>
            <w:tcW w:w="1417" w:type="dxa"/>
            <w:shd w:val="clear" w:color="auto" w:fill="auto"/>
          </w:tcPr>
          <w:p w14:paraId="2227F951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46.7</w:t>
            </w:r>
          </w:p>
          <w:p w14:paraId="72946D51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40.1</w:t>
            </w:r>
          </w:p>
          <w:p w14:paraId="4332B4E9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48.0</w:t>
            </w:r>
          </w:p>
        </w:tc>
        <w:tc>
          <w:tcPr>
            <w:tcW w:w="1696" w:type="dxa"/>
            <w:shd w:val="clear" w:color="auto" w:fill="auto"/>
          </w:tcPr>
          <w:p w14:paraId="0B532B7C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0.95</w:t>
            </w:r>
          </w:p>
        </w:tc>
      </w:tr>
      <w:tr w:rsidR="00220C33" w:rsidRPr="00220C33" w14:paraId="2CCFD5F7" w14:textId="77777777" w:rsidTr="009171AD">
        <w:tc>
          <w:tcPr>
            <w:tcW w:w="3114" w:type="dxa"/>
            <w:shd w:val="clear" w:color="auto" w:fill="auto"/>
          </w:tcPr>
          <w:p w14:paraId="7A876DDB" w14:textId="0F7FE850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CR (35)</w:t>
            </w:r>
          </w:p>
          <w:p w14:paraId="388E6E22" w14:textId="1D5053B3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 xml:space="preserve">Non-CR (42) </w:t>
            </w:r>
          </w:p>
        </w:tc>
        <w:tc>
          <w:tcPr>
            <w:tcW w:w="1417" w:type="dxa"/>
            <w:shd w:val="clear" w:color="auto" w:fill="auto"/>
          </w:tcPr>
          <w:p w14:paraId="4B23E6B1" w14:textId="72F86F1B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65.6</w:t>
            </w:r>
          </w:p>
          <w:p w14:paraId="3B55F40F" w14:textId="64C92543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54.3</w:t>
            </w:r>
          </w:p>
        </w:tc>
        <w:tc>
          <w:tcPr>
            <w:tcW w:w="1418" w:type="dxa"/>
            <w:shd w:val="clear" w:color="auto" w:fill="auto"/>
          </w:tcPr>
          <w:p w14:paraId="6B80C288" w14:textId="39672AF6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53.3</w:t>
            </w:r>
          </w:p>
          <w:p w14:paraId="45B3C880" w14:textId="69ABF394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46.2</w:t>
            </w:r>
          </w:p>
        </w:tc>
        <w:tc>
          <w:tcPr>
            <w:tcW w:w="1417" w:type="dxa"/>
            <w:shd w:val="clear" w:color="auto" w:fill="auto"/>
          </w:tcPr>
          <w:p w14:paraId="1D1FC253" w14:textId="4385FE3F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45.1</w:t>
            </w:r>
          </w:p>
          <w:p w14:paraId="666EAC3D" w14:textId="4A42C6F9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46.2</w:t>
            </w:r>
          </w:p>
        </w:tc>
        <w:tc>
          <w:tcPr>
            <w:tcW w:w="1696" w:type="dxa"/>
            <w:shd w:val="clear" w:color="auto" w:fill="auto"/>
          </w:tcPr>
          <w:p w14:paraId="3ED281F1" w14:textId="1D9970FF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0.996</w:t>
            </w:r>
          </w:p>
        </w:tc>
      </w:tr>
      <w:tr w:rsidR="00220C33" w:rsidRPr="00220C33" w14:paraId="2AB43512" w14:textId="77777777" w:rsidTr="009171AD">
        <w:tc>
          <w:tcPr>
            <w:tcW w:w="3114" w:type="dxa"/>
            <w:shd w:val="clear" w:color="auto" w:fill="auto"/>
          </w:tcPr>
          <w:p w14:paraId="3C502F49" w14:textId="79D8ECFB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&lt;50 years (2</w:t>
            </w:r>
            <w:r w:rsidR="004800AE" w:rsidRPr="00BE35F0">
              <w:rPr>
                <w:rFonts w:ascii="Arial" w:hAnsi="Arial" w:cs="Arial"/>
                <w:szCs w:val="20"/>
              </w:rPr>
              <w:t>5</w:t>
            </w:r>
            <w:r w:rsidRPr="00BE35F0">
              <w:rPr>
                <w:rFonts w:ascii="Arial" w:hAnsi="Arial" w:cs="Arial"/>
                <w:szCs w:val="20"/>
              </w:rPr>
              <w:t>)</w:t>
            </w:r>
          </w:p>
          <w:p w14:paraId="6B32D317" w14:textId="61B98668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≥50 years (5</w:t>
            </w:r>
            <w:r w:rsidR="004800AE" w:rsidRPr="00BE35F0">
              <w:rPr>
                <w:rFonts w:ascii="Arial" w:hAnsi="Arial" w:cs="Arial"/>
                <w:szCs w:val="20"/>
              </w:rPr>
              <w:t>2</w:t>
            </w:r>
            <w:r w:rsidRPr="00BE35F0">
              <w:rPr>
                <w:rFonts w:ascii="Arial" w:hAnsi="Arial" w:cs="Arial"/>
                <w:szCs w:val="20"/>
              </w:rPr>
              <w:t>)</w:t>
            </w:r>
          </w:p>
        </w:tc>
        <w:tc>
          <w:tcPr>
            <w:tcW w:w="1417" w:type="dxa"/>
            <w:shd w:val="clear" w:color="auto" w:fill="auto"/>
          </w:tcPr>
          <w:p w14:paraId="17D915D0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58.1</w:t>
            </w:r>
          </w:p>
          <w:p w14:paraId="7E269B29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60.3</w:t>
            </w:r>
          </w:p>
        </w:tc>
        <w:tc>
          <w:tcPr>
            <w:tcW w:w="1418" w:type="dxa"/>
            <w:shd w:val="clear" w:color="auto" w:fill="auto"/>
          </w:tcPr>
          <w:p w14:paraId="2A1B627E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54.2</w:t>
            </w:r>
          </w:p>
          <w:p w14:paraId="779E3324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47.4</w:t>
            </w:r>
          </w:p>
        </w:tc>
        <w:tc>
          <w:tcPr>
            <w:tcW w:w="1417" w:type="dxa"/>
            <w:shd w:val="clear" w:color="auto" w:fill="auto"/>
          </w:tcPr>
          <w:p w14:paraId="0B1CF533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44.4</w:t>
            </w:r>
          </w:p>
          <w:p w14:paraId="70F76896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44.5</w:t>
            </w:r>
          </w:p>
        </w:tc>
        <w:tc>
          <w:tcPr>
            <w:tcW w:w="1696" w:type="dxa"/>
            <w:shd w:val="clear" w:color="auto" w:fill="auto"/>
          </w:tcPr>
          <w:p w14:paraId="5E743222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0.785</w:t>
            </w:r>
          </w:p>
        </w:tc>
      </w:tr>
      <w:tr w:rsidR="0096018C" w:rsidRPr="00220C33" w14:paraId="7EAFCC4F" w14:textId="77777777" w:rsidTr="009171AD">
        <w:tc>
          <w:tcPr>
            <w:tcW w:w="3114" w:type="dxa"/>
            <w:shd w:val="clear" w:color="auto" w:fill="auto"/>
          </w:tcPr>
          <w:p w14:paraId="5E64AA89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AML patients only (58)</w:t>
            </w:r>
          </w:p>
        </w:tc>
        <w:tc>
          <w:tcPr>
            <w:tcW w:w="1417" w:type="dxa"/>
            <w:shd w:val="clear" w:color="auto" w:fill="auto"/>
          </w:tcPr>
          <w:p w14:paraId="56EF300C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56.5</w:t>
            </w:r>
          </w:p>
        </w:tc>
        <w:tc>
          <w:tcPr>
            <w:tcW w:w="1418" w:type="dxa"/>
            <w:shd w:val="clear" w:color="auto" w:fill="auto"/>
          </w:tcPr>
          <w:p w14:paraId="311313E0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48.9</w:t>
            </w:r>
          </w:p>
        </w:tc>
        <w:tc>
          <w:tcPr>
            <w:tcW w:w="1417" w:type="dxa"/>
            <w:shd w:val="clear" w:color="auto" w:fill="auto"/>
          </w:tcPr>
          <w:p w14:paraId="43EE5835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  <w:r w:rsidRPr="00BE35F0">
              <w:rPr>
                <w:rFonts w:ascii="Arial" w:hAnsi="Arial" w:cs="Arial"/>
                <w:szCs w:val="20"/>
              </w:rPr>
              <w:t>43.5</w:t>
            </w:r>
          </w:p>
        </w:tc>
        <w:tc>
          <w:tcPr>
            <w:tcW w:w="1696" w:type="dxa"/>
            <w:shd w:val="clear" w:color="auto" w:fill="auto"/>
          </w:tcPr>
          <w:p w14:paraId="29BACF4F" w14:textId="77777777" w:rsidR="0096018C" w:rsidRPr="00BE35F0" w:rsidRDefault="0096018C" w:rsidP="005E3B00">
            <w:pPr>
              <w:spacing w:line="360" w:lineRule="auto"/>
              <w:rPr>
                <w:rFonts w:ascii="Arial" w:hAnsi="Arial" w:cs="Arial"/>
                <w:szCs w:val="20"/>
              </w:rPr>
            </w:pPr>
          </w:p>
        </w:tc>
      </w:tr>
    </w:tbl>
    <w:p w14:paraId="3A9B721A" w14:textId="77777777" w:rsidR="00D568DB" w:rsidRPr="003F5EFB" w:rsidRDefault="00D568DB" w:rsidP="00D568DB">
      <w:pPr>
        <w:jc w:val="both"/>
        <w:rPr>
          <w:lang w:val="en-US"/>
        </w:rPr>
      </w:pPr>
      <w:r w:rsidRPr="003F5EFB">
        <w:rPr>
          <w:rFonts w:ascii="Arial" w:hAnsi="Arial" w:cs="Arial"/>
          <w:sz w:val="24"/>
          <w:szCs w:val="24"/>
          <w:lang w:val="en-US"/>
        </w:rPr>
        <w:t>AML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3F5EFB">
        <w:rPr>
          <w:rFonts w:ascii="Arial" w:hAnsi="Arial" w:cs="Arial"/>
          <w:sz w:val="24"/>
          <w:szCs w:val="24"/>
          <w:lang w:val="en-US"/>
        </w:rPr>
        <w:t xml:space="preserve"> acute myeloid leukemia</w:t>
      </w:r>
      <w:r>
        <w:rPr>
          <w:rFonts w:ascii="Arial" w:hAnsi="Arial" w:cs="Arial"/>
          <w:sz w:val="24"/>
          <w:szCs w:val="24"/>
          <w:lang w:val="en-US"/>
        </w:rPr>
        <w:t xml:space="preserve">; </w:t>
      </w:r>
      <w:r w:rsidRPr="003F5EFB">
        <w:rPr>
          <w:rFonts w:ascii="Arial" w:hAnsi="Arial" w:cs="Arial"/>
          <w:sz w:val="24"/>
          <w:szCs w:val="24"/>
          <w:lang w:val="en-US"/>
        </w:rPr>
        <w:t>CR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3F5EFB">
        <w:rPr>
          <w:rFonts w:ascii="Arial" w:hAnsi="Arial" w:cs="Arial"/>
          <w:sz w:val="24"/>
          <w:szCs w:val="24"/>
          <w:lang w:val="en-US"/>
        </w:rPr>
        <w:t xml:space="preserve"> complete remission</w:t>
      </w:r>
      <w:r>
        <w:rPr>
          <w:rFonts w:ascii="Arial" w:hAnsi="Arial" w:cs="Arial"/>
          <w:sz w:val="24"/>
          <w:szCs w:val="24"/>
          <w:lang w:val="en-US"/>
        </w:rPr>
        <w:t xml:space="preserve">; </w:t>
      </w:r>
      <w:r w:rsidRPr="003F5EFB">
        <w:rPr>
          <w:rFonts w:ascii="Arial" w:hAnsi="Arial" w:cs="Arial"/>
          <w:sz w:val="24"/>
          <w:szCs w:val="24"/>
          <w:lang w:val="en-US"/>
        </w:rPr>
        <w:t>MMUD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3F5EFB">
        <w:rPr>
          <w:rFonts w:ascii="Arial" w:hAnsi="Arial" w:cs="Arial"/>
          <w:sz w:val="24"/>
          <w:szCs w:val="24"/>
          <w:lang w:val="en-US"/>
        </w:rPr>
        <w:t xml:space="preserve"> mismatched unrelated donor</w:t>
      </w:r>
      <w:r>
        <w:rPr>
          <w:rFonts w:ascii="Arial" w:hAnsi="Arial" w:cs="Arial"/>
          <w:sz w:val="24"/>
          <w:szCs w:val="24"/>
          <w:lang w:val="en-US"/>
        </w:rPr>
        <w:t xml:space="preserve">; </w:t>
      </w:r>
      <w:r w:rsidRPr="003F5EFB">
        <w:rPr>
          <w:rFonts w:ascii="Arial" w:hAnsi="Arial" w:cs="Arial"/>
          <w:sz w:val="24"/>
          <w:szCs w:val="24"/>
          <w:lang w:val="en-US"/>
        </w:rPr>
        <w:t>MRD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3F5EFB">
        <w:rPr>
          <w:rFonts w:ascii="Arial" w:hAnsi="Arial" w:cs="Arial"/>
          <w:sz w:val="24"/>
          <w:szCs w:val="24"/>
          <w:lang w:val="en-US"/>
        </w:rPr>
        <w:t xml:space="preserve"> matched-related donor</w:t>
      </w:r>
      <w:r>
        <w:rPr>
          <w:rFonts w:ascii="Arial" w:hAnsi="Arial" w:cs="Arial"/>
          <w:sz w:val="24"/>
          <w:szCs w:val="24"/>
          <w:lang w:val="en-US"/>
        </w:rPr>
        <w:t xml:space="preserve">; </w:t>
      </w:r>
      <w:r w:rsidRPr="003F5EFB">
        <w:rPr>
          <w:rFonts w:ascii="Arial" w:hAnsi="Arial" w:cs="Arial"/>
          <w:sz w:val="24"/>
          <w:szCs w:val="24"/>
          <w:lang w:val="en-US"/>
        </w:rPr>
        <w:t>MUD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3F5EFB">
        <w:rPr>
          <w:rFonts w:ascii="Arial" w:hAnsi="Arial" w:cs="Arial"/>
          <w:sz w:val="24"/>
          <w:szCs w:val="24"/>
          <w:lang w:val="en-US"/>
        </w:rPr>
        <w:t xml:space="preserve"> matched-unrelated donor</w:t>
      </w:r>
      <w:r>
        <w:rPr>
          <w:rFonts w:ascii="Arial" w:hAnsi="Arial" w:cs="Arial"/>
          <w:sz w:val="24"/>
          <w:szCs w:val="24"/>
          <w:lang w:val="en-US"/>
        </w:rPr>
        <w:t>.</w:t>
      </w:r>
    </w:p>
    <w:p w14:paraId="17BE6D8F" w14:textId="77777777" w:rsidR="00370DE2" w:rsidRPr="00D568DB" w:rsidRDefault="00370DE2" w:rsidP="00D568DB">
      <w:pPr>
        <w:jc w:val="both"/>
        <w:rPr>
          <w:lang w:val="en-US"/>
        </w:rPr>
      </w:pPr>
    </w:p>
    <w:sectPr w:rsidR="00370DE2" w:rsidRPr="00D568D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131078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defaultTabStop w:val="720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0E8"/>
    <w:rsid w:val="0000218F"/>
    <w:rsid w:val="00016D3C"/>
    <w:rsid w:val="000B3BFE"/>
    <w:rsid w:val="00220C33"/>
    <w:rsid w:val="002C3D47"/>
    <w:rsid w:val="003122BE"/>
    <w:rsid w:val="00370DE2"/>
    <w:rsid w:val="004230E8"/>
    <w:rsid w:val="004800AE"/>
    <w:rsid w:val="009171AD"/>
    <w:rsid w:val="0096018C"/>
    <w:rsid w:val="00A52ABA"/>
    <w:rsid w:val="00AA0FDE"/>
    <w:rsid w:val="00AB4D37"/>
    <w:rsid w:val="00BE35F0"/>
    <w:rsid w:val="00C61528"/>
    <w:rsid w:val="00D568DB"/>
    <w:rsid w:val="00ED5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A0BE6"/>
  <w15:docId w15:val="{D068851B-3D0B-DE42-AA62-B28A8E5F5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230E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4230E8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chriftung">
    <w:name w:val="caption"/>
    <w:basedOn w:val="Standard"/>
    <w:next w:val="Standard"/>
    <w:uiPriority w:val="35"/>
    <w:unhideWhenUsed/>
    <w:qFormat/>
    <w:rsid w:val="009171A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568D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568D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568DB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568D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568DB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568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568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Jena</Company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 Henderson</dc:creator>
  <cp:lastModifiedBy>Frietsch, Jochen</cp:lastModifiedBy>
  <cp:revision>4</cp:revision>
  <dcterms:created xsi:type="dcterms:W3CDTF">2021-07-19T04:53:00Z</dcterms:created>
  <dcterms:modified xsi:type="dcterms:W3CDTF">2021-07-19T05:05:00Z</dcterms:modified>
</cp:coreProperties>
</file>