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DBD86" w14:textId="77777777" w:rsidR="00EE768B" w:rsidRPr="00243076" w:rsidRDefault="00EE768B" w:rsidP="00EE768B">
      <w:pPr>
        <w:spacing w:before="120" w:after="120" w:line="360" w:lineRule="auto"/>
        <w:jc w:val="both"/>
        <w:rPr>
          <w:b/>
          <w:bCs/>
          <w:color w:val="000000" w:themeColor="text1"/>
          <w:lang w:val="en-US"/>
        </w:rPr>
      </w:pPr>
      <w:r w:rsidRPr="00243076">
        <w:rPr>
          <w:b/>
          <w:bCs/>
          <w:color w:val="000000" w:themeColor="text1"/>
          <w:lang w:val="en-US"/>
        </w:rPr>
        <w:t>HBK-15 bypasses BDNF via ERK1/2-biased 5-HT</w:t>
      </w:r>
      <w:r w:rsidRPr="00243076">
        <w:rPr>
          <w:b/>
          <w:bCs/>
          <w:color w:val="000000" w:themeColor="text1"/>
          <w:vertAlign w:val="subscript"/>
          <w:lang w:val="en-US"/>
        </w:rPr>
        <w:t>1A</w:t>
      </w:r>
      <w:r w:rsidRPr="00243076">
        <w:rPr>
          <w:b/>
          <w:bCs/>
          <w:color w:val="000000" w:themeColor="text1"/>
          <w:lang w:val="en-US"/>
        </w:rPr>
        <w:t xml:space="preserve"> signaling to deliver </w:t>
      </w:r>
      <w:r>
        <w:rPr>
          <w:b/>
          <w:bCs/>
          <w:color w:val="000000" w:themeColor="text1"/>
          <w:lang w:val="en-US"/>
        </w:rPr>
        <w:t xml:space="preserve">a </w:t>
      </w:r>
      <w:r w:rsidRPr="00243076">
        <w:rPr>
          <w:b/>
          <w:bCs/>
          <w:color w:val="000000" w:themeColor="text1"/>
          <w:lang w:val="en-US"/>
        </w:rPr>
        <w:t>rapid antidepressant-like effect</w:t>
      </w:r>
    </w:p>
    <w:p w14:paraId="297CA289" w14:textId="77777777" w:rsidR="00EE768B" w:rsidRPr="00243076" w:rsidRDefault="00EE768B" w:rsidP="00EE768B">
      <w:pPr>
        <w:spacing w:before="120" w:after="120" w:line="360" w:lineRule="auto"/>
        <w:rPr>
          <w:b/>
          <w:bCs/>
          <w:color w:val="000000" w:themeColor="text1"/>
          <w:lang w:val="en-US"/>
        </w:rPr>
      </w:pPr>
    </w:p>
    <w:p w14:paraId="2D7427FB" w14:textId="58728AE8" w:rsidR="00EE768B" w:rsidRPr="002B7554" w:rsidRDefault="00EE768B" w:rsidP="00EE768B">
      <w:pPr>
        <w:spacing w:before="120" w:after="120" w:line="360" w:lineRule="auto"/>
        <w:jc w:val="both"/>
        <w:rPr>
          <w:color w:val="000000" w:themeColor="text1"/>
          <w:vertAlign w:val="superscript"/>
          <w:lang w:val="en-US"/>
        </w:rPr>
      </w:pPr>
      <w:r w:rsidRPr="002B7554">
        <w:rPr>
          <w:color w:val="000000" w:themeColor="text1"/>
          <w:lang w:val="en-US"/>
        </w:rPr>
        <w:t>Kinga Sałaciak</w:t>
      </w:r>
      <w:r w:rsidRPr="002B7554">
        <w:rPr>
          <w:color w:val="000000" w:themeColor="text1"/>
          <w:vertAlign w:val="superscript"/>
          <w:lang w:val="en-US"/>
        </w:rPr>
        <w:t>1</w:t>
      </w:r>
      <w:r w:rsidRPr="002B7554">
        <w:rPr>
          <w:color w:val="000000" w:themeColor="text1"/>
          <w:lang w:val="en-US"/>
        </w:rPr>
        <w:t>, Angelika Jagielska</w:t>
      </w:r>
      <w:r w:rsidRPr="002B7554">
        <w:rPr>
          <w:color w:val="000000" w:themeColor="text1"/>
          <w:vertAlign w:val="superscript"/>
          <w:lang w:val="en-US"/>
        </w:rPr>
        <w:t>1,2</w:t>
      </w:r>
      <w:r w:rsidRPr="002B7554">
        <w:rPr>
          <w:color w:val="000000" w:themeColor="text1"/>
          <w:lang w:val="en-US"/>
        </w:rPr>
        <w:t>, Klaudia Lustyk</w:t>
      </w:r>
      <w:r w:rsidRPr="002B7554">
        <w:rPr>
          <w:color w:val="000000" w:themeColor="text1"/>
          <w:vertAlign w:val="superscript"/>
          <w:lang w:val="en-US"/>
        </w:rPr>
        <w:t>1</w:t>
      </w:r>
      <w:r w:rsidRPr="002B7554">
        <w:rPr>
          <w:color w:val="000000" w:themeColor="text1"/>
          <w:lang w:val="en-US"/>
        </w:rPr>
        <w:t>,</w:t>
      </w:r>
      <w:r w:rsidRPr="002B7554">
        <w:rPr>
          <w:color w:val="000000" w:themeColor="text1"/>
          <w:vertAlign w:val="superscript"/>
          <w:lang w:val="en-US"/>
        </w:rPr>
        <w:t xml:space="preserve"> </w:t>
      </w:r>
      <w:r w:rsidRPr="002B7554">
        <w:rPr>
          <w:color w:val="000000" w:themeColor="text1"/>
          <w:lang w:val="en-US"/>
        </w:rPr>
        <w:t>Monika Głuch-Lutwin</w:t>
      </w:r>
      <w:r w:rsidRPr="002B7554">
        <w:rPr>
          <w:color w:val="000000" w:themeColor="text1"/>
          <w:vertAlign w:val="superscript"/>
          <w:lang w:val="en-US"/>
        </w:rPr>
        <w:t>3</w:t>
      </w:r>
      <w:r w:rsidRPr="002B7554">
        <w:rPr>
          <w:color w:val="000000" w:themeColor="text1"/>
          <w:lang w:val="en-US"/>
        </w:rPr>
        <w:t>,</w:t>
      </w:r>
      <w:r w:rsidRPr="002B7554">
        <w:rPr>
          <w:color w:val="000000" w:themeColor="text1"/>
          <w:vertAlign w:val="superscript"/>
          <w:lang w:val="en-US"/>
        </w:rPr>
        <w:t xml:space="preserve"> </w:t>
      </w:r>
      <w:r w:rsidRPr="002B7554">
        <w:rPr>
          <w:color w:val="000000" w:themeColor="text1"/>
          <w:lang w:val="en-US"/>
        </w:rPr>
        <w:t>Barbara Mordyl</w:t>
      </w:r>
      <w:r w:rsidRPr="002B7554">
        <w:rPr>
          <w:color w:val="000000" w:themeColor="text1"/>
          <w:vertAlign w:val="superscript"/>
          <w:lang w:val="en-US"/>
        </w:rPr>
        <w:t>3</w:t>
      </w:r>
      <w:r w:rsidRPr="002B7554">
        <w:rPr>
          <w:color w:val="000000" w:themeColor="text1"/>
          <w:lang w:val="en-US"/>
        </w:rPr>
        <w:t>, Elżbieta Żmudzka</w:t>
      </w:r>
      <w:r w:rsidRPr="002B7554">
        <w:rPr>
          <w:color w:val="000000" w:themeColor="text1"/>
          <w:vertAlign w:val="superscript"/>
          <w:lang w:val="en-US"/>
        </w:rPr>
        <w:t>4</w:t>
      </w:r>
      <w:r w:rsidRPr="002B7554">
        <w:rPr>
          <w:color w:val="000000" w:themeColor="text1"/>
          <w:lang w:val="en-US"/>
        </w:rPr>
        <w:t xml:space="preserve">, </w:t>
      </w:r>
      <w:r w:rsidRPr="00674263">
        <w:rPr>
          <w:color w:val="000000" w:themeColor="text1"/>
          <w:lang w:val="en-US"/>
        </w:rPr>
        <w:t>Anna Janus</w:t>
      </w:r>
      <w:r w:rsidRPr="00674263">
        <w:rPr>
          <w:color w:val="000000" w:themeColor="text1"/>
          <w:vertAlign w:val="superscript"/>
          <w:lang w:val="en-US"/>
        </w:rPr>
        <w:t>1,2</w:t>
      </w:r>
      <w:r w:rsidRPr="00674263">
        <w:rPr>
          <w:color w:val="000000" w:themeColor="text1"/>
          <w:lang w:val="en-US"/>
        </w:rPr>
        <w:t>, Aleksandra Koszałka</w:t>
      </w:r>
      <w:r w:rsidRPr="00674263">
        <w:rPr>
          <w:color w:val="000000" w:themeColor="text1"/>
          <w:vertAlign w:val="superscript"/>
          <w:lang w:val="en-US"/>
        </w:rPr>
        <w:t>1,2</w:t>
      </w:r>
      <w:r w:rsidRPr="00674263">
        <w:rPr>
          <w:color w:val="000000" w:themeColor="text1"/>
          <w:lang w:val="en-US"/>
        </w:rPr>
        <w:t>, Jan Detka</w:t>
      </w:r>
      <w:r w:rsidRPr="00674263">
        <w:rPr>
          <w:color w:val="000000" w:themeColor="text1"/>
          <w:vertAlign w:val="superscript"/>
          <w:lang w:val="en-US"/>
        </w:rPr>
        <w:t>5</w:t>
      </w:r>
      <w:r w:rsidRPr="00674263">
        <w:rPr>
          <w:color w:val="000000" w:themeColor="text1"/>
          <w:lang w:val="en-US"/>
        </w:rPr>
        <w:t>,</w:t>
      </w:r>
      <w:r w:rsidRPr="00674263">
        <w:rPr>
          <w:color w:val="000000" w:themeColor="text1"/>
          <w:vertAlign w:val="superscript"/>
          <w:lang w:val="en-US"/>
        </w:rPr>
        <w:t xml:space="preserve"> </w:t>
      </w:r>
      <w:r w:rsidRPr="00674263">
        <w:rPr>
          <w:color w:val="000000" w:themeColor="text1"/>
          <w:lang w:val="en-US"/>
        </w:rPr>
        <w:t>Alicja Skórkowska</w:t>
      </w:r>
      <w:r w:rsidRPr="00674263">
        <w:rPr>
          <w:color w:val="000000" w:themeColor="text1"/>
          <w:vertAlign w:val="superscript"/>
          <w:lang w:val="en-US"/>
        </w:rPr>
        <w:t>6,7</w:t>
      </w:r>
      <w:r w:rsidRPr="00674263">
        <w:rPr>
          <w:color w:val="000000" w:themeColor="text1"/>
          <w:lang w:val="en-US"/>
        </w:rPr>
        <w:t>, Weronika Krzyżanowska</w:t>
      </w:r>
      <w:r w:rsidRPr="00674263">
        <w:rPr>
          <w:color w:val="000000" w:themeColor="text1"/>
          <w:vertAlign w:val="superscript"/>
          <w:lang w:val="en-US"/>
        </w:rPr>
        <w:t>6,7</w:t>
      </w:r>
      <w:r w:rsidRPr="00674263">
        <w:rPr>
          <w:color w:val="000000" w:themeColor="text1"/>
          <w:lang w:val="en-US"/>
        </w:rPr>
        <w:t>, Bartosz Pomierny</w:t>
      </w:r>
      <w:r w:rsidRPr="00674263">
        <w:rPr>
          <w:color w:val="000000" w:themeColor="text1"/>
          <w:vertAlign w:val="superscript"/>
          <w:lang w:val="en-US"/>
        </w:rPr>
        <w:t>6,7</w:t>
      </w:r>
      <w:r w:rsidRPr="00674263">
        <w:rPr>
          <w:color w:val="000000" w:themeColor="text1"/>
          <w:lang w:val="en-US"/>
        </w:rPr>
        <w:t>, Jorge Valero Gómez-Lobo</w:t>
      </w:r>
      <w:r w:rsidRPr="00674263">
        <w:rPr>
          <w:color w:val="000000" w:themeColor="text1"/>
          <w:vertAlign w:val="superscript"/>
          <w:lang w:val="en-US"/>
        </w:rPr>
        <w:t>8,9,10</w:t>
      </w:r>
      <w:r w:rsidRPr="00674263">
        <w:rPr>
          <w:color w:val="000000" w:themeColor="text1"/>
          <w:lang w:val="en-US"/>
        </w:rPr>
        <w:t>, Bila Abdoul Fatahou Kabore</w:t>
      </w:r>
      <w:r w:rsidRPr="00674263">
        <w:rPr>
          <w:color w:val="000000" w:themeColor="text1"/>
          <w:vertAlign w:val="superscript"/>
          <w:lang w:val="en-US"/>
        </w:rPr>
        <w:t>11</w:t>
      </w:r>
      <w:r w:rsidRPr="00674263">
        <w:rPr>
          <w:color w:val="000000" w:themeColor="text1"/>
          <w:lang w:val="en-US"/>
        </w:rPr>
        <w:t>, Séverine Morisset-Lopez</w:t>
      </w:r>
      <w:r w:rsidRPr="00674263">
        <w:rPr>
          <w:color w:val="000000" w:themeColor="text1"/>
          <w:vertAlign w:val="superscript"/>
          <w:lang w:val="en-US"/>
        </w:rPr>
        <w:t>11</w:t>
      </w:r>
      <w:r w:rsidRPr="00674263">
        <w:rPr>
          <w:color w:val="000000" w:themeColor="text1"/>
          <w:lang w:val="en-US"/>
        </w:rPr>
        <w:t>, Karolina Pytka</w:t>
      </w:r>
      <w:r w:rsidRPr="00674263">
        <w:rPr>
          <w:color w:val="000000" w:themeColor="text1"/>
          <w:vertAlign w:val="superscript"/>
          <w:lang w:val="en-US"/>
        </w:rPr>
        <w:t>1*</w:t>
      </w:r>
    </w:p>
    <w:p w14:paraId="5C2E833A" w14:textId="77777777" w:rsidR="00EE768B" w:rsidRPr="00F4735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</w:p>
    <w:p w14:paraId="7F6D2700" w14:textId="77777777" w:rsidR="00EE768B" w:rsidRPr="00F4735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1</w:t>
      </w:r>
      <w:r w:rsidRPr="00F4735B">
        <w:rPr>
          <w:color w:val="000000" w:themeColor="text1"/>
          <w:lang w:val="en-US"/>
        </w:rPr>
        <w:t>Laboratory of Experimental Neuropharmacology, Department of Pharmacodynamics, Faculty of Pharmacy, Jagiellonian University Medical College, 9 Medyczna St, 30-688 Krakow, Poland</w:t>
      </w:r>
    </w:p>
    <w:p w14:paraId="197E3086" w14:textId="77777777" w:rsidR="00EE768B" w:rsidRPr="00F4735B" w:rsidRDefault="00EE768B" w:rsidP="00EE768B">
      <w:pPr>
        <w:spacing w:before="120" w:after="120" w:line="360" w:lineRule="auto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2</w:t>
      </w:r>
      <w:r w:rsidRPr="00F4735B">
        <w:rPr>
          <w:color w:val="000000" w:themeColor="text1"/>
          <w:lang w:val="en-US"/>
        </w:rPr>
        <w:t>Doctoral School of Medical and Health Sciences, Jagiellonian University Medical College, 16 Św. Łazarza St, 31-530 Krakow, Poland</w:t>
      </w:r>
    </w:p>
    <w:p w14:paraId="19185288" w14:textId="77777777" w:rsidR="00EE768B" w:rsidRPr="00F4735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3</w:t>
      </w:r>
      <w:r w:rsidRPr="00F4735B">
        <w:rPr>
          <w:color w:val="000000" w:themeColor="text1"/>
          <w:lang w:val="en-US"/>
        </w:rPr>
        <w:t>Department of Pharmacobiology, Jagiellonian University Medical College, 9 Medyczna St, 30-688 Krakow, Poland</w:t>
      </w:r>
    </w:p>
    <w:p w14:paraId="5522FAAE" w14:textId="77777777" w:rsidR="00EE768B" w:rsidRPr="00F4735B" w:rsidRDefault="00EE768B" w:rsidP="00EE768B">
      <w:pPr>
        <w:spacing w:before="120" w:after="120" w:line="360" w:lineRule="auto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4</w:t>
      </w:r>
      <w:r w:rsidRPr="00F4735B">
        <w:rPr>
          <w:color w:val="000000" w:themeColor="text1"/>
          <w:lang w:val="en-US"/>
        </w:rPr>
        <w:t>Department of Social Pharmacy, Faculty of Pharmacy, Jagiellonian University Medical College, 9 Medyczna St, Krakow, Poland</w:t>
      </w:r>
    </w:p>
    <w:p w14:paraId="39F7C5CB" w14:textId="77777777" w:rsidR="00EE768B" w:rsidRPr="00F4735B" w:rsidRDefault="00EE768B" w:rsidP="00EE768B">
      <w:pPr>
        <w:spacing w:before="120" w:after="120" w:line="360" w:lineRule="auto"/>
        <w:rPr>
          <w:b/>
          <w:bCs/>
          <w:color w:val="000000" w:themeColor="text1"/>
          <w:vertAlign w:val="superscript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5</w:t>
      </w:r>
      <w:r w:rsidRPr="00F4735B">
        <w:rPr>
          <w:color w:val="000000" w:themeColor="text1"/>
          <w:lang w:val="en-US"/>
        </w:rPr>
        <w:t>Department of Pharmacodynamics, Faculty of Pharmacy, Jagiellonian University Medical College, 9 Medyczna St, 30-688 Krakow, Poland</w:t>
      </w:r>
    </w:p>
    <w:p w14:paraId="716BDBC1" w14:textId="77777777" w:rsidR="00EE768B" w:rsidRPr="00F4735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6</w:t>
      </w:r>
      <w:r w:rsidRPr="00F4735B">
        <w:rPr>
          <w:color w:val="000000" w:themeColor="text1"/>
          <w:lang w:val="en-US"/>
        </w:rPr>
        <w:t>Department of Toxicological Biochemistry, Faculty of Pharmacy, Jagiellonian University Medical College, 9 Medyczna St, Krakow, Poland</w:t>
      </w:r>
    </w:p>
    <w:p w14:paraId="51DA613D" w14:textId="77777777" w:rsidR="00EE768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fr-FR"/>
        </w:rPr>
        <w:t>7</w:t>
      </w:r>
      <w:r w:rsidRPr="00F4735B">
        <w:rPr>
          <w:color w:val="000000" w:themeColor="text1"/>
          <w:lang w:val="en-US"/>
        </w:rPr>
        <w:t>Imaging Laboratory, Center for the Development of Therapies for Civilization and Age-Related Diseases, Jagiellonian University Medical College, Poland</w:t>
      </w:r>
    </w:p>
    <w:p w14:paraId="41D1512E" w14:textId="77777777" w:rsidR="00EE768B" w:rsidRPr="00674263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674263">
        <w:rPr>
          <w:color w:val="000000" w:themeColor="text1"/>
          <w:vertAlign w:val="superscript"/>
          <w:lang w:val="en-US"/>
        </w:rPr>
        <w:t>8</w:t>
      </w:r>
      <w:r w:rsidRPr="00674263">
        <w:rPr>
          <w:color w:val="000000" w:themeColor="text1"/>
          <w:lang w:val="en-US"/>
        </w:rPr>
        <w:t>Department of Cell Biology and Pathology, Universidad de Salamanca. Facultad de Medicina. Avd. Campus Miguel de Unamuno. 37007 Salamanca, Spain</w:t>
      </w:r>
    </w:p>
    <w:p w14:paraId="16241A65" w14:textId="77777777" w:rsidR="00EE768B" w:rsidRPr="00674263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674263">
        <w:rPr>
          <w:color w:val="000000" w:themeColor="text1"/>
          <w:vertAlign w:val="superscript"/>
          <w:lang w:val="en-US"/>
        </w:rPr>
        <w:t>9</w:t>
      </w:r>
      <w:r w:rsidRPr="00674263">
        <w:rPr>
          <w:color w:val="000000" w:themeColor="text1"/>
          <w:lang w:val="en-US"/>
        </w:rPr>
        <w:t>Laboratory of Neuronal Plasticity and Neurorrepair. Institute for Neuroscience of Castilla y León, Univesidad de Salamanca. C/ Pintor Fernando Gallego, 1, 37007, Salamanca, Spain</w:t>
      </w:r>
    </w:p>
    <w:p w14:paraId="02154F84" w14:textId="77777777" w:rsidR="00EE768B" w:rsidRPr="002B7554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674263">
        <w:rPr>
          <w:color w:val="000000" w:themeColor="text1"/>
          <w:vertAlign w:val="superscript"/>
          <w:lang w:val="en-US"/>
        </w:rPr>
        <w:t>10</w:t>
      </w:r>
      <w:r w:rsidRPr="00674263">
        <w:rPr>
          <w:color w:val="000000" w:themeColor="text1"/>
          <w:lang w:val="en-US"/>
        </w:rPr>
        <w:t>TGYC-03-Laboratory of Neuronal Plasticity and Neurorrepair, Institute of Biomedical Research of Salamanca. Edificio Virgen de la Vega, 10.ª planta</w:t>
      </w:r>
      <w:r w:rsidRPr="00674263">
        <w:rPr>
          <w:color w:val="000000" w:themeColor="text1"/>
          <w:lang w:val="en-US"/>
        </w:rPr>
        <w:br/>
        <w:t>Pº de San Vicente, 58-182. 37007 Salamanca, Spain</w:t>
      </w:r>
    </w:p>
    <w:p w14:paraId="06981E9F" w14:textId="77777777" w:rsidR="00EE768B" w:rsidRPr="00F4735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</w:p>
    <w:p w14:paraId="14DB7EED" w14:textId="77777777" w:rsidR="00EE768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vertAlign w:val="superscript"/>
          <w:lang w:val="fr-FR"/>
        </w:rPr>
        <w:t>11</w:t>
      </w:r>
      <w:r w:rsidRPr="00F4735B">
        <w:rPr>
          <w:color w:val="000000" w:themeColor="text1"/>
          <w:lang w:val="fr-FR"/>
        </w:rPr>
        <w:t>Centre de Biophysique Moléculaire, CNRS UPR 4301, Université</w:t>
      </w:r>
      <w:r w:rsidRPr="00243076">
        <w:rPr>
          <w:color w:val="000000" w:themeColor="text1"/>
          <w:lang w:val="fr-FR"/>
        </w:rPr>
        <w:t xml:space="preserve"> d’Orléans, rue Charles </w:t>
      </w:r>
      <w:r w:rsidRPr="00A30EDE">
        <w:rPr>
          <w:color w:val="000000" w:themeColor="text1"/>
          <w:lang w:val="en-US"/>
        </w:rPr>
        <w:t>Sadron, 45071 Orléans Cedex 2, France</w:t>
      </w:r>
    </w:p>
    <w:p w14:paraId="43A1074E" w14:textId="77777777" w:rsidR="00EE768B" w:rsidRPr="006E6EC2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</w:p>
    <w:p w14:paraId="13A2154A" w14:textId="77777777" w:rsidR="00EE768B" w:rsidRPr="00243076" w:rsidRDefault="00EE768B" w:rsidP="00EE768B">
      <w:pPr>
        <w:spacing w:before="120" w:after="120" w:line="360" w:lineRule="auto"/>
        <w:jc w:val="both"/>
        <w:rPr>
          <w:b/>
          <w:bCs/>
          <w:color w:val="000000" w:themeColor="text1"/>
          <w:lang w:val="it-IT"/>
        </w:rPr>
      </w:pPr>
      <w:r w:rsidRPr="00243076">
        <w:rPr>
          <w:b/>
          <w:bCs/>
          <w:color w:val="000000" w:themeColor="text1"/>
          <w:vertAlign w:val="superscript"/>
          <w:lang w:val="it-IT"/>
        </w:rPr>
        <w:t>*</w:t>
      </w:r>
      <w:r w:rsidRPr="00243076">
        <w:rPr>
          <w:b/>
          <w:bCs/>
          <w:color w:val="000000" w:themeColor="text1"/>
          <w:lang w:val="it-IT"/>
        </w:rPr>
        <w:t>Corresponding Author:</w:t>
      </w:r>
    </w:p>
    <w:p w14:paraId="4C1780DD" w14:textId="77777777" w:rsidR="00EE768B" w:rsidRPr="00243076" w:rsidRDefault="00EE768B" w:rsidP="00EE768B">
      <w:pPr>
        <w:spacing w:before="120" w:after="120" w:line="360" w:lineRule="auto"/>
        <w:jc w:val="both"/>
        <w:rPr>
          <w:color w:val="000000" w:themeColor="text1"/>
          <w:lang w:val="it-IT"/>
        </w:rPr>
      </w:pPr>
      <w:r w:rsidRPr="00243076">
        <w:rPr>
          <w:color w:val="000000" w:themeColor="text1"/>
          <w:lang w:val="it-IT"/>
        </w:rPr>
        <w:t>Karolina Pytka</w:t>
      </w:r>
    </w:p>
    <w:p w14:paraId="3CB774FA" w14:textId="77777777" w:rsidR="00EE768B" w:rsidRPr="00243076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243076">
        <w:rPr>
          <w:color w:val="000000" w:themeColor="text1"/>
          <w:lang w:val="en-US"/>
        </w:rPr>
        <w:t>Laboratory of Experimental Neuropharmacology,</w:t>
      </w:r>
      <w:r>
        <w:rPr>
          <w:color w:val="000000" w:themeColor="text1"/>
          <w:lang w:val="en-US"/>
        </w:rPr>
        <w:t xml:space="preserve"> </w:t>
      </w:r>
      <w:r w:rsidRPr="00243076">
        <w:rPr>
          <w:color w:val="000000" w:themeColor="text1"/>
          <w:lang w:val="en-US"/>
        </w:rPr>
        <w:t xml:space="preserve">Department of Pharmacodynamics, Faculty of Pharmacy, Jagiellonian University Medical College, 9 Medyczna St, 30-688 Krakow, Poland </w:t>
      </w:r>
    </w:p>
    <w:p w14:paraId="3460A745" w14:textId="77777777" w:rsidR="00EE768B" w:rsidRDefault="00EE768B" w:rsidP="00EE768B">
      <w:pPr>
        <w:rPr>
          <w:rStyle w:val="Hipercze"/>
          <w:rFonts w:eastAsiaTheme="majorEastAsia"/>
          <w:color w:val="000000" w:themeColor="text1"/>
          <w:lang w:val="it-IT"/>
        </w:rPr>
      </w:pPr>
      <w:r w:rsidRPr="00243076">
        <w:rPr>
          <w:color w:val="000000" w:themeColor="text1"/>
          <w:lang w:val="it-IT"/>
        </w:rPr>
        <w:t xml:space="preserve">Phone number: +48 (12) 620-55-38, e-mail: </w:t>
      </w:r>
      <w:hyperlink r:id="rId5" w:history="1">
        <w:r w:rsidRPr="00243076">
          <w:rPr>
            <w:rStyle w:val="Hipercze"/>
            <w:rFonts w:eastAsiaTheme="majorEastAsia"/>
            <w:color w:val="000000" w:themeColor="text1"/>
            <w:lang w:val="it-IT"/>
          </w:rPr>
          <w:t>karolina.pytka@uj.edu.pl</w:t>
        </w:r>
      </w:hyperlink>
    </w:p>
    <w:p w14:paraId="77184E64" w14:textId="77777777" w:rsidR="00EE768B" w:rsidRDefault="00EE768B">
      <w:pPr>
        <w:spacing w:after="160" w:line="278" w:lineRule="auto"/>
        <w:rPr>
          <w:rStyle w:val="Hipercze"/>
          <w:rFonts w:eastAsiaTheme="majorEastAsia"/>
          <w:color w:val="000000" w:themeColor="text1"/>
          <w:lang w:val="it-IT"/>
        </w:rPr>
      </w:pPr>
      <w:r>
        <w:rPr>
          <w:rStyle w:val="Hipercze"/>
          <w:rFonts w:eastAsiaTheme="majorEastAsia"/>
          <w:color w:val="000000" w:themeColor="text1"/>
          <w:lang w:val="it-IT"/>
        </w:rPr>
        <w:br w:type="page"/>
      </w:r>
    </w:p>
    <w:p w14:paraId="1CC8B0D6" w14:textId="7AFDD66F" w:rsidR="00D27669" w:rsidRPr="006804A2" w:rsidRDefault="008B4A80" w:rsidP="00EE768B">
      <w:pPr>
        <w:rPr>
          <w:b/>
          <w:bCs/>
          <w:lang w:val="en-US"/>
        </w:rPr>
      </w:pPr>
      <w:r w:rsidRPr="006804A2">
        <w:rPr>
          <w:b/>
          <w:bCs/>
          <w:lang w:val="en-US"/>
        </w:rPr>
        <w:lastRenderedPageBreak/>
        <w:t xml:space="preserve">Table </w:t>
      </w:r>
      <w:r w:rsidR="006804A2" w:rsidRPr="006804A2">
        <w:rPr>
          <w:b/>
          <w:bCs/>
          <w:lang w:val="en-US"/>
        </w:rPr>
        <w:t>S1</w:t>
      </w:r>
      <w:r w:rsidRPr="006804A2">
        <w:rPr>
          <w:b/>
          <w:bCs/>
          <w:lang w:val="en-US"/>
        </w:rPr>
        <w:t xml:space="preserve">. </w:t>
      </w:r>
      <w:r w:rsidR="000978FB" w:rsidRPr="006804A2">
        <w:rPr>
          <w:b/>
          <w:bCs/>
          <w:lang w:val="en-US"/>
        </w:rPr>
        <w:t>Cellular f</w:t>
      </w:r>
      <w:r w:rsidR="00D27669" w:rsidRPr="006804A2">
        <w:rPr>
          <w:b/>
          <w:bCs/>
          <w:lang w:val="en-US"/>
        </w:rPr>
        <w:t>unctional activity of HBK-15 at the 5-HT</w:t>
      </w:r>
      <w:r w:rsidR="00D27669" w:rsidRPr="006804A2">
        <w:rPr>
          <w:b/>
          <w:bCs/>
          <w:vertAlign w:val="subscript"/>
          <w:lang w:val="en-US"/>
        </w:rPr>
        <w:t>2B</w:t>
      </w:r>
      <w:r w:rsidR="00D27669" w:rsidRPr="006804A2">
        <w:rPr>
          <w:b/>
          <w:bCs/>
          <w:lang w:val="en-US"/>
        </w:rPr>
        <w:t xml:space="preserve"> receptor.</w:t>
      </w:r>
    </w:p>
    <w:p w14:paraId="14AF5992" w14:textId="1487B62E" w:rsidR="008B4A80" w:rsidRPr="006804A2" w:rsidRDefault="008B4A80" w:rsidP="00D27669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tbl>
      <w:tblPr>
        <w:tblStyle w:val="Tabela-Siatka"/>
        <w:tblW w:w="0" w:type="auto"/>
        <w:tblBorders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50"/>
        <w:gridCol w:w="1418"/>
        <w:gridCol w:w="850"/>
        <w:gridCol w:w="1236"/>
        <w:gridCol w:w="1321"/>
        <w:gridCol w:w="1256"/>
        <w:gridCol w:w="717"/>
      </w:tblGrid>
      <w:tr w:rsidR="006804A2" w:rsidRPr="001F3961" w14:paraId="01914318" w14:textId="77777777" w:rsidTr="00DF6A02"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27AC5B34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</w:tcBorders>
            <w:vAlign w:val="center"/>
          </w:tcPr>
          <w:p w14:paraId="1A339A1B" w14:textId="737BCF59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color w:val="000000"/>
              </w:rPr>
            </w:pPr>
            <w:r w:rsidRPr="001F3961">
              <w:rPr>
                <w:b/>
                <w:bCs/>
                <w:lang w:val="en-US"/>
              </w:rPr>
              <w:t>Agonist mode</w:t>
            </w:r>
          </w:p>
        </w:tc>
        <w:tc>
          <w:tcPr>
            <w:tcW w:w="4530" w:type="dxa"/>
            <w:gridSpan w:val="4"/>
            <w:tcBorders>
              <w:top w:val="single" w:sz="4" w:space="0" w:color="auto"/>
            </w:tcBorders>
            <w:vAlign w:val="center"/>
          </w:tcPr>
          <w:p w14:paraId="48ABCAD6" w14:textId="5D322FF9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color w:val="000000"/>
              </w:rPr>
            </w:pPr>
            <w:r w:rsidRPr="001F3961">
              <w:rPr>
                <w:b/>
                <w:bCs/>
                <w:lang w:val="en-US"/>
              </w:rPr>
              <w:t>Antagonist mode</w:t>
            </w:r>
          </w:p>
        </w:tc>
      </w:tr>
      <w:tr w:rsidR="006804A2" w:rsidRPr="001F3961" w14:paraId="51FFE1C1" w14:textId="77777777" w:rsidTr="00BF580A">
        <w:trPr>
          <w:trHeight w:val="1249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3CC7B0E8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3DA8F2B" w14:textId="1F18A5A9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1F3961">
              <w:rPr>
                <w:b/>
                <w:bCs/>
                <w:color w:val="000000"/>
              </w:rPr>
              <w:t>E</w:t>
            </w:r>
            <w:r w:rsidRPr="006804A2">
              <w:rPr>
                <w:b/>
                <w:bCs/>
                <w:color w:val="000000"/>
                <w:vertAlign w:val="subscript"/>
              </w:rPr>
              <w:t>max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60353B9B" w14:textId="77777777" w:rsidR="006804A2" w:rsidRDefault="006804A2" w:rsidP="006804A2">
            <w:pPr>
              <w:spacing w:before="120" w:after="120" w:line="360" w:lineRule="auto"/>
              <w:jc w:val="center"/>
              <w:rPr>
                <w:b/>
                <w:bCs/>
                <w:color w:val="000000"/>
                <w:vertAlign w:val="subscript"/>
              </w:rPr>
            </w:pPr>
            <w:r w:rsidRPr="001F3961">
              <w:rPr>
                <w:b/>
                <w:bCs/>
                <w:color w:val="000000"/>
              </w:rPr>
              <w:t>EC</w:t>
            </w:r>
            <w:r w:rsidRPr="001F3961">
              <w:rPr>
                <w:b/>
                <w:bCs/>
                <w:color w:val="000000"/>
                <w:vertAlign w:val="subscript"/>
              </w:rPr>
              <w:t>50</w:t>
            </w:r>
          </w:p>
          <w:p w14:paraId="02B35697" w14:textId="24896FFE" w:rsidR="006804A2" w:rsidRPr="006804A2" w:rsidRDefault="006804A2" w:rsidP="006804A2">
            <w:pPr>
              <w:spacing w:before="120" w:after="120" w:line="360" w:lineRule="auto"/>
              <w:jc w:val="center"/>
              <w:rPr>
                <w:b/>
                <w:bCs/>
                <w:color w:val="000000"/>
                <w:vertAlign w:val="subscript"/>
              </w:rPr>
            </w:pPr>
            <w:r w:rsidRPr="006804A2">
              <w:rPr>
                <w:b/>
                <w:bCs/>
                <w:color w:val="000000"/>
              </w:rPr>
              <w:t>[nM]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50D9CE6" w14:textId="72B4E62C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1F3961">
              <w:rPr>
                <w:b/>
                <w:bCs/>
                <w:color w:val="000000"/>
              </w:rPr>
              <w:t>pEC</w:t>
            </w:r>
            <w:r w:rsidRPr="001F3961">
              <w:rPr>
                <w:b/>
                <w:bCs/>
                <w:color w:val="000000"/>
                <w:vertAlign w:val="subscript"/>
              </w:rPr>
              <w:t>50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vAlign w:val="center"/>
          </w:tcPr>
          <w:p w14:paraId="6648E651" w14:textId="540A17D0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I</w:t>
            </w:r>
            <w:r w:rsidRPr="006804A2">
              <w:rPr>
                <w:b/>
                <w:bCs/>
                <w:color w:val="000000"/>
                <w:vertAlign w:val="subscript"/>
              </w:rPr>
              <w:t>max</w:t>
            </w:r>
          </w:p>
        </w:tc>
        <w:tc>
          <w:tcPr>
            <w:tcW w:w="1321" w:type="dxa"/>
            <w:tcBorders>
              <w:top w:val="single" w:sz="4" w:space="0" w:color="auto"/>
            </w:tcBorders>
            <w:vAlign w:val="center"/>
          </w:tcPr>
          <w:p w14:paraId="1A48BCBA" w14:textId="77777777" w:rsidR="006804A2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color w:val="000000"/>
                <w:vertAlign w:val="subscript"/>
              </w:rPr>
            </w:pPr>
            <w:r w:rsidRPr="001F3961">
              <w:rPr>
                <w:b/>
                <w:bCs/>
                <w:color w:val="000000"/>
              </w:rPr>
              <w:t>IC</w:t>
            </w:r>
            <w:r w:rsidRPr="001F3961">
              <w:rPr>
                <w:b/>
                <w:bCs/>
                <w:color w:val="000000"/>
                <w:vertAlign w:val="subscript"/>
              </w:rPr>
              <w:t>50</w:t>
            </w:r>
          </w:p>
          <w:p w14:paraId="15B89C34" w14:textId="737CEAA8" w:rsidR="006804A2" w:rsidRPr="006804A2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6804A2">
              <w:rPr>
                <w:b/>
                <w:bCs/>
                <w:color w:val="000000"/>
              </w:rPr>
              <w:t>[nM]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vAlign w:val="center"/>
          </w:tcPr>
          <w:p w14:paraId="664D2425" w14:textId="23348BED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1F3961">
              <w:rPr>
                <w:b/>
                <w:bCs/>
                <w:color w:val="000000"/>
              </w:rPr>
              <w:t>pIC</w:t>
            </w:r>
            <w:r w:rsidRPr="001F3961">
              <w:rPr>
                <w:b/>
                <w:bCs/>
                <w:color w:val="000000"/>
                <w:vertAlign w:val="subscript"/>
              </w:rPr>
              <w:t>50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14:paraId="3870948E" w14:textId="0767964E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6804A2">
              <w:rPr>
                <w:b/>
                <w:bCs/>
                <w:color w:val="000000"/>
              </w:rPr>
              <w:t>pKb</w:t>
            </w:r>
          </w:p>
        </w:tc>
      </w:tr>
      <w:tr w:rsidR="006804A2" w:rsidRPr="001F3961" w14:paraId="3F5BD3B6" w14:textId="77777777" w:rsidTr="00DF6A02"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78160F6C" w14:textId="77777777" w:rsidR="006804A2" w:rsidRPr="006804A2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6804A2">
              <w:rPr>
                <w:b/>
                <w:bCs/>
                <w:lang w:val="en-US"/>
              </w:rPr>
              <w:t>serotonin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14:paraId="015AAD28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0EB181DE" w14:textId="18955CBE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6804A2">
              <w:rPr>
                <w:color w:val="000000"/>
                <w:lang w:val="en-US"/>
              </w:rPr>
              <w:t>4.9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14:paraId="4ACFED2D" w14:textId="0801A81A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8.31</w:t>
            </w:r>
          </w:p>
        </w:tc>
        <w:tc>
          <w:tcPr>
            <w:tcW w:w="1236" w:type="dxa"/>
            <w:tcBorders>
              <w:top w:val="single" w:sz="4" w:space="0" w:color="auto"/>
              <w:bottom w:val="nil"/>
            </w:tcBorders>
            <w:vAlign w:val="center"/>
          </w:tcPr>
          <w:p w14:paraId="25CAC049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1321" w:type="dxa"/>
            <w:tcBorders>
              <w:top w:val="single" w:sz="4" w:space="0" w:color="auto"/>
              <w:bottom w:val="nil"/>
            </w:tcBorders>
            <w:vAlign w:val="center"/>
          </w:tcPr>
          <w:p w14:paraId="6E3F8616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vAlign w:val="center"/>
          </w:tcPr>
          <w:p w14:paraId="1607E478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bottom w:val="nil"/>
            </w:tcBorders>
            <w:vAlign w:val="center"/>
          </w:tcPr>
          <w:p w14:paraId="47D4876A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</w:tr>
      <w:tr w:rsidR="006804A2" w:rsidRPr="001F3961" w14:paraId="20D59DC8" w14:textId="77777777" w:rsidTr="00DF6A02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0D5BDAA" w14:textId="77777777" w:rsidR="006804A2" w:rsidRPr="006804A2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6804A2">
              <w:rPr>
                <w:b/>
                <w:bCs/>
                <w:lang w:val="en-US"/>
              </w:rPr>
              <w:t>HBK-15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62DA06B6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1F3961">
              <w:rPr>
                <w:lang w:val="en-US"/>
              </w:rPr>
              <w:t>%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14059CB" w14:textId="5B663A30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6804A2">
              <w:rPr>
                <w:color w:val="000000"/>
                <w:lang w:val="en-US"/>
              </w:rPr>
              <w:t>n.c.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7CC1AD3D" w14:textId="2549C882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n.c.</w:t>
            </w:r>
          </w:p>
        </w:tc>
        <w:tc>
          <w:tcPr>
            <w:tcW w:w="1236" w:type="dxa"/>
            <w:tcBorders>
              <w:top w:val="nil"/>
              <w:bottom w:val="nil"/>
            </w:tcBorders>
            <w:vAlign w:val="center"/>
          </w:tcPr>
          <w:p w14:paraId="2D1FFDF7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82</w:t>
            </w:r>
            <w:r w:rsidRPr="001F3961">
              <w:rPr>
                <w:lang w:val="en-US"/>
              </w:rPr>
              <w:t>%</w:t>
            </w:r>
          </w:p>
        </w:tc>
        <w:tc>
          <w:tcPr>
            <w:tcW w:w="1321" w:type="dxa"/>
            <w:tcBorders>
              <w:top w:val="nil"/>
              <w:bottom w:val="nil"/>
            </w:tcBorders>
            <w:vAlign w:val="center"/>
          </w:tcPr>
          <w:p w14:paraId="3F5EA97F" w14:textId="2647EDA9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6804A2">
              <w:rPr>
                <w:lang w:val="en-US"/>
              </w:rPr>
              <w:t>180</w:t>
            </w:r>
          </w:p>
        </w:tc>
        <w:tc>
          <w:tcPr>
            <w:tcW w:w="1256" w:type="dxa"/>
            <w:tcBorders>
              <w:top w:val="nil"/>
              <w:bottom w:val="nil"/>
            </w:tcBorders>
            <w:vAlign w:val="center"/>
          </w:tcPr>
          <w:p w14:paraId="2D9952E4" w14:textId="1DADBA06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6.74</w:t>
            </w:r>
          </w:p>
        </w:tc>
        <w:tc>
          <w:tcPr>
            <w:tcW w:w="717" w:type="dxa"/>
            <w:tcBorders>
              <w:top w:val="nil"/>
              <w:bottom w:val="nil"/>
            </w:tcBorders>
            <w:vAlign w:val="center"/>
          </w:tcPr>
          <w:p w14:paraId="6E0DC1ED" w14:textId="11644E1A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7.55</w:t>
            </w:r>
          </w:p>
        </w:tc>
      </w:tr>
      <w:tr w:rsidR="006804A2" w:rsidRPr="001F3961" w14:paraId="4E4E87D6" w14:textId="77777777" w:rsidTr="00DF6A02"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14:paraId="3E12BEB9" w14:textId="77777777" w:rsidR="006804A2" w:rsidRPr="006804A2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6804A2">
              <w:rPr>
                <w:b/>
                <w:bCs/>
                <w:lang w:val="en-US"/>
              </w:rPr>
              <w:t>SB 206553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702B9A78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14:paraId="53D1D093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333B6F4B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1236" w:type="dxa"/>
            <w:tcBorders>
              <w:top w:val="nil"/>
              <w:bottom w:val="single" w:sz="4" w:space="0" w:color="auto"/>
            </w:tcBorders>
            <w:vAlign w:val="center"/>
          </w:tcPr>
          <w:p w14:paraId="0A296C90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Pr="001F3961">
              <w:rPr>
                <w:lang w:val="en-US"/>
              </w:rPr>
              <w:t>%</w:t>
            </w:r>
          </w:p>
        </w:tc>
        <w:tc>
          <w:tcPr>
            <w:tcW w:w="1321" w:type="dxa"/>
            <w:tcBorders>
              <w:top w:val="nil"/>
              <w:bottom w:val="single" w:sz="4" w:space="0" w:color="auto"/>
            </w:tcBorders>
            <w:vAlign w:val="center"/>
          </w:tcPr>
          <w:p w14:paraId="72367B65" w14:textId="202D0B95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6804A2">
              <w:rPr>
                <w:color w:val="000000"/>
                <w:lang w:val="en-US"/>
              </w:rPr>
              <w:t>18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  <w:vAlign w:val="center"/>
          </w:tcPr>
          <w:p w14:paraId="2F28BC8A" w14:textId="4509AE56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7.74</w:t>
            </w:r>
          </w:p>
        </w:tc>
        <w:tc>
          <w:tcPr>
            <w:tcW w:w="717" w:type="dxa"/>
            <w:tcBorders>
              <w:top w:val="nil"/>
              <w:bottom w:val="single" w:sz="4" w:space="0" w:color="auto"/>
            </w:tcBorders>
            <w:vAlign w:val="center"/>
          </w:tcPr>
          <w:p w14:paraId="48D5D4B9" w14:textId="5216F8A1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8.5</w:t>
            </w:r>
            <w:r>
              <w:rPr>
                <w:lang w:val="en-US"/>
              </w:rPr>
              <w:t>6</w:t>
            </w:r>
          </w:p>
        </w:tc>
      </w:tr>
    </w:tbl>
    <w:p w14:paraId="3564CD57" w14:textId="77777777" w:rsidR="00D27669" w:rsidRPr="006804A2" w:rsidRDefault="00D27669" w:rsidP="00D27669">
      <w:pPr>
        <w:pStyle w:val="Akapitzlist"/>
        <w:spacing w:line="360" w:lineRule="auto"/>
        <w:ind w:left="0"/>
        <w:jc w:val="both"/>
        <w:rPr>
          <w:b/>
          <w:bCs/>
          <w:sz w:val="22"/>
          <w:szCs w:val="22"/>
          <w:lang w:val="en-US"/>
        </w:rPr>
      </w:pPr>
    </w:p>
    <w:p w14:paraId="480B95E1" w14:textId="0C3DE9EC" w:rsidR="00D27669" w:rsidRPr="006804A2" w:rsidRDefault="008B1CB1" w:rsidP="00D27669">
      <w:pPr>
        <w:spacing w:line="360" w:lineRule="auto"/>
        <w:jc w:val="both"/>
        <w:rPr>
          <w:color w:val="000000" w:themeColor="text1"/>
          <w:sz w:val="20"/>
          <w:szCs w:val="20"/>
          <w:lang w:val="en-US" w:eastAsia="pl-PL"/>
        </w:rPr>
      </w:pPr>
      <w:r>
        <w:rPr>
          <w:color w:val="000000" w:themeColor="text1"/>
          <w:sz w:val="20"/>
          <w:szCs w:val="20"/>
          <w:lang w:val="en-US" w:eastAsia="pl-PL"/>
        </w:rPr>
        <w:t>F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 xml:space="preserve">unctional studies </w:t>
      </w:r>
      <w:r w:rsidR="006804A2">
        <w:rPr>
          <w:color w:val="000000" w:themeColor="text1"/>
          <w:sz w:val="20"/>
          <w:szCs w:val="20"/>
          <w:lang w:val="en-US" w:eastAsia="pl-PL"/>
        </w:rPr>
        <w:t>on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 xml:space="preserve"> </w:t>
      </w:r>
      <w:r w:rsidR="006804A2">
        <w:rPr>
          <w:color w:val="000000" w:themeColor="text1"/>
          <w:sz w:val="20"/>
          <w:szCs w:val="20"/>
          <w:lang w:val="en-US" w:eastAsia="pl-PL"/>
        </w:rPr>
        <w:t xml:space="preserve">the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5-HT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2B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 xml:space="preserve"> receptor were performed commercially </w:t>
      </w:r>
      <w:r>
        <w:rPr>
          <w:color w:val="000000" w:themeColor="text1"/>
          <w:sz w:val="20"/>
          <w:szCs w:val="20"/>
          <w:lang w:val="en-US" w:eastAsia="pl-PL"/>
        </w:rPr>
        <w:t>at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 xml:space="preserve"> Eurofins Laboratories (Poitiers, France). 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>In agonist mode, responses were normalized to the maximal effect of the reference agonist (serotonin at 10</w:t>
      </w:r>
      <w:r w:rsidR="006804A2" w:rsidRPr="006804A2">
        <w:rPr>
          <w:color w:val="000000" w:themeColor="text1"/>
          <w:sz w:val="20"/>
          <w:szCs w:val="20"/>
          <w:vertAlign w:val="superscript"/>
          <w:lang w:val="en-US" w:eastAsia="pl-PL"/>
        </w:rPr>
        <w:t>-6</w:t>
      </w:r>
      <w:r w:rsidR="00D27669" w:rsidRPr="006804A2">
        <w:rPr>
          <w:color w:val="000000" w:themeColor="text1"/>
          <w:sz w:val="20"/>
          <w:szCs w:val="20"/>
          <w:vertAlign w:val="superscript"/>
          <w:lang w:val="en-US" w:eastAsia="pl-PL"/>
        </w:rPr>
        <w:t xml:space="preserve"> 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>M), with E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max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defined as the maximum achievable stimulation. Effects below 25% are not considered significant. Responses from 25% to 70% are interpreted as a partial agonist.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A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response higher than 70% is characterized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as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a full agonist. The concentration–response curve for HBK-15 showed less than 25% efficacy at the highest concentration, indicating a lack of agonist activity. In antagonist mode, responses were normalized to the maximal response obtained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without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 xml:space="preserve">the 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>antagonist. HBK-15 exhibited weak antagonist activity. The Iₘₐₓ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,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defined as the maximum observed inhibition,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E</w:t>
      </w:r>
      <w:r w:rsidR="006804A2">
        <w:rPr>
          <w:color w:val="000000" w:themeColor="text1"/>
          <w:sz w:val="20"/>
          <w:szCs w:val="20"/>
          <w:lang w:val="en-US" w:eastAsia="pl-PL"/>
        </w:rPr>
        <w:t>C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50</w:t>
      </w:r>
      <w:r w:rsidR="006804A2">
        <w:rPr>
          <w:color w:val="000000" w:themeColor="text1"/>
          <w:sz w:val="20"/>
          <w:szCs w:val="20"/>
          <w:vertAlign w:val="subscript"/>
          <w:lang w:val="en-US" w:eastAsia="pl-PL"/>
        </w:rPr>
        <w:t xml:space="preserve"> 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and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I</w:t>
      </w:r>
      <w:r w:rsidR="006804A2">
        <w:rPr>
          <w:color w:val="000000" w:themeColor="text1"/>
          <w:sz w:val="20"/>
          <w:szCs w:val="20"/>
          <w:lang w:val="en-US" w:eastAsia="pl-PL"/>
        </w:rPr>
        <w:t>C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50</w:t>
      </w:r>
      <w:r w:rsidR="006804A2">
        <w:rPr>
          <w:color w:val="000000" w:themeColor="text1"/>
          <w:sz w:val="20"/>
          <w:szCs w:val="20"/>
          <w:vertAlign w:val="subscript"/>
          <w:lang w:val="en-US" w:eastAsia="pl-PL"/>
        </w:rPr>
        <w:t xml:space="preserve"> 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>values (expressed as pE</w:t>
      </w:r>
      <w:r w:rsidR="006804A2">
        <w:rPr>
          <w:color w:val="000000" w:themeColor="text1"/>
          <w:sz w:val="20"/>
          <w:szCs w:val="20"/>
          <w:lang w:val="en-US" w:eastAsia="pl-PL"/>
        </w:rPr>
        <w:t>C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50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or pI</w:t>
      </w:r>
      <w:r w:rsidR="006804A2">
        <w:rPr>
          <w:color w:val="000000" w:themeColor="text1"/>
          <w:sz w:val="20"/>
          <w:szCs w:val="20"/>
          <w:lang w:val="en-US" w:eastAsia="pl-PL"/>
        </w:rPr>
        <w:t>C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50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, the negative logarithm of the concentration producing 50% of the maximal effect/inhibition) are presented as mean from three separate experiments. Kb values represent the equilibrium dissociation constant of a competitive antagonist, calculated using the Cheng–Prusoff equation. n.c.- not calculable. </w:t>
      </w:r>
    </w:p>
    <w:p w14:paraId="33F2E8A4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3B512DA6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2580824E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6462E629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343782F3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43DA9F5D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3E6ED466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518A9C42" w14:textId="77777777" w:rsidR="00DA1D0E" w:rsidRDefault="00DA1D0E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44CA945" w14:textId="20052A60" w:rsidR="002D66A4" w:rsidRDefault="002D66A4" w:rsidP="002D66A4">
      <w:pPr>
        <w:pStyle w:val="Akapitzlist"/>
        <w:spacing w:line="360" w:lineRule="auto"/>
        <w:ind w:left="0"/>
        <w:jc w:val="both"/>
        <w:rPr>
          <w:lang w:val="en-US"/>
        </w:rPr>
      </w:pPr>
      <w:r>
        <w:rPr>
          <w:b/>
          <w:bCs/>
          <w:lang w:val="en-US"/>
        </w:rPr>
        <w:lastRenderedPageBreak/>
        <w:t>Figure S1. Microinjection c</w:t>
      </w:r>
      <w:r w:rsidRPr="00CC6463">
        <w:rPr>
          <w:b/>
          <w:bCs/>
          <w:lang w:val="en-US"/>
        </w:rPr>
        <w:t xml:space="preserve">annula positions. </w:t>
      </w:r>
      <w:r w:rsidRPr="00F42604">
        <w:rPr>
          <w:b/>
          <w:bCs/>
          <w:lang w:val="en-US"/>
        </w:rPr>
        <w:t>a</w:t>
      </w:r>
      <w:r w:rsidRPr="00CC6463">
        <w:rPr>
          <w:lang w:val="en-US"/>
        </w:rPr>
        <w:t>:</w:t>
      </w:r>
      <w:r w:rsidRPr="00003F3B">
        <w:rPr>
          <w:lang w:val="en-US"/>
        </w:rPr>
        <w:t xml:space="preserve"> Arrow indicates the placement of </w:t>
      </w:r>
      <w:r>
        <w:rPr>
          <w:lang w:val="en-US"/>
        </w:rPr>
        <w:t xml:space="preserve">the </w:t>
      </w:r>
      <w:r w:rsidRPr="00003F3B">
        <w:rPr>
          <w:lang w:val="en-US"/>
        </w:rPr>
        <w:t>cannula.</w:t>
      </w:r>
      <w:r>
        <w:rPr>
          <w:b/>
          <w:bCs/>
          <w:lang w:val="en-US"/>
        </w:rPr>
        <w:t xml:space="preserve"> </w:t>
      </w:r>
      <w:r w:rsidRPr="00F42604">
        <w:rPr>
          <w:b/>
          <w:bCs/>
          <w:lang w:val="en-US"/>
        </w:rPr>
        <w:t>b</w:t>
      </w:r>
      <w:r w:rsidRPr="00003F3B">
        <w:rPr>
          <w:lang w:val="en-US"/>
        </w:rPr>
        <w:t>:</w:t>
      </w:r>
      <w:r>
        <w:rPr>
          <w:b/>
          <w:bCs/>
          <w:lang w:val="en-US"/>
        </w:rPr>
        <w:t xml:space="preserve"> </w:t>
      </w:r>
      <w:r w:rsidRPr="00D56B52">
        <w:rPr>
          <w:lang w:val="en-US"/>
        </w:rPr>
        <w:t xml:space="preserve">Coronal section of brain showing the </w:t>
      </w:r>
      <w:r>
        <w:rPr>
          <w:lang w:val="en-US"/>
        </w:rPr>
        <w:t>cannula</w:t>
      </w:r>
      <w:r w:rsidRPr="00D56B52">
        <w:rPr>
          <w:lang w:val="en-US"/>
        </w:rPr>
        <w:t xml:space="preserve"> placement</w:t>
      </w:r>
      <w:r>
        <w:rPr>
          <w:lang w:val="en-US"/>
        </w:rPr>
        <w:t xml:space="preserve"> (scale bar – 1 mm)</w:t>
      </w:r>
      <w:r w:rsidRPr="00D56B52">
        <w:rPr>
          <w:lang w:val="en-US"/>
        </w:rPr>
        <w:t xml:space="preserve">. </w:t>
      </w:r>
    </w:p>
    <w:p w14:paraId="0C06619C" w14:textId="77777777" w:rsidR="002D66A4" w:rsidRDefault="002D66A4" w:rsidP="002D66A4">
      <w:pPr>
        <w:pStyle w:val="Akapitzlist"/>
        <w:spacing w:line="360" w:lineRule="auto"/>
        <w:ind w:left="0"/>
        <w:jc w:val="both"/>
        <w:rPr>
          <w:lang w:val="en-US"/>
        </w:rPr>
      </w:pPr>
    </w:p>
    <w:p w14:paraId="6252246F" w14:textId="58A34C59" w:rsidR="002D66A4" w:rsidRDefault="002D66A4" w:rsidP="00DC243A">
      <w:pPr>
        <w:spacing w:line="360" w:lineRule="auto"/>
        <w:jc w:val="both"/>
        <w:rPr>
          <w:b/>
          <w:bCs/>
          <w:lang w:val="en-US"/>
        </w:rPr>
      </w:pPr>
      <w:r w:rsidRPr="00C6303D">
        <w:rPr>
          <w:b/>
          <w:bCs/>
          <w:noProof/>
          <w:lang w:val="en-US"/>
        </w:rPr>
        <w:drawing>
          <wp:inline distT="0" distB="0" distL="0" distR="0" wp14:anchorId="0BB4E93F" wp14:editId="64ADF478">
            <wp:extent cx="5756910" cy="2050708"/>
            <wp:effectExtent l="0" t="0" r="0" b="0"/>
            <wp:docPr id="15891078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078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5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 w:type="page"/>
      </w:r>
    </w:p>
    <w:p w14:paraId="25DD30B4" w14:textId="4F0C89C6" w:rsidR="00DC243A" w:rsidRPr="00DC243A" w:rsidRDefault="00235F9E" w:rsidP="00DC243A">
      <w:pPr>
        <w:spacing w:line="360" w:lineRule="auto"/>
        <w:jc w:val="both"/>
        <w:rPr>
          <w:b/>
          <w:bCs/>
          <w:lang w:val="en-US"/>
        </w:rPr>
      </w:pPr>
      <w:r w:rsidRPr="00DC243A">
        <w:rPr>
          <w:b/>
          <w:bCs/>
          <w:lang w:val="en-US"/>
        </w:rPr>
        <w:lastRenderedPageBreak/>
        <w:t>Figure S</w:t>
      </w:r>
      <w:r w:rsidR="002D66A4">
        <w:rPr>
          <w:b/>
          <w:bCs/>
          <w:lang w:val="en-US"/>
        </w:rPr>
        <w:t>2</w:t>
      </w:r>
      <w:r w:rsidRPr="00DC243A">
        <w:rPr>
          <w:b/>
          <w:bCs/>
          <w:lang w:val="en-US"/>
        </w:rPr>
        <w:t xml:space="preserve">. (complementary to Figure 2) </w:t>
      </w:r>
      <w:r w:rsidR="00DC243A" w:rsidRPr="00DC243A">
        <w:rPr>
          <w:b/>
          <w:bCs/>
          <w:lang w:val="en-US"/>
        </w:rPr>
        <w:t xml:space="preserve">Immunofluorescent </w:t>
      </w:r>
      <w:r w:rsidR="00DC243A">
        <w:rPr>
          <w:b/>
          <w:bCs/>
          <w:lang w:val="en-US"/>
        </w:rPr>
        <w:t>d</w:t>
      </w:r>
      <w:r w:rsidR="00DC243A" w:rsidRPr="00DC243A">
        <w:rPr>
          <w:b/>
          <w:bCs/>
          <w:lang w:val="en-US"/>
        </w:rPr>
        <w:t>etection of pERK</w:t>
      </w:r>
      <w:r w:rsidR="00DD6778">
        <w:rPr>
          <w:b/>
          <w:bCs/>
          <w:lang w:val="en-US"/>
        </w:rPr>
        <w:t>1/2</w:t>
      </w:r>
      <w:r w:rsidR="00DC243A" w:rsidRPr="00DC243A">
        <w:rPr>
          <w:b/>
          <w:bCs/>
          <w:lang w:val="en-US"/>
        </w:rPr>
        <w:t xml:space="preserve"> and pPKA in </w:t>
      </w:r>
      <w:r w:rsidR="00DC243A">
        <w:rPr>
          <w:b/>
          <w:bCs/>
          <w:lang w:val="en-US"/>
        </w:rPr>
        <w:t>n</w:t>
      </w:r>
      <w:r w:rsidR="00DC243A" w:rsidRPr="00DC243A">
        <w:rPr>
          <w:b/>
          <w:bCs/>
          <w:lang w:val="en-US"/>
        </w:rPr>
        <w:t xml:space="preserve">on-stressed, </w:t>
      </w:r>
      <w:r w:rsidR="00DC243A">
        <w:rPr>
          <w:b/>
          <w:bCs/>
          <w:lang w:val="en-US"/>
        </w:rPr>
        <w:t>s</w:t>
      </w:r>
      <w:r w:rsidR="00DC243A" w:rsidRPr="00DC243A">
        <w:rPr>
          <w:b/>
          <w:bCs/>
          <w:lang w:val="en-US"/>
        </w:rPr>
        <w:t xml:space="preserve">tressed, HBK-15- and </w:t>
      </w:r>
      <w:r w:rsidR="00DC243A">
        <w:rPr>
          <w:b/>
          <w:bCs/>
          <w:lang w:val="en-US"/>
        </w:rPr>
        <w:t>k</w:t>
      </w:r>
      <w:r w:rsidR="00DC243A" w:rsidRPr="00DC243A">
        <w:rPr>
          <w:b/>
          <w:bCs/>
          <w:lang w:val="en-US"/>
        </w:rPr>
        <w:t>etamine-</w:t>
      </w:r>
      <w:r w:rsidR="00DC243A">
        <w:rPr>
          <w:b/>
          <w:bCs/>
          <w:lang w:val="en-US"/>
        </w:rPr>
        <w:t>t</w:t>
      </w:r>
      <w:r w:rsidR="00DC243A" w:rsidRPr="00DC243A">
        <w:rPr>
          <w:b/>
          <w:bCs/>
          <w:lang w:val="en-US"/>
        </w:rPr>
        <w:t xml:space="preserve">reated </w:t>
      </w:r>
      <w:r w:rsidR="00DC243A">
        <w:rPr>
          <w:b/>
          <w:bCs/>
          <w:lang w:val="en-US"/>
        </w:rPr>
        <w:t>n</w:t>
      </w:r>
      <w:r w:rsidR="00DC243A" w:rsidRPr="00DC243A">
        <w:rPr>
          <w:b/>
          <w:bCs/>
          <w:lang w:val="en-US"/>
        </w:rPr>
        <w:t>eurons</w:t>
      </w:r>
    </w:p>
    <w:p w14:paraId="15A3EB20" w14:textId="6CF06FC5" w:rsidR="00235F9E" w:rsidRPr="00DC243A" w:rsidRDefault="00DC243A" w:rsidP="00DC243A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a-</w:t>
      </w:r>
      <w:r w:rsidR="00235F9E" w:rsidRPr="00DC243A">
        <w:rPr>
          <w:b/>
          <w:bCs/>
          <w:lang w:val="en-US"/>
        </w:rPr>
        <w:t>b</w:t>
      </w:r>
      <w:r w:rsidR="00235F9E" w:rsidRPr="00DC243A">
        <w:rPr>
          <w:lang w:val="en-US"/>
        </w:rPr>
        <w:t>: Representative confocal images</w:t>
      </w:r>
      <w:r w:rsidR="002765F2">
        <w:rPr>
          <w:lang w:val="en-US"/>
        </w:rPr>
        <w:t xml:space="preserve"> (maximum intensity projection Z-stacks </w:t>
      </w:r>
      <w:r w:rsidR="002765F2" w:rsidRPr="00D32AE1">
        <w:rPr>
          <w:lang w:val="en-US"/>
        </w:rPr>
        <w:t xml:space="preserve">spanning </w:t>
      </w:r>
      <w:r w:rsidR="00D32AE1" w:rsidRPr="00D32AE1">
        <w:rPr>
          <w:lang w:val="en-US"/>
        </w:rPr>
        <w:t>5</w:t>
      </w:r>
      <w:r w:rsidR="002765F2" w:rsidRPr="00D32AE1">
        <w:rPr>
          <w:lang w:val="en-US"/>
        </w:rPr>
        <w:t> </w:t>
      </w:r>
      <w:r w:rsidR="002765F2">
        <w:t>μ</w:t>
      </w:r>
      <w:r w:rsidR="002765F2" w:rsidRPr="00D32AE1">
        <w:rPr>
          <w:lang w:val="en-US"/>
        </w:rPr>
        <w:t>m in depth</w:t>
      </w:r>
      <w:r w:rsidR="002765F2">
        <w:rPr>
          <w:lang w:val="en-US"/>
        </w:rPr>
        <w:t>)</w:t>
      </w:r>
      <w:r w:rsidR="00235F9E" w:rsidRPr="00DC243A">
        <w:rPr>
          <w:lang w:val="en-US"/>
        </w:rPr>
        <w:t xml:space="preserve"> showing </w:t>
      </w:r>
      <w:r w:rsidR="002765F2">
        <w:rPr>
          <w:lang w:val="en-US"/>
        </w:rPr>
        <w:t xml:space="preserve">in cyan </w:t>
      </w:r>
      <w:r w:rsidR="00235F9E" w:rsidRPr="00DC243A">
        <w:rPr>
          <w:lang w:val="en-US"/>
        </w:rPr>
        <w:t>phosphorylated ERK</w:t>
      </w:r>
      <w:r w:rsidR="00DD6778">
        <w:rPr>
          <w:lang w:val="en-US"/>
        </w:rPr>
        <w:t>1/2</w:t>
      </w:r>
      <w:r w:rsidR="00235F9E" w:rsidRPr="00DC243A">
        <w:rPr>
          <w:lang w:val="en-US"/>
        </w:rPr>
        <w:t xml:space="preserve"> (pERK</w:t>
      </w:r>
      <w:r w:rsidR="00DD6778">
        <w:rPr>
          <w:lang w:val="en-US"/>
        </w:rPr>
        <w:t>1/2</w:t>
      </w:r>
      <w:r w:rsidR="00235F9E" w:rsidRPr="00DC243A">
        <w:rPr>
          <w:lang w:val="en-US"/>
        </w:rPr>
        <w:t xml:space="preserve">; </w:t>
      </w:r>
      <w:r w:rsidR="00235F9E" w:rsidRPr="00DC243A">
        <w:rPr>
          <w:b/>
          <w:bCs/>
          <w:lang w:val="en-US"/>
        </w:rPr>
        <w:t>a</w:t>
      </w:r>
      <w:r w:rsidR="00235F9E" w:rsidRPr="00DC243A">
        <w:rPr>
          <w:lang w:val="en-US"/>
        </w:rPr>
        <w:t xml:space="preserve">) and phosphorylated PKA (pPKA; </w:t>
      </w:r>
      <w:r w:rsidR="00235F9E" w:rsidRPr="00DC243A">
        <w:rPr>
          <w:b/>
          <w:bCs/>
          <w:lang w:val="en-US"/>
        </w:rPr>
        <w:t>b</w:t>
      </w:r>
      <w:r w:rsidR="00235F9E" w:rsidRPr="00DC243A">
        <w:rPr>
          <w:lang w:val="en-US"/>
        </w:rPr>
        <w:t xml:space="preserve">) </w:t>
      </w:r>
      <w:r w:rsidR="002765F2">
        <w:rPr>
          <w:lang w:val="en-US"/>
        </w:rPr>
        <w:t xml:space="preserve">immunostainings </w:t>
      </w:r>
      <w:r w:rsidR="00235F9E" w:rsidRPr="00DC243A">
        <w:rPr>
          <w:lang w:val="en-US"/>
        </w:rPr>
        <w:t xml:space="preserve">in the prelimbic cortex of mice subjected to the unpredictable chronic mild stress (UCMS) and treated with HBK-15 or ketamine, </w:t>
      </w:r>
      <w:r w:rsidRPr="00DC243A">
        <w:rPr>
          <w:lang w:val="en-US"/>
        </w:rPr>
        <w:t>along with</w:t>
      </w:r>
      <w:r w:rsidR="00235F9E" w:rsidRPr="00DC243A">
        <w:rPr>
          <w:lang w:val="en-US"/>
        </w:rPr>
        <w:t xml:space="preserve"> stressed and non-stressed controls. DAPI was used for nuclear staining</w:t>
      </w:r>
      <w:r w:rsidRPr="00DC243A">
        <w:rPr>
          <w:lang w:val="en-US"/>
        </w:rPr>
        <w:t xml:space="preserve"> (gray)</w:t>
      </w:r>
      <w:r w:rsidR="002765F2">
        <w:rPr>
          <w:lang w:val="en-US"/>
        </w:rPr>
        <w:t>, and MAP2 (microtubule-associated protein 2) for neuron identification (mag</w:t>
      </w:r>
      <w:r w:rsidR="00D32AE1">
        <w:rPr>
          <w:lang w:val="en-US"/>
        </w:rPr>
        <w:t>en</w:t>
      </w:r>
      <w:r w:rsidR="002765F2">
        <w:rPr>
          <w:lang w:val="en-US"/>
        </w:rPr>
        <w:t>ta)</w:t>
      </w:r>
      <w:r w:rsidR="00235F9E" w:rsidRPr="00DC243A">
        <w:rPr>
          <w:lang w:val="en-US"/>
        </w:rPr>
        <w:t>. Scale bar = 50 μm.</w:t>
      </w:r>
    </w:p>
    <w:p w14:paraId="2BA252B5" w14:textId="77777777" w:rsidR="00DC243A" w:rsidRDefault="00DC243A" w:rsidP="00DC243A">
      <w:pPr>
        <w:spacing w:line="360" w:lineRule="auto"/>
        <w:jc w:val="both"/>
        <w:rPr>
          <w:lang w:val="en-US"/>
        </w:rPr>
      </w:pPr>
    </w:p>
    <w:p w14:paraId="6401A94C" w14:textId="6467C640" w:rsidR="00DC243A" w:rsidRDefault="007E5560" w:rsidP="00DC243A">
      <w:pPr>
        <w:spacing w:line="360" w:lineRule="auto"/>
        <w:jc w:val="both"/>
        <w:rPr>
          <w:lang w:val="en-US"/>
        </w:rPr>
      </w:pPr>
      <w:r w:rsidRPr="007E5560">
        <w:rPr>
          <w:noProof/>
          <w:lang w:val="en-US"/>
        </w:rPr>
        <w:drawing>
          <wp:inline distT="0" distB="0" distL="0" distR="0" wp14:anchorId="7C2D6202" wp14:editId="16FACCBF">
            <wp:extent cx="5756910" cy="3012440"/>
            <wp:effectExtent l="0" t="0" r="0" b="0"/>
            <wp:docPr id="3270401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401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3D39" w14:textId="77777777" w:rsidR="00DC243A" w:rsidRPr="00DC243A" w:rsidRDefault="00DC243A" w:rsidP="00DC243A">
      <w:pPr>
        <w:spacing w:line="360" w:lineRule="auto"/>
        <w:jc w:val="both"/>
        <w:rPr>
          <w:lang w:val="en-US"/>
        </w:rPr>
      </w:pPr>
    </w:p>
    <w:p w14:paraId="05DC1EFB" w14:textId="1C79124B" w:rsidR="00235F9E" w:rsidRDefault="00235F9E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83863AB" w14:textId="5F8BBEC4" w:rsidR="00DC243A" w:rsidRPr="00235F9E" w:rsidRDefault="00DC243A" w:rsidP="00DC243A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  <w:r w:rsidRPr="00235F9E">
        <w:rPr>
          <w:b/>
          <w:bCs/>
          <w:lang w:val="en-US"/>
        </w:rPr>
        <w:lastRenderedPageBreak/>
        <w:t>Figure S</w:t>
      </w:r>
      <w:r w:rsidR="002D66A4">
        <w:rPr>
          <w:b/>
          <w:bCs/>
          <w:lang w:val="en-US"/>
        </w:rPr>
        <w:t>3</w:t>
      </w:r>
      <w:r w:rsidRPr="00235F9E">
        <w:rPr>
          <w:b/>
          <w:bCs/>
          <w:lang w:val="en-US"/>
        </w:rPr>
        <w:t>. (complementary to Figure 2) HBK-15 does not alter the expression of plasticity-related genes in the prefrontal cortex of chronically stressed mice.</w:t>
      </w:r>
    </w:p>
    <w:p w14:paraId="01AC3177" w14:textId="1B8FAFB5" w:rsidR="00DC243A" w:rsidRPr="00235F9E" w:rsidRDefault="00153B2F" w:rsidP="00DC243A">
      <w:pPr>
        <w:pStyle w:val="Akapitzlist"/>
        <w:spacing w:line="360" w:lineRule="auto"/>
        <w:ind w:left="0"/>
        <w:jc w:val="both"/>
        <w:rPr>
          <w:lang w:val="en-US"/>
        </w:rPr>
      </w:pPr>
      <w:r>
        <w:rPr>
          <w:b/>
          <w:bCs/>
          <w:lang w:val="en-US"/>
        </w:rPr>
        <w:t>a</w:t>
      </w:r>
      <w:r w:rsidR="00DC243A" w:rsidRPr="00235F9E">
        <w:rPr>
          <w:b/>
          <w:bCs/>
          <w:lang w:val="en-US"/>
        </w:rPr>
        <w:t>–</w:t>
      </w:r>
      <w:r>
        <w:rPr>
          <w:b/>
          <w:bCs/>
          <w:lang w:val="en-US"/>
        </w:rPr>
        <w:t>f</w:t>
      </w:r>
      <w:r w:rsidR="00DC243A" w:rsidRPr="00235F9E">
        <w:rPr>
          <w:lang w:val="en-US"/>
        </w:rPr>
        <w:t xml:space="preserve">: HBK-15 and ketamine did not significantly alter the mRNA expression of </w:t>
      </w:r>
      <w:r w:rsidR="00DC243A" w:rsidRPr="00235F9E">
        <w:rPr>
          <w:i/>
          <w:iCs/>
          <w:lang w:val="en-US"/>
        </w:rPr>
        <w:t>Mapk1</w:t>
      </w:r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F</w:t>
      </w:r>
      <w:r w:rsidR="00DC243A" w:rsidRPr="005972FF">
        <w:rPr>
          <w:vertAlign w:val="subscript"/>
          <w:lang w:val="en-US"/>
        </w:rPr>
        <w:t>3,24</w:t>
      </w:r>
      <w:r w:rsidR="00DC243A">
        <w:rPr>
          <w:lang w:val="en-US"/>
        </w:rPr>
        <w:t xml:space="preserve">=4.581, p=0.0113; </w:t>
      </w:r>
      <w:r>
        <w:rPr>
          <w:b/>
          <w:bCs/>
          <w:lang w:val="en-US"/>
        </w:rPr>
        <w:t>a</w:t>
      </w:r>
      <w:r w:rsidR="00DC243A" w:rsidRPr="00A7787F">
        <w:rPr>
          <w:lang w:val="en-US"/>
        </w:rPr>
        <w:t>)</w:t>
      </w:r>
      <w:r w:rsidR="00DC243A" w:rsidRPr="00235F9E">
        <w:rPr>
          <w:lang w:val="en-US"/>
        </w:rPr>
        <w:t xml:space="preserve">, </w:t>
      </w:r>
      <w:r w:rsidR="00DC243A" w:rsidRPr="00235F9E">
        <w:rPr>
          <w:i/>
          <w:iCs/>
          <w:lang w:val="en-US"/>
        </w:rPr>
        <w:t>Mapk3</w:t>
      </w:r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H</w:t>
      </w:r>
      <w:r w:rsidR="00DC243A" w:rsidRPr="005972FF">
        <w:rPr>
          <w:vertAlign w:val="subscript"/>
          <w:lang w:val="en-US"/>
        </w:rPr>
        <w:t>4,28</w:t>
      </w:r>
      <w:r w:rsidR="00DC243A">
        <w:rPr>
          <w:lang w:val="en-US"/>
        </w:rPr>
        <w:t xml:space="preserve">=2.375, p=0.4983; </w:t>
      </w:r>
      <w:r>
        <w:rPr>
          <w:b/>
          <w:bCs/>
          <w:lang w:val="en-US"/>
        </w:rPr>
        <w:t>b</w:t>
      </w:r>
      <w:r w:rsidR="00DC243A" w:rsidRPr="00A7787F">
        <w:rPr>
          <w:lang w:val="en-US"/>
        </w:rPr>
        <w:t>)</w:t>
      </w:r>
      <w:r w:rsidR="00DC243A" w:rsidRPr="00235F9E">
        <w:rPr>
          <w:lang w:val="en-US"/>
        </w:rPr>
        <w:t xml:space="preserve">, </w:t>
      </w:r>
      <w:r w:rsidR="00DC243A" w:rsidRPr="00235F9E">
        <w:rPr>
          <w:i/>
          <w:iCs/>
          <w:lang w:val="en-US"/>
        </w:rPr>
        <w:t>Riiad1</w:t>
      </w:r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F</w:t>
      </w:r>
      <w:r w:rsidR="00DC243A" w:rsidRPr="005972FF">
        <w:rPr>
          <w:vertAlign w:val="subscript"/>
          <w:lang w:val="en-US"/>
        </w:rPr>
        <w:t>3,24</w:t>
      </w:r>
      <w:r w:rsidR="00DC243A">
        <w:rPr>
          <w:lang w:val="en-US"/>
        </w:rPr>
        <w:t xml:space="preserve">=1.567, p=0.2233; </w:t>
      </w:r>
      <w:r>
        <w:rPr>
          <w:b/>
          <w:bCs/>
          <w:lang w:val="en-US"/>
        </w:rPr>
        <w:t>c</w:t>
      </w:r>
      <w:r w:rsidR="00DC243A" w:rsidRPr="00A7787F">
        <w:rPr>
          <w:lang w:val="en-US"/>
        </w:rPr>
        <w:t>)</w:t>
      </w:r>
      <w:r w:rsidR="00DC243A" w:rsidRPr="00235F9E">
        <w:rPr>
          <w:lang w:val="en-US"/>
        </w:rPr>
        <w:t xml:space="preserve">, </w:t>
      </w:r>
      <w:r w:rsidR="00DC243A" w:rsidRPr="00235F9E">
        <w:rPr>
          <w:i/>
          <w:iCs/>
          <w:lang w:val="en-US"/>
        </w:rPr>
        <w:t>Camk4</w:t>
      </w:r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F</w:t>
      </w:r>
      <w:r w:rsidR="00DC243A" w:rsidRPr="005972FF">
        <w:rPr>
          <w:vertAlign w:val="subscript"/>
          <w:lang w:val="en-US"/>
        </w:rPr>
        <w:t>3,24</w:t>
      </w:r>
      <w:r w:rsidR="00DC243A">
        <w:rPr>
          <w:lang w:val="en-US"/>
        </w:rPr>
        <w:t xml:space="preserve">=1.605, p=0.2143; </w:t>
      </w:r>
      <w:r>
        <w:rPr>
          <w:b/>
          <w:bCs/>
          <w:lang w:val="en-US"/>
        </w:rPr>
        <w:t>d</w:t>
      </w:r>
      <w:r w:rsidR="00DC243A" w:rsidRPr="00A7787F">
        <w:rPr>
          <w:lang w:val="en-US"/>
        </w:rPr>
        <w:t>)</w:t>
      </w:r>
      <w:r w:rsidR="00DC243A" w:rsidRPr="00235F9E">
        <w:rPr>
          <w:lang w:val="en-US"/>
        </w:rPr>
        <w:t xml:space="preserve">, </w:t>
      </w:r>
      <w:r w:rsidR="00DC243A" w:rsidRPr="00235F9E">
        <w:rPr>
          <w:i/>
          <w:iCs/>
          <w:lang w:val="en-US"/>
        </w:rPr>
        <w:t>Creb</w:t>
      </w:r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F</w:t>
      </w:r>
      <w:r w:rsidR="00DC243A" w:rsidRPr="005972FF">
        <w:rPr>
          <w:vertAlign w:val="subscript"/>
          <w:lang w:val="en-US"/>
        </w:rPr>
        <w:t>3,24</w:t>
      </w:r>
      <w:r w:rsidR="00DC243A">
        <w:rPr>
          <w:lang w:val="en-US"/>
        </w:rPr>
        <w:t xml:space="preserve">=0.3206, p=0.8104; </w:t>
      </w:r>
      <w:r>
        <w:rPr>
          <w:b/>
          <w:bCs/>
          <w:lang w:val="en-US"/>
        </w:rPr>
        <w:t>e</w:t>
      </w:r>
      <w:r w:rsidR="00DC243A" w:rsidRPr="00A7787F">
        <w:rPr>
          <w:lang w:val="en-US"/>
        </w:rPr>
        <w:t>)</w:t>
      </w:r>
      <w:r w:rsidR="00DC243A" w:rsidRPr="00235F9E">
        <w:rPr>
          <w:lang w:val="en-US"/>
        </w:rPr>
        <w:t xml:space="preserve">, or </w:t>
      </w:r>
      <w:r w:rsidR="00DC243A" w:rsidRPr="00235F9E">
        <w:rPr>
          <w:i/>
          <w:iCs/>
          <w:lang w:val="en-US"/>
        </w:rPr>
        <w:t>Bdnf</w:t>
      </w:r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H</w:t>
      </w:r>
      <w:r w:rsidR="00DC243A" w:rsidRPr="005972FF">
        <w:rPr>
          <w:vertAlign w:val="subscript"/>
          <w:lang w:val="en-US"/>
        </w:rPr>
        <w:t>4,2</w:t>
      </w:r>
      <w:r w:rsidR="00DC243A">
        <w:rPr>
          <w:vertAlign w:val="subscript"/>
          <w:lang w:val="en-US"/>
        </w:rPr>
        <w:t>7</w:t>
      </w:r>
      <w:r w:rsidR="00DC243A">
        <w:rPr>
          <w:lang w:val="en-US"/>
        </w:rPr>
        <w:t xml:space="preserve">=5.977, p=0.1127; </w:t>
      </w:r>
      <w:r>
        <w:rPr>
          <w:b/>
          <w:bCs/>
          <w:lang w:val="en-US"/>
        </w:rPr>
        <w:t>f</w:t>
      </w:r>
      <w:r w:rsidR="00DC243A" w:rsidRPr="00A7787F">
        <w:rPr>
          <w:lang w:val="en-US"/>
        </w:rPr>
        <w:t xml:space="preserve">) </w:t>
      </w:r>
      <w:r w:rsidR="00DC243A" w:rsidRPr="00235F9E">
        <w:rPr>
          <w:lang w:val="en-US"/>
        </w:rPr>
        <w:t>in the prefrontal cortex of chronically stressed mice, as measured by qPCR.</w:t>
      </w:r>
    </w:p>
    <w:p w14:paraId="520F1DF2" w14:textId="1D5B898A" w:rsidR="00153B2F" w:rsidRDefault="00DC243A" w:rsidP="00DC243A">
      <w:pPr>
        <w:pStyle w:val="Akapitzlist"/>
        <w:spacing w:line="360" w:lineRule="auto"/>
        <w:ind w:left="0"/>
        <w:jc w:val="both"/>
        <w:rPr>
          <w:lang w:val="en-US"/>
        </w:rPr>
      </w:pPr>
      <w:r w:rsidRPr="00235F9E">
        <w:rPr>
          <w:lang w:val="en-US"/>
        </w:rPr>
        <w:t>Data are presented as mean ± SD (</w:t>
      </w:r>
      <w:proofErr w:type="gramStart"/>
      <w:r w:rsidR="00153B2F">
        <w:rPr>
          <w:b/>
          <w:bCs/>
          <w:lang w:val="en-US"/>
        </w:rPr>
        <w:t>a</w:t>
      </w:r>
      <w:r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c</w:t>
      </w:r>
      <w:proofErr w:type="gramEnd"/>
      <w:r w:rsidRPr="00235F9E">
        <w:rPr>
          <w:b/>
          <w:bCs/>
          <w:lang w:val="en-US"/>
        </w:rPr>
        <w:t>,</w:t>
      </w:r>
      <w:proofErr w:type="gramStart"/>
      <w:r w:rsidR="00153B2F">
        <w:rPr>
          <w:b/>
          <w:bCs/>
          <w:lang w:val="en-US"/>
        </w:rPr>
        <w:t>d</w:t>
      </w:r>
      <w:r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e</w:t>
      </w:r>
      <w:proofErr w:type="gramEnd"/>
      <w:r w:rsidRPr="00235F9E">
        <w:rPr>
          <w:lang w:val="en-US"/>
        </w:rPr>
        <w:t>) or median with interquartile range (</w:t>
      </w:r>
      <w:proofErr w:type="gramStart"/>
      <w:r w:rsidR="00153B2F">
        <w:rPr>
          <w:b/>
          <w:bCs/>
          <w:lang w:val="en-US"/>
        </w:rPr>
        <w:t>b</w:t>
      </w:r>
      <w:r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f</w:t>
      </w:r>
      <w:proofErr w:type="gramEnd"/>
      <w:r w:rsidRPr="00235F9E">
        <w:rPr>
          <w:lang w:val="en-US"/>
        </w:rPr>
        <w:t xml:space="preserve">). Statistical analysis: one-way ANOVA (Bonferroni </w:t>
      </w:r>
      <w:r w:rsidRPr="00235F9E">
        <w:rPr>
          <w:i/>
          <w:iCs/>
          <w:lang w:val="en-US"/>
        </w:rPr>
        <w:t>post hoc</w:t>
      </w:r>
      <w:r w:rsidRPr="00235F9E">
        <w:rPr>
          <w:lang w:val="en-US"/>
        </w:rPr>
        <w:t xml:space="preserve">; </w:t>
      </w:r>
      <w:proofErr w:type="gramStart"/>
      <w:r w:rsidR="00153B2F">
        <w:rPr>
          <w:b/>
          <w:bCs/>
          <w:lang w:val="en-US"/>
        </w:rPr>
        <w:t>a</w:t>
      </w:r>
      <w:r w:rsidR="00153B2F"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c</w:t>
      </w:r>
      <w:proofErr w:type="gramEnd"/>
      <w:r w:rsidR="00153B2F" w:rsidRPr="00235F9E">
        <w:rPr>
          <w:b/>
          <w:bCs/>
          <w:lang w:val="en-US"/>
        </w:rPr>
        <w:t>,</w:t>
      </w:r>
      <w:proofErr w:type="gramStart"/>
      <w:r w:rsidR="00153B2F">
        <w:rPr>
          <w:b/>
          <w:bCs/>
          <w:lang w:val="en-US"/>
        </w:rPr>
        <w:t>d</w:t>
      </w:r>
      <w:r w:rsidR="00153B2F"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e</w:t>
      </w:r>
      <w:proofErr w:type="gramEnd"/>
      <w:r w:rsidRPr="00235F9E">
        <w:rPr>
          <w:lang w:val="en-US"/>
        </w:rPr>
        <w:t xml:space="preserve">) and Kruskal–Wallis (Dunn’s </w:t>
      </w:r>
      <w:r w:rsidRPr="00235F9E">
        <w:rPr>
          <w:i/>
          <w:iCs/>
          <w:lang w:val="en-US"/>
        </w:rPr>
        <w:t>post hoc</w:t>
      </w:r>
      <w:r w:rsidRPr="00235F9E">
        <w:rPr>
          <w:lang w:val="en-US"/>
        </w:rPr>
        <w:t xml:space="preserve">; </w:t>
      </w:r>
      <w:proofErr w:type="gramStart"/>
      <w:r w:rsidR="00153B2F">
        <w:rPr>
          <w:b/>
          <w:bCs/>
          <w:lang w:val="en-US"/>
        </w:rPr>
        <w:t>b</w:t>
      </w:r>
      <w:r w:rsidR="00153B2F"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f</w:t>
      </w:r>
      <w:proofErr w:type="gramEnd"/>
      <w:r w:rsidRPr="00235F9E">
        <w:rPr>
          <w:lang w:val="en-US"/>
        </w:rPr>
        <w:t>); *p &lt; 0.05, n = 6–7.</w:t>
      </w:r>
      <w:r>
        <w:rPr>
          <w:lang w:val="en-US"/>
        </w:rPr>
        <w:t xml:space="preserve"> </w:t>
      </w:r>
      <w:r w:rsidRPr="00496B3C">
        <w:rPr>
          <w:lang w:val="en-US"/>
        </w:rPr>
        <w:t>Doses are expressed in milligrams per kilogram of body weight (mg/kg)</w:t>
      </w:r>
      <w:r>
        <w:rPr>
          <w:lang w:val="en-US"/>
        </w:rPr>
        <w:t>.</w:t>
      </w:r>
    </w:p>
    <w:p w14:paraId="7E2EBBF3" w14:textId="77777777" w:rsidR="00153B2F" w:rsidRDefault="00153B2F" w:rsidP="00DC243A">
      <w:pPr>
        <w:pStyle w:val="Akapitzlist"/>
        <w:spacing w:line="360" w:lineRule="auto"/>
        <w:ind w:left="0"/>
        <w:jc w:val="both"/>
        <w:rPr>
          <w:lang w:val="en-US"/>
        </w:rPr>
      </w:pPr>
    </w:p>
    <w:p w14:paraId="47E67FEE" w14:textId="545F4713" w:rsidR="00235F9E" w:rsidRDefault="00153B2F" w:rsidP="00DC243A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  <w:r w:rsidRPr="00153B2F">
        <w:rPr>
          <w:b/>
          <w:bCs/>
          <w:noProof/>
          <w:lang w:val="en-US"/>
        </w:rPr>
        <w:drawing>
          <wp:inline distT="0" distB="0" distL="0" distR="0" wp14:anchorId="6636817C" wp14:editId="5B42F739">
            <wp:extent cx="5756910" cy="5034915"/>
            <wp:effectExtent l="0" t="0" r="0" b="0"/>
            <wp:docPr id="16583284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284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F9E">
        <w:rPr>
          <w:b/>
          <w:bCs/>
          <w:lang w:val="en-US"/>
        </w:rPr>
        <w:br w:type="page"/>
      </w:r>
    </w:p>
    <w:p w14:paraId="52A07912" w14:textId="332394C7" w:rsidR="00235F9E" w:rsidRPr="00235F9E" w:rsidRDefault="00235F9E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  <w:r w:rsidRPr="00235F9E">
        <w:rPr>
          <w:b/>
          <w:bCs/>
          <w:lang w:val="en-US"/>
        </w:rPr>
        <w:lastRenderedPageBreak/>
        <w:t>Figure S</w:t>
      </w:r>
      <w:r w:rsidR="002D66A4">
        <w:rPr>
          <w:b/>
          <w:bCs/>
          <w:lang w:val="en-US"/>
        </w:rPr>
        <w:t>4</w:t>
      </w:r>
      <w:r w:rsidRPr="00235F9E">
        <w:rPr>
          <w:b/>
          <w:bCs/>
          <w:lang w:val="en-US"/>
        </w:rPr>
        <w:t xml:space="preserve"> (complementary to Figure 3) HBK-15 moderately modulates PKC protein without altering CaMKII and RSK2 gene expression</w:t>
      </w:r>
    </w:p>
    <w:p w14:paraId="715197B4" w14:textId="60A9512A" w:rsidR="00235F9E" w:rsidRPr="00235F9E" w:rsidRDefault="00235F9E" w:rsidP="00235F9E">
      <w:pPr>
        <w:pStyle w:val="Akapitzlist"/>
        <w:spacing w:line="360" w:lineRule="auto"/>
        <w:ind w:left="0"/>
        <w:jc w:val="both"/>
        <w:rPr>
          <w:lang w:val="en-US"/>
        </w:rPr>
      </w:pPr>
      <w:r w:rsidRPr="00235F9E">
        <w:rPr>
          <w:b/>
          <w:bCs/>
          <w:lang w:val="en-US"/>
        </w:rPr>
        <w:t>a–b</w:t>
      </w:r>
      <w:r w:rsidRPr="00235F9E">
        <w:rPr>
          <w:lang w:val="en-US"/>
        </w:rPr>
        <w:t xml:space="preserve">: Relative mRNA expression of </w:t>
      </w:r>
      <w:r w:rsidRPr="00235F9E">
        <w:rPr>
          <w:i/>
          <w:iCs/>
          <w:lang w:val="en-US"/>
        </w:rPr>
        <w:t>Rps6ka3</w:t>
      </w:r>
      <w:r w:rsidRPr="00235F9E">
        <w:rPr>
          <w:lang w:val="en-US"/>
        </w:rPr>
        <w:t xml:space="preserve"> (</w:t>
      </w:r>
      <w:r w:rsidR="00410AA9">
        <w:rPr>
          <w:lang w:val="en-US"/>
        </w:rPr>
        <w:t>F</w:t>
      </w:r>
      <w:r w:rsidR="00410AA9" w:rsidRPr="005972FF">
        <w:rPr>
          <w:vertAlign w:val="subscript"/>
          <w:lang w:val="en-US"/>
        </w:rPr>
        <w:t>3,24</w:t>
      </w:r>
      <w:r w:rsidR="00410AA9">
        <w:rPr>
          <w:lang w:val="en-US"/>
        </w:rPr>
        <w:t>=</w:t>
      </w:r>
      <w:r w:rsidR="00C73E7C">
        <w:rPr>
          <w:lang w:val="en-US"/>
        </w:rPr>
        <w:t>1.107</w:t>
      </w:r>
      <w:r w:rsidR="00410AA9">
        <w:rPr>
          <w:lang w:val="en-US"/>
        </w:rPr>
        <w:t>, p=0.</w:t>
      </w:r>
      <w:r w:rsidR="00C73E7C">
        <w:rPr>
          <w:lang w:val="en-US"/>
        </w:rPr>
        <w:t>3657</w:t>
      </w:r>
      <w:r w:rsidR="00410AA9">
        <w:rPr>
          <w:lang w:val="en-US"/>
        </w:rPr>
        <w:t xml:space="preserve">; </w:t>
      </w:r>
      <w:r w:rsidRPr="00235F9E">
        <w:rPr>
          <w:b/>
          <w:bCs/>
          <w:lang w:val="en-US"/>
        </w:rPr>
        <w:t>a</w:t>
      </w:r>
      <w:r w:rsidRPr="00235F9E">
        <w:rPr>
          <w:lang w:val="en-US"/>
        </w:rPr>
        <w:t xml:space="preserve">) and </w:t>
      </w:r>
      <w:r w:rsidRPr="00235F9E">
        <w:rPr>
          <w:i/>
          <w:iCs/>
          <w:lang w:val="en-US"/>
        </w:rPr>
        <w:t>Camk2a</w:t>
      </w:r>
      <w:r w:rsidRPr="00235F9E">
        <w:rPr>
          <w:lang w:val="en-US"/>
        </w:rPr>
        <w:t xml:space="preserve"> (</w:t>
      </w:r>
      <w:r w:rsidR="00C73E7C">
        <w:rPr>
          <w:lang w:val="en-US"/>
        </w:rPr>
        <w:t>H</w:t>
      </w:r>
      <w:r w:rsidR="00C73E7C">
        <w:rPr>
          <w:vertAlign w:val="subscript"/>
          <w:lang w:val="en-US"/>
        </w:rPr>
        <w:t>4</w:t>
      </w:r>
      <w:r w:rsidR="00410AA9" w:rsidRPr="005972FF">
        <w:rPr>
          <w:vertAlign w:val="subscript"/>
          <w:lang w:val="en-US"/>
        </w:rPr>
        <w:t>,2</w:t>
      </w:r>
      <w:r w:rsidR="00C73E7C">
        <w:rPr>
          <w:vertAlign w:val="subscript"/>
          <w:lang w:val="en-US"/>
        </w:rPr>
        <w:t>8</w:t>
      </w:r>
      <w:r w:rsidR="00410AA9">
        <w:rPr>
          <w:lang w:val="en-US"/>
        </w:rPr>
        <w:t>=</w:t>
      </w:r>
      <w:r w:rsidR="00C73E7C">
        <w:rPr>
          <w:lang w:val="en-US"/>
        </w:rPr>
        <w:t>1.37</w:t>
      </w:r>
      <w:r w:rsidR="00410AA9">
        <w:rPr>
          <w:lang w:val="en-US"/>
        </w:rPr>
        <w:t>, p=0.</w:t>
      </w:r>
      <w:r w:rsidR="00C73E7C">
        <w:rPr>
          <w:lang w:val="en-US"/>
        </w:rPr>
        <w:t>7125</w:t>
      </w:r>
      <w:r w:rsidR="00410AA9">
        <w:rPr>
          <w:lang w:val="en-US"/>
        </w:rPr>
        <w:t xml:space="preserve">; </w:t>
      </w:r>
      <w:r w:rsidRPr="00235F9E">
        <w:rPr>
          <w:b/>
          <w:bCs/>
          <w:lang w:val="en-US"/>
        </w:rPr>
        <w:t>b</w:t>
      </w:r>
      <w:r w:rsidRPr="00235F9E">
        <w:rPr>
          <w:lang w:val="en-US"/>
        </w:rPr>
        <w:t>), measured by qPCR, showed no significant changes following HBK-15 or ketamine treatment in mice subjected to the unpredictable chronic mild stress.</w:t>
      </w:r>
    </w:p>
    <w:p w14:paraId="6235D15F" w14:textId="60941DDB" w:rsidR="00235F9E" w:rsidRPr="00235F9E" w:rsidRDefault="00235F9E" w:rsidP="00235F9E">
      <w:pPr>
        <w:pStyle w:val="Akapitzlist"/>
        <w:spacing w:line="360" w:lineRule="auto"/>
        <w:ind w:left="0"/>
        <w:jc w:val="both"/>
        <w:rPr>
          <w:lang w:val="en-US"/>
        </w:rPr>
      </w:pPr>
      <w:r w:rsidRPr="00235F9E">
        <w:rPr>
          <w:b/>
          <w:bCs/>
          <w:lang w:val="en-US"/>
        </w:rPr>
        <w:t>c–d</w:t>
      </w:r>
      <w:r w:rsidRPr="00235F9E">
        <w:rPr>
          <w:lang w:val="en-US"/>
        </w:rPr>
        <w:t>: HBK-15 increased phosphorylated PKC (</w:t>
      </w:r>
      <w:r w:rsidR="00410AA9">
        <w:rPr>
          <w:lang w:val="en-US"/>
        </w:rPr>
        <w:t>F</w:t>
      </w:r>
      <w:r w:rsidR="00C73E7C">
        <w:rPr>
          <w:vertAlign w:val="subscript"/>
          <w:lang w:val="en-US"/>
        </w:rPr>
        <w:t>5</w:t>
      </w:r>
      <w:r w:rsidR="00410AA9" w:rsidRPr="005972FF">
        <w:rPr>
          <w:vertAlign w:val="subscript"/>
          <w:lang w:val="en-US"/>
        </w:rPr>
        <w:t>,</w:t>
      </w:r>
      <w:r w:rsidR="00C73E7C">
        <w:rPr>
          <w:vertAlign w:val="subscript"/>
          <w:lang w:val="en-US"/>
        </w:rPr>
        <w:t>29</w:t>
      </w:r>
      <w:r w:rsidR="00410AA9">
        <w:rPr>
          <w:lang w:val="en-US"/>
        </w:rPr>
        <w:t>=</w:t>
      </w:r>
      <w:r w:rsidR="00C73E7C">
        <w:rPr>
          <w:lang w:val="en-US"/>
        </w:rPr>
        <w:t>3.154</w:t>
      </w:r>
      <w:r w:rsidR="00410AA9">
        <w:rPr>
          <w:lang w:val="en-US"/>
        </w:rPr>
        <w:t>, p=0.0</w:t>
      </w:r>
      <w:r w:rsidR="00C73E7C">
        <w:rPr>
          <w:lang w:val="en-US"/>
        </w:rPr>
        <w:t>215</w:t>
      </w:r>
      <w:r w:rsidR="00410AA9">
        <w:rPr>
          <w:lang w:val="en-US"/>
        </w:rPr>
        <w:t xml:space="preserve">; </w:t>
      </w:r>
      <w:r w:rsidRPr="00235F9E">
        <w:rPr>
          <w:b/>
          <w:bCs/>
          <w:lang w:val="en-US"/>
        </w:rPr>
        <w:t>c</w:t>
      </w:r>
      <w:r w:rsidRPr="00235F9E">
        <w:rPr>
          <w:lang w:val="en-US"/>
        </w:rPr>
        <w:t>) but not PKC (</w:t>
      </w:r>
      <w:r w:rsidR="00410AA9">
        <w:rPr>
          <w:lang w:val="en-US"/>
        </w:rPr>
        <w:t>F</w:t>
      </w:r>
      <w:r w:rsidR="00C73E7C">
        <w:rPr>
          <w:vertAlign w:val="subscript"/>
          <w:lang w:val="en-US"/>
        </w:rPr>
        <w:t>5</w:t>
      </w:r>
      <w:r w:rsidR="00410AA9" w:rsidRPr="005972FF">
        <w:rPr>
          <w:vertAlign w:val="subscript"/>
          <w:lang w:val="en-US"/>
        </w:rPr>
        <w:t>,24</w:t>
      </w:r>
      <w:r w:rsidR="00410AA9">
        <w:rPr>
          <w:lang w:val="en-US"/>
        </w:rPr>
        <w:t>=</w:t>
      </w:r>
      <w:r w:rsidR="00C73E7C">
        <w:rPr>
          <w:lang w:val="en-US"/>
        </w:rPr>
        <w:t>2.809</w:t>
      </w:r>
      <w:r w:rsidR="00410AA9">
        <w:rPr>
          <w:lang w:val="en-US"/>
        </w:rPr>
        <w:t>, p=0.0</w:t>
      </w:r>
      <w:r w:rsidR="00C73E7C">
        <w:rPr>
          <w:lang w:val="en-US"/>
        </w:rPr>
        <w:t>391</w:t>
      </w:r>
      <w:r w:rsidR="00410AA9">
        <w:rPr>
          <w:lang w:val="en-US"/>
        </w:rPr>
        <w:t xml:space="preserve">; </w:t>
      </w:r>
      <w:r w:rsidRPr="00235F9E">
        <w:rPr>
          <w:b/>
          <w:bCs/>
          <w:lang w:val="en-US"/>
        </w:rPr>
        <w:t>d</w:t>
      </w:r>
      <w:r w:rsidRPr="00235F9E">
        <w:rPr>
          <w:lang w:val="en-US"/>
        </w:rPr>
        <w:t>) protein levels in the prefrontal cortex compared to stressed control mice.</w:t>
      </w:r>
    </w:p>
    <w:p w14:paraId="45AE0274" w14:textId="4A5A831F" w:rsidR="00235F9E" w:rsidRDefault="00235F9E" w:rsidP="00235F9E">
      <w:pPr>
        <w:pStyle w:val="Akapitzlist"/>
        <w:spacing w:line="360" w:lineRule="auto"/>
        <w:ind w:left="0"/>
        <w:jc w:val="both"/>
        <w:rPr>
          <w:lang w:val="en-US"/>
        </w:rPr>
      </w:pPr>
      <w:r w:rsidRPr="00235F9E">
        <w:rPr>
          <w:lang w:val="en-US"/>
        </w:rPr>
        <w:t>The data are presented as means ± SD (</w:t>
      </w:r>
      <w:proofErr w:type="gramStart"/>
      <w:r w:rsidRPr="00235F9E">
        <w:rPr>
          <w:b/>
          <w:bCs/>
          <w:lang w:val="en-US"/>
        </w:rPr>
        <w:t>a,c</w:t>
      </w:r>
      <w:proofErr w:type="gramEnd"/>
      <w:r w:rsidRPr="00235F9E">
        <w:rPr>
          <w:b/>
          <w:bCs/>
          <w:lang w:val="en-US"/>
        </w:rPr>
        <w:t>,d</w:t>
      </w:r>
      <w:r w:rsidRPr="00235F9E">
        <w:rPr>
          <w:lang w:val="en-US"/>
        </w:rPr>
        <w:t>) or medians with interquartile range (</w:t>
      </w:r>
      <w:r w:rsidRPr="00235F9E">
        <w:rPr>
          <w:b/>
          <w:bCs/>
          <w:lang w:val="en-US"/>
        </w:rPr>
        <w:t>b</w:t>
      </w:r>
      <w:r w:rsidRPr="00235F9E">
        <w:rPr>
          <w:lang w:val="en-US"/>
        </w:rPr>
        <w:t xml:space="preserve">). Statistical analysis: one-way ANOVA (Bonferroni </w:t>
      </w:r>
      <w:r w:rsidRPr="00235F9E">
        <w:rPr>
          <w:i/>
          <w:iCs/>
          <w:lang w:val="en-US"/>
        </w:rPr>
        <w:t>post hoc</w:t>
      </w:r>
      <w:r w:rsidRPr="00235F9E">
        <w:rPr>
          <w:lang w:val="en-US"/>
        </w:rPr>
        <w:t xml:space="preserve">; </w:t>
      </w:r>
      <w:proofErr w:type="gramStart"/>
      <w:r w:rsidRPr="00235F9E">
        <w:rPr>
          <w:b/>
          <w:bCs/>
          <w:lang w:val="en-US"/>
        </w:rPr>
        <w:t>a,c</w:t>
      </w:r>
      <w:proofErr w:type="gramEnd"/>
      <w:r w:rsidRPr="00235F9E">
        <w:rPr>
          <w:b/>
          <w:bCs/>
          <w:lang w:val="en-US"/>
        </w:rPr>
        <w:t>,d</w:t>
      </w:r>
      <w:r w:rsidRPr="00235F9E">
        <w:rPr>
          <w:lang w:val="en-US"/>
        </w:rPr>
        <w:t xml:space="preserve">) and Kruskal-Wallis (Dunn’s </w:t>
      </w:r>
      <w:r w:rsidRPr="00235F9E">
        <w:rPr>
          <w:i/>
          <w:iCs/>
          <w:lang w:val="en-US"/>
        </w:rPr>
        <w:t>post hoc;</w:t>
      </w:r>
      <w:r w:rsidRPr="00235F9E">
        <w:rPr>
          <w:lang w:val="en-US"/>
        </w:rPr>
        <w:t xml:space="preserve"> </w:t>
      </w:r>
      <w:r w:rsidRPr="00235F9E">
        <w:rPr>
          <w:b/>
          <w:bCs/>
          <w:lang w:val="en-US"/>
        </w:rPr>
        <w:t>b</w:t>
      </w:r>
      <w:r w:rsidRPr="00235F9E">
        <w:rPr>
          <w:lang w:val="en-US"/>
        </w:rPr>
        <w:t>); *p&lt;0.05, n=5-7.</w:t>
      </w:r>
      <w:r w:rsidR="009015E9">
        <w:rPr>
          <w:lang w:val="en-US"/>
        </w:rPr>
        <w:t xml:space="preserve"> </w:t>
      </w:r>
      <w:r w:rsidR="009015E9" w:rsidRPr="00496B3C">
        <w:rPr>
          <w:lang w:val="en-US"/>
        </w:rPr>
        <w:t>Doses are expressed in milligrams per kilogram of body weight (mg/kg)</w:t>
      </w:r>
      <w:r w:rsidR="009015E9">
        <w:rPr>
          <w:lang w:val="en-US"/>
        </w:rPr>
        <w:t>.</w:t>
      </w:r>
    </w:p>
    <w:p w14:paraId="6AE2BD42" w14:textId="77777777" w:rsidR="00F42604" w:rsidRDefault="00F42604" w:rsidP="00235F9E">
      <w:pPr>
        <w:pStyle w:val="Akapitzlist"/>
        <w:spacing w:line="360" w:lineRule="auto"/>
        <w:ind w:left="0"/>
        <w:jc w:val="both"/>
        <w:rPr>
          <w:lang w:val="en-US"/>
        </w:rPr>
      </w:pPr>
    </w:p>
    <w:p w14:paraId="2AD7C5F6" w14:textId="77777777" w:rsidR="00F42604" w:rsidRDefault="00F42604" w:rsidP="00235F9E">
      <w:pPr>
        <w:pStyle w:val="Akapitzlist"/>
        <w:spacing w:line="360" w:lineRule="auto"/>
        <w:ind w:left="0"/>
        <w:jc w:val="both"/>
        <w:rPr>
          <w:lang w:val="en-US"/>
        </w:rPr>
      </w:pPr>
    </w:p>
    <w:p w14:paraId="475CD41C" w14:textId="77777777" w:rsidR="00F42604" w:rsidRDefault="00F42604" w:rsidP="00235F9E">
      <w:pPr>
        <w:pStyle w:val="Akapitzlist"/>
        <w:spacing w:line="360" w:lineRule="auto"/>
        <w:ind w:left="0"/>
        <w:jc w:val="both"/>
        <w:rPr>
          <w:lang w:val="en-US"/>
        </w:rPr>
      </w:pPr>
    </w:p>
    <w:p w14:paraId="3236CE3D" w14:textId="5BFC4533" w:rsidR="00F42604" w:rsidRPr="00235F9E" w:rsidRDefault="00196A58" w:rsidP="00235F9E">
      <w:pPr>
        <w:pStyle w:val="Akapitzlist"/>
        <w:spacing w:line="360" w:lineRule="auto"/>
        <w:ind w:left="0"/>
        <w:jc w:val="both"/>
        <w:rPr>
          <w:lang w:val="en-US"/>
        </w:rPr>
      </w:pPr>
      <w:r w:rsidRPr="00196A58">
        <w:rPr>
          <w:lang w:val="en-US"/>
        </w:rPr>
        <w:lastRenderedPageBreak/>
        <w:drawing>
          <wp:inline distT="0" distB="0" distL="0" distR="0" wp14:anchorId="77F7A64B" wp14:editId="72B3733E">
            <wp:extent cx="5676900" cy="6781800"/>
            <wp:effectExtent l="0" t="0" r="0" b="0"/>
            <wp:docPr id="19549042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042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D6B4" w14:textId="2A267E80" w:rsidR="00235F9E" w:rsidRDefault="00235F9E" w:rsidP="00FE1D81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3896BA88" w14:textId="77777777" w:rsidR="00235F9E" w:rsidRDefault="00235F9E" w:rsidP="00FE1D81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4310BE58" w14:textId="2381DA3A" w:rsidR="00F42604" w:rsidRPr="00F42604" w:rsidRDefault="00F42604" w:rsidP="002D66A4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sectPr w:rsidR="00F42604" w:rsidRPr="00F42604" w:rsidSect="00235F9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54CC5"/>
    <w:multiLevelType w:val="multilevel"/>
    <w:tmpl w:val="C4FC95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6524B4"/>
    <w:multiLevelType w:val="hybridMultilevel"/>
    <w:tmpl w:val="A9EC6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3F3B45"/>
    <w:multiLevelType w:val="hybridMultilevel"/>
    <w:tmpl w:val="E95854A8"/>
    <w:lvl w:ilvl="0" w:tplc="160C1668">
      <w:start w:val="1"/>
      <w:numFmt w:val="lowerLetter"/>
      <w:lvlText w:val="%1–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625676">
    <w:abstractNumId w:val="1"/>
  </w:num>
  <w:num w:numId="2" w16cid:durableId="1342121754">
    <w:abstractNumId w:val="0"/>
  </w:num>
  <w:num w:numId="3" w16cid:durableId="535775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0D"/>
    <w:rsid w:val="00065D34"/>
    <w:rsid w:val="000978FB"/>
    <w:rsid w:val="000B6884"/>
    <w:rsid w:val="001406FA"/>
    <w:rsid w:val="00153B2F"/>
    <w:rsid w:val="00196A58"/>
    <w:rsid w:val="00205154"/>
    <w:rsid w:val="00235F9E"/>
    <w:rsid w:val="002765F2"/>
    <w:rsid w:val="002D66A4"/>
    <w:rsid w:val="003927C0"/>
    <w:rsid w:val="0039379A"/>
    <w:rsid w:val="003A37C1"/>
    <w:rsid w:val="003A62C8"/>
    <w:rsid w:val="00410AA9"/>
    <w:rsid w:val="0056205D"/>
    <w:rsid w:val="005856F1"/>
    <w:rsid w:val="00674263"/>
    <w:rsid w:val="006804A2"/>
    <w:rsid w:val="00692310"/>
    <w:rsid w:val="0069534A"/>
    <w:rsid w:val="006E1120"/>
    <w:rsid w:val="006E6E0F"/>
    <w:rsid w:val="007061E6"/>
    <w:rsid w:val="007D5713"/>
    <w:rsid w:val="007E5560"/>
    <w:rsid w:val="007F068E"/>
    <w:rsid w:val="00807069"/>
    <w:rsid w:val="008540B6"/>
    <w:rsid w:val="008727FB"/>
    <w:rsid w:val="008B1CB1"/>
    <w:rsid w:val="008B4A80"/>
    <w:rsid w:val="009015E9"/>
    <w:rsid w:val="00995EC0"/>
    <w:rsid w:val="00A365DD"/>
    <w:rsid w:val="00A42770"/>
    <w:rsid w:val="00A8723F"/>
    <w:rsid w:val="00B13485"/>
    <w:rsid w:val="00B331E3"/>
    <w:rsid w:val="00BF424A"/>
    <w:rsid w:val="00BF4D0D"/>
    <w:rsid w:val="00C12AD7"/>
    <w:rsid w:val="00C12DD2"/>
    <w:rsid w:val="00C463A8"/>
    <w:rsid w:val="00C6303D"/>
    <w:rsid w:val="00C64C25"/>
    <w:rsid w:val="00C73E7C"/>
    <w:rsid w:val="00CA2A01"/>
    <w:rsid w:val="00CB3DCB"/>
    <w:rsid w:val="00CB613F"/>
    <w:rsid w:val="00D27669"/>
    <w:rsid w:val="00D32AE1"/>
    <w:rsid w:val="00D473EC"/>
    <w:rsid w:val="00D66D90"/>
    <w:rsid w:val="00D701C6"/>
    <w:rsid w:val="00D83768"/>
    <w:rsid w:val="00D915A8"/>
    <w:rsid w:val="00DA0003"/>
    <w:rsid w:val="00DA1D0E"/>
    <w:rsid w:val="00DC243A"/>
    <w:rsid w:val="00DD6778"/>
    <w:rsid w:val="00DE0BB1"/>
    <w:rsid w:val="00E20B9D"/>
    <w:rsid w:val="00E33B7F"/>
    <w:rsid w:val="00E90529"/>
    <w:rsid w:val="00EB5DFC"/>
    <w:rsid w:val="00EE768B"/>
    <w:rsid w:val="00F3697A"/>
    <w:rsid w:val="00F42604"/>
    <w:rsid w:val="00F651E6"/>
    <w:rsid w:val="00F74A2F"/>
    <w:rsid w:val="00F95B62"/>
    <w:rsid w:val="00FE1D81"/>
    <w:rsid w:val="274E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D4739"/>
  <w15:chartTrackingRefBased/>
  <w15:docId w15:val="{25C49ECD-8F4D-9D4F-A338-808440C3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61E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F4D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F4D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4D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F4D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4D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4D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4D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F4D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F4D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4D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F4D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4D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F4D0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F4D0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4D0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4D0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F4D0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F4D0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F4D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F4D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F4D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F4D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F4D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F4D0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F4D0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F4D0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4D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4D0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F4D0D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7061E6"/>
    <w:pPr>
      <w:spacing w:after="0" w:line="240" w:lineRule="auto"/>
    </w:pPr>
    <w:rPr>
      <w:kern w:val="0"/>
      <w:sz w:val="22"/>
      <w:szCs w:val="22"/>
      <w:lang w:eastAsia="pl-PL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66D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6D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6D90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6D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6D90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235F9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5F9E"/>
    <w:rPr>
      <w:color w:val="605E5C"/>
      <w:shd w:val="clear" w:color="auto" w:fill="E1DFDD"/>
    </w:rPr>
  </w:style>
  <w:style w:type="table" w:styleId="Siatkatabelijasna">
    <w:name w:val="Grid Table Light"/>
    <w:basedOn w:val="Standardowy"/>
    <w:uiPriority w:val="40"/>
    <w:rsid w:val="008B4A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2">
    <w:name w:val="Plain Table 2"/>
    <w:basedOn w:val="Standardowy"/>
    <w:uiPriority w:val="42"/>
    <w:rsid w:val="008B4A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1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karolina.pytka@uj.edu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902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Sałaciak</dc:creator>
  <cp:keywords/>
  <dc:description/>
  <cp:lastModifiedBy>Kinga Sałaciak</cp:lastModifiedBy>
  <cp:revision>36</cp:revision>
  <dcterms:created xsi:type="dcterms:W3CDTF">2024-03-04T10:35:00Z</dcterms:created>
  <dcterms:modified xsi:type="dcterms:W3CDTF">2025-07-09T15:07:00Z</dcterms:modified>
</cp:coreProperties>
</file>