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2F781" w14:textId="77777777" w:rsidR="00DE5F8D" w:rsidRPr="00DE5F8D" w:rsidRDefault="00DE5F8D" w:rsidP="00EC32DA">
      <w:pPr>
        <w:widowControl/>
        <w:spacing w:before="100" w:beforeAutospacing="1" w:after="100" w:afterAutospacing="1"/>
        <w:outlineLvl w:val="2"/>
        <w:rPr>
          <w:rFonts w:ascii="Calibri" w:eastAsia="ＭＳ Ｐゴシック" w:hAnsi="Calibri" w:cs="Calibri"/>
          <w:b/>
          <w:bCs/>
          <w:kern w:val="0"/>
          <w:szCs w:val="21"/>
        </w:rPr>
      </w:pPr>
      <w:r w:rsidRPr="00DE5F8D">
        <w:rPr>
          <w:rFonts w:ascii="Calibri" w:eastAsia="ＭＳ Ｐゴシック" w:hAnsi="Calibri" w:cs="Calibri"/>
          <w:b/>
          <w:bCs/>
          <w:kern w:val="0"/>
          <w:szCs w:val="21"/>
        </w:rPr>
        <w:t>Supplementary Methods</w:t>
      </w:r>
    </w:p>
    <w:p w14:paraId="628E06EC" w14:textId="573D0E6E" w:rsidR="00DE5F8D" w:rsidRPr="00DE5F8D" w:rsidRDefault="00DE5F8D" w:rsidP="00EC32DA">
      <w:pPr>
        <w:pStyle w:val="a9"/>
        <w:widowControl/>
        <w:numPr>
          <w:ilvl w:val="0"/>
          <w:numId w:val="1"/>
        </w:numPr>
        <w:spacing w:before="100" w:beforeAutospacing="1" w:after="100" w:afterAutospacing="1"/>
        <w:outlineLvl w:val="3"/>
        <w:rPr>
          <w:rFonts w:ascii="Calibri" w:eastAsia="ＭＳ Ｐゴシック" w:hAnsi="Calibri" w:cs="Calibri"/>
          <w:b/>
          <w:bCs/>
          <w:kern w:val="0"/>
          <w:szCs w:val="21"/>
        </w:rPr>
      </w:pPr>
      <w:r w:rsidRPr="00DE5F8D">
        <w:rPr>
          <w:rFonts w:ascii="Calibri" w:eastAsia="ＭＳ Ｐゴシック" w:hAnsi="Calibri" w:cs="Calibri"/>
          <w:b/>
          <w:bCs/>
          <w:kern w:val="0"/>
          <w:szCs w:val="21"/>
        </w:rPr>
        <w:t>Cell Composition Estimation for Sequencing-Based DNA Methylation Data in Cord Blood</w:t>
      </w:r>
    </w:p>
    <w:p w14:paraId="7DAC7DB2" w14:textId="77777777" w:rsidR="00DE5F8D" w:rsidRPr="00DE5F8D" w:rsidRDefault="00DE5F8D" w:rsidP="00EC32DA">
      <w:pPr>
        <w:widowControl/>
        <w:spacing w:before="100" w:beforeAutospacing="1" w:after="100" w:afterAutospacing="1"/>
        <w:rPr>
          <w:rFonts w:ascii="Calibri" w:eastAsia="ＭＳ Ｐゴシック" w:hAnsi="Calibri" w:cs="Calibri"/>
          <w:kern w:val="0"/>
          <w:szCs w:val="21"/>
        </w:rPr>
      </w:pPr>
      <w:r w:rsidRPr="00DE5F8D">
        <w:rPr>
          <w:rFonts w:ascii="Calibri" w:eastAsia="ＭＳ Ｐゴシック" w:hAnsi="Calibri" w:cs="Calibri"/>
          <w:kern w:val="0"/>
          <w:szCs w:val="21"/>
        </w:rPr>
        <w:t xml:space="preserve">To construct a reference-based cell-type composition estimation model optimized for sequencing-based DNA methylation data derived from neonatal cord blood, we generated whole-genome bisulfite sequencing (WGBS) data for purified nucleated red blood cells (nRBCs). Detailed experimental procedures for cord blood processing, </w:t>
      </w:r>
      <w:proofErr w:type="spellStart"/>
      <w:r w:rsidRPr="00DE5F8D">
        <w:rPr>
          <w:rFonts w:ascii="Calibri" w:eastAsia="ＭＳ Ｐゴシック" w:hAnsi="Calibri" w:cs="Calibri"/>
          <w:kern w:val="0"/>
          <w:szCs w:val="21"/>
        </w:rPr>
        <w:t>nRBC</w:t>
      </w:r>
      <w:proofErr w:type="spellEnd"/>
      <w:r w:rsidRPr="00DE5F8D">
        <w:rPr>
          <w:rFonts w:ascii="Calibri" w:eastAsia="ＭＳ Ｐゴシック" w:hAnsi="Calibri" w:cs="Calibri"/>
          <w:kern w:val="0"/>
          <w:szCs w:val="21"/>
        </w:rPr>
        <w:t xml:space="preserve"> isolation, DNA library preparation, and methylation profiling are described below.</w:t>
      </w:r>
    </w:p>
    <w:p w14:paraId="27B32644" w14:textId="0273C632" w:rsidR="00DE5F8D" w:rsidRPr="00DE5F8D" w:rsidRDefault="00DE5F8D" w:rsidP="00EC32DA">
      <w:pPr>
        <w:rPr>
          <w:rFonts w:ascii="Calibri" w:hAnsi="Calibri" w:cs="Calibri"/>
          <w:b/>
          <w:bCs/>
          <w:szCs w:val="21"/>
        </w:rPr>
      </w:pPr>
      <w:r w:rsidRPr="00DE5F8D">
        <w:rPr>
          <w:rFonts w:ascii="Calibri" w:hAnsi="Calibri" w:cs="Calibri"/>
          <w:b/>
          <w:bCs/>
          <w:szCs w:val="21"/>
        </w:rPr>
        <w:t xml:space="preserve">1.1 Cord blood collection and </w:t>
      </w:r>
      <w:proofErr w:type="spellStart"/>
      <w:r w:rsidRPr="00DE5F8D">
        <w:rPr>
          <w:rFonts w:ascii="Calibri" w:hAnsi="Calibri" w:cs="Calibri"/>
          <w:b/>
          <w:bCs/>
          <w:szCs w:val="21"/>
        </w:rPr>
        <w:t>anonymisation</w:t>
      </w:r>
      <w:proofErr w:type="spellEnd"/>
    </w:p>
    <w:p w14:paraId="2679A0C2" w14:textId="5585E437" w:rsidR="00DE5F8D" w:rsidRPr="00DE5F8D" w:rsidRDefault="00DE5F8D" w:rsidP="00EC32DA">
      <w:pPr>
        <w:rPr>
          <w:rFonts w:ascii="Calibri" w:hAnsi="Calibri" w:cs="Calibri"/>
          <w:szCs w:val="21"/>
        </w:rPr>
      </w:pPr>
      <w:r w:rsidRPr="00DE5F8D">
        <w:rPr>
          <w:rFonts w:ascii="Calibri" w:hAnsi="Calibri" w:cs="Calibri"/>
          <w:szCs w:val="21"/>
        </w:rPr>
        <w:t>An obstetrician-</w:t>
      </w:r>
      <w:proofErr w:type="spellStart"/>
      <w:r w:rsidRPr="00DE5F8D">
        <w:rPr>
          <w:rFonts w:ascii="Calibri" w:hAnsi="Calibri" w:cs="Calibri"/>
          <w:szCs w:val="21"/>
        </w:rPr>
        <w:t>gynaecologist</w:t>
      </w:r>
      <w:proofErr w:type="spellEnd"/>
      <w:r w:rsidRPr="00DE5F8D">
        <w:rPr>
          <w:rFonts w:ascii="Calibri" w:hAnsi="Calibri" w:cs="Calibri"/>
          <w:szCs w:val="21"/>
        </w:rPr>
        <w:t xml:space="preserve"> collected CB in a </w:t>
      </w:r>
      <w:proofErr w:type="spellStart"/>
      <w:r w:rsidRPr="00DE5F8D">
        <w:rPr>
          <w:rFonts w:ascii="Calibri" w:hAnsi="Calibri" w:cs="Calibri"/>
          <w:szCs w:val="21"/>
        </w:rPr>
        <w:t>Venoject</w:t>
      </w:r>
      <w:proofErr w:type="spellEnd"/>
      <w:r w:rsidRPr="00DE5F8D">
        <w:rPr>
          <w:rFonts w:ascii="Calibri" w:hAnsi="Calibri" w:cs="Calibri"/>
          <w:szCs w:val="21"/>
        </w:rPr>
        <w:t xml:space="preserve"> II blood collection tube (Terumo, Tokyo, Japan) immediately after caesarean delivery at IMU Hospital. Thereafter, the CB collection tube was transported from the hospital to the laboratory building. Here, it was </w:t>
      </w:r>
      <w:proofErr w:type="spellStart"/>
      <w:r w:rsidRPr="00DE5F8D">
        <w:rPr>
          <w:rFonts w:ascii="Calibri" w:hAnsi="Calibri" w:cs="Calibri"/>
          <w:szCs w:val="21"/>
        </w:rPr>
        <w:t>anonymised</w:t>
      </w:r>
      <w:proofErr w:type="spellEnd"/>
      <w:r w:rsidRPr="00DE5F8D">
        <w:rPr>
          <w:rFonts w:ascii="Calibri" w:hAnsi="Calibri" w:cs="Calibri"/>
          <w:szCs w:val="21"/>
        </w:rPr>
        <w:t xml:space="preserve"> on an independent PC that was not connected to the network. Immediately thereafter, the CB samples were transferred to the laboratory, where pretreatment for flow cytometry was performed within 60 min of blood collection.</w:t>
      </w:r>
    </w:p>
    <w:p w14:paraId="2318EB33" w14:textId="3943692D" w:rsidR="00DE5F8D" w:rsidRPr="00DE5F8D" w:rsidRDefault="00DE5F8D" w:rsidP="00EC32DA">
      <w:pPr>
        <w:rPr>
          <w:rFonts w:ascii="Calibri" w:hAnsi="Calibri" w:cs="Calibri"/>
          <w:b/>
          <w:bCs/>
          <w:szCs w:val="21"/>
        </w:rPr>
      </w:pPr>
      <w:r w:rsidRPr="00DE5F8D">
        <w:rPr>
          <w:rFonts w:ascii="Calibri" w:hAnsi="Calibri" w:cs="Calibri"/>
          <w:b/>
          <w:bCs/>
          <w:szCs w:val="21"/>
        </w:rPr>
        <w:t>1.2 Pretreatment of cord blood before flow cytometry</w:t>
      </w:r>
    </w:p>
    <w:p w14:paraId="427331CC" w14:textId="64EF2FD3" w:rsidR="00DE5F8D" w:rsidRPr="00DE5F8D" w:rsidRDefault="00DE5F8D" w:rsidP="00EC32DA">
      <w:pPr>
        <w:rPr>
          <w:rFonts w:ascii="Calibri" w:hAnsi="Calibri" w:cs="Calibri"/>
          <w:szCs w:val="21"/>
        </w:rPr>
      </w:pPr>
      <w:r w:rsidRPr="00DE5F8D">
        <w:rPr>
          <w:rFonts w:ascii="Calibri" w:hAnsi="Calibri" w:cs="Calibri"/>
          <w:szCs w:val="21"/>
        </w:rPr>
        <w:t xml:space="preserve">As pretreatment for flow cytometry, 15 mL </w:t>
      </w:r>
      <w:proofErr w:type="spellStart"/>
      <w:r w:rsidRPr="00DE5F8D">
        <w:rPr>
          <w:rFonts w:ascii="Calibri" w:hAnsi="Calibri" w:cs="Calibri"/>
          <w:szCs w:val="21"/>
        </w:rPr>
        <w:t>anonymised</w:t>
      </w:r>
      <w:proofErr w:type="spellEnd"/>
      <w:r w:rsidRPr="00DE5F8D">
        <w:rPr>
          <w:rFonts w:ascii="Calibri" w:hAnsi="Calibri" w:cs="Calibri"/>
          <w:szCs w:val="21"/>
        </w:rPr>
        <w:t xml:space="preserve"> CB was mixed with 15 mL </w:t>
      </w:r>
      <w:proofErr w:type="spellStart"/>
      <w:r w:rsidRPr="00DE5F8D">
        <w:rPr>
          <w:rFonts w:ascii="Calibri" w:hAnsi="Calibri" w:cs="Calibri"/>
          <w:szCs w:val="21"/>
        </w:rPr>
        <w:t>autoMACS</w:t>
      </w:r>
      <w:proofErr w:type="spellEnd"/>
      <w:r w:rsidRPr="00DE5F8D">
        <w:rPr>
          <w:rFonts w:ascii="Calibri" w:hAnsi="Calibri" w:cs="Calibri"/>
          <w:szCs w:val="21"/>
        </w:rPr>
        <w:t xml:space="preserve"> Rinsing Solution (</w:t>
      </w:r>
      <w:proofErr w:type="spellStart"/>
      <w:r w:rsidRPr="00DE5F8D">
        <w:rPr>
          <w:rFonts w:ascii="Calibri" w:hAnsi="Calibri" w:cs="Calibri"/>
          <w:szCs w:val="21"/>
        </w:rPr>
        <w:t>Miltenyi</w:t>
      </w:r>
      <w:proofErr w:type="spellEnd"/>
      <w:r w:rsidRPr="00DE5F8D">
        <w:rPr>
          <w:rFonts w:ascii="Calibri" w:hAnsi="Calibri" w:cs="Calibri"/>
          <w:szCs w:val="21"/>
        </w:rPr>
        <w:t xml:space="preserve">, </w:t>
      </w:r>
      <w:proofErr w:type="spellStart"/>
      <w:r w:rsidRPr="00DE5F8D">
        <w:rPr>
          <w:rFonts w:ascii="Calibri" w:hAnsi="Calibri" w:cs="Calibri"/>
          <w:szCs w:val="21"/>
        </w:rPr>
        <w:t>Bergisch</w:t>
      </w:r>
      <w:proofErr w:type="spellEnd"/>
      <w:r w:rsidRPr="00DE5F8D">
        <w:rPr>
          <w:rFonts w:ascii="Calibri" w:hAnsi="Calibri" w:cs="Calibri"/>
          <w:szCs w:val="21"/>
        </w:rPr>
        <w:t xml:space="preserve"> Gladbach, Germany) to prepare a CB dilution solution. Thereafter, 30 mL of the solution was slowly added to a </w:t>
      </w:r>
      <w:proofErr w:type="spellStart"/>
      <w:r w:rsidRPr="00DE5F8D">
        <w:rPr>
          <w:rFonts w:ascii="Calibri" w:hAnsi="Calibri" w:cs="Calibri"/>
          <w:szCs w:val="21"/>
        </w:rPr>
        <w:t>Lymphoprep</w:t>
      </w:r>
      <w:proofErr w:type="spellEnd"/>
      <w:r w:rsidRPr="00DE5F8D">
        <w:rPr>
          <w:rFonts w:ascii="Calibri" w:hAnsi="Calibri" w:cs="Calibri"/>
          <w:szCs w:val="21"/>
        </w:rPr>
        <w:t xml:space="preserve"> Tube (</w:t>
      </w:r>
      <w:proofErr w:type="spellStart"/>
      <w:r w:rsidRPr="00DE5F8D">
        <w:rPr>
          <w:rFonts w:ascii="Calibri" w:hAnsi="Calibri" w:cs="Calibri"/>
          <w:szCs w:val="21"/>
        </w:rPr>
        <w:t>Serumwerk</w:t>
      </w:r>
      <w:proofErr w:type="spellEnd"/>
      <w:r w:rsidRPr="00DE5F8D">
        <w:rPr>
          <w:rFonts w:ascii="Calibri" w:hAnsi="Calibri" w:cs="Calibri"/>
          <w:szCs w:val="21"/>
        </w:rPr>
        <w:t xml:space="preserve"> Bernburg AG, Bernburg, Germany) and centrifuged at 800 × g for 20 min at 25 °C. Thereafter, the cord blood mononuclear cell (CBMC) layer was collected in a 15 mL tube. CBMCs were dispensed into at least four new 15 mL tubes of 1.0 × 107 cells each, and subsequently centrifuged at 400 × g for 10 min at 25 °C. The supernatant was removed with an aspirator and suspended in 100 μL 0.5% bovine serum albumin (BSA) solution. Human BD Fc Block (5 μL; 0.5 mg/mL, 0.25 mg, BD Biosciences, San Jose, CA, USA) was added to the cell suspension, vortexed using VORTEX-GENIE 2 Mixer (</w:t>
      </w:r>
      <w:proofErr w:type="spellStart"/>
      <w:r w:rsidRPr="00DE5F8D">
        <w:rPr>
          <w:rFonts w:ascii="Calibri" w:hAnsi="Calibri" w:cs="Calibri"/>
          <w:szCs w:val="21"/>
        </w:rPr>
        <w:t>Thermo</w:t>
      </w:r>
      <w:proofErr w:type="spellEnd"/>
      <w:r w:rsidRPr="00DE5F8D">
        <w:rPr>
          <w:rFonts w:ascii="Calibri" w:hAnsi="Calibri" w:cs="Calibri"/>
          <w:szCs w:val="21"/>
        </w:rPr>
        <w:t xml:space="preserve"> Fisher Scientific, Waltham, MA, USA), and incubated at 4 °C for 10 min. The 5 μL of florescent dye conjugated antibodies (Table 1) were added to the cell suspension and incubated at 4 °C for 30 min, shielded from light. Thereafter, 5 mL 0.5% BSA solution was added and centrifuged at 400 × g for 5 min at 25 °C. The supernatant was subsequently removed using an aspirator, and 2 mL 0.5% BSA solution was added to the suspension. Finally, the cell suspension was passed through a 30-micrometre </w:t>
      </w:r>
      <w:proofErr w:type="spellStart"/>
      <w:r w:rsidRPr="00DE5F8D">
        <w:rPr>
          <w:rFonts w:ascii="Calibri" w:hAnsi="Calibri" w:cs="Calibri"/>
          <w:szCs w:val="21"/>
        </w:rPr>
        <w:t>Partec</w:t>
      </w:r>
      <w:proofErr w:type="spellEnd"/>
      <w:r w:rsidRPr="00DE5F8D">
        <w:rPr>
          <w:rFonts w:ascii="Calibri" w:hAnsi="Calibri" w:cs="Calibri"/>
          <w:szCs w:val="21"/>
        </w:rPr>
        <w:t xml:space="preserve"> </w:t>
      </w:r>
      <w:proofErr w:type="spellStart"/>
      <w:r w:rsidRPr="00DE5F8D">
        <w:rPr>
          <w:rFonts w:ascii="Calibri" w:hAnsi="Calibri" w:cs="Calibri"/>
          <w:szCs w:val="21"/>
        </w:rPr>
        <w:t>CellTrics</w:t>
      </w:r>
      <w:proofErr w:type="spellEnd"/>
      <w:r w:rsidRPr="00DE5F8D">
        <w:rPr>
          <w:rFonts w:ascii="Calibri" w:hAnsi="Calibri" w:cs="Calibri"/>
          <w:szCs w:val="21"/>
        </w:rPr>
        <w:t xml:space="preserve"> filter (Sysmex </w:t>
      </w:r>
      <w:proofErr w:type="spellStart"/>
      <w:r w:rsidRPr="00DE5F8D">
        <w:rPr>
          <w:rFonts w:ascii="Calibri" w:hAnsi="Calibri" w:cs="Calibri"/>
          <w:szCs w:val="21"/>
        </w:rPr>
        <w:t>Partec</w:t>
      </w:r>
      <w:proofErr w:type="spellEnd"/>
      <w:r w:rsidRPr="00DE5F8D">
        <w:rPr>
          <w:rFonts w:ascii="Calibri" w:hAnsi="Calibri" w:cs="Calibri"/>
          <w:szCs w:val="21"/>
        </w:rPr>
        <w:t>, Görlitz, Germany) and collected in 15 mL tubes.</w:t>
      </w:r>
    </w:p>
    <w:p w14:paraId="584A478F" w14:textId="3E3DD3B2" w:rsidR="00DE5F8D" w:rsidRPr="00DE5F8D" w:rsidRDefault="00DE5F8D" w:rsidP="00EC32DA">
      <w:pPr>
        <w:rPr>
          <w:rFonts w:ascii="Calibri" w:hAnsi="Calibri" w:cs="Calibri"/>
          <w:b/>
          <w:bCs/>
          <w:szCs w:val="21"/>
        </w:rPr>
      </w:pPr>
      <w:r w:rsidRPr="00DE5F8D">
        <w:rPr>
          <w:rFonts w:ascii="Calibri" w:hAnsi="Calibri" w:cs="Calibri"/>
          <w:b/>
          <w:bCs/>
          <w:szCs w:val="21"/>
        </w:rPr>
        <w:t>1.3 Flow cytometry</w:t>
      </w:r>
    </w:p>
    <w:p w14:paraId="34A81ABB" w14:textId="04DD1F6D" w:rsidR="00DE5F8D" w:rsidRPr="00DE5F8D" w:rsidRDefault="00DE5F8D" w:rsidP="00EC32DA">
      <w:pPr>
        <w:rPr>
          <w:rFonts w:ascii="Calibri" w:hAnsi="Calibri" w:cs="Calibri"/>
          <w:szCs w:val="21"/>
        </w:rPr>
      </w:pPr>
      <w:r w:rsidRPr="00DE5F8D">
        <w:rPr>
          <w:rFonts w:ascii="Calibri" w:hAnsi="Calibri" w:cs="Calibri"/>
          <w:szCs w:val="21"/>
        </w:rPr>
        <w:t xml:space="preserve">Flow cytometry was conducted using a benchtop HS800 Cell Sorter (SONY Biotechnology, Tokyo, Japan) according to the manufacturer’s instructions. To isolate nRBCs from CB, a multistep gating procedure was performed in the cell sorter. First, we excluded debris (Figure 2A) and doublets (Figure </w:t>
      </w:r>
      <w:r w:rsidRPr="00DE5F8D">
        <w:rPr>
          <w:rFonts w:ascii="Calibri" w:hAnsi="Calibri" w:cs="Calibri"/>
          <w:szCs w:val="21"/>
        </w:rPr>
        <w:lastRenderedPageBreak/>
        <w:t>2B) using a li</w:t>
      </w:r>
      <w:r w:rsidRPr="00B814EB">
        <w:rPr>
          <w:rFonts w:ascii="Calibri" w:hAnsi="Calibri" w:cs="Calibri"/>
          <w:szCs w:val="21"/>
        </w:rPr>
        <w:t>ght scattergram. Th</w:t>
      </w:r>
      <w:r w:rsidRPr="00711CBD">
        <w:rPr>
          <w:rFonts w:ascii="Calibri" w:hAnsi="Calibri" w:cs="Calibri"/>
          <w:szCs w:val="21"/>
        </w:rPr>
        <w:t>ereafter, we collected CD3</w:t>
      </w:r>
      <w:r w:rsidRPr="00711CBD">
        <w:rPr>
          <w:rFonts w:ascii="Calibri" w:hAnsi="Calibri" w:cs="Calibri"/>
          <w:szCs w:val="21"/>
          <w:vertAlign w:val="superscript"/>
        </w:rPr>
        <w:t>-</w:t>
      </w:r>
      <w:r w:rsidRPr="00711CBD">
        <w:rPr>
          <w:rFonts w:ascii="Calibri" w:hAnsi="Calibri" w:cs="Calibri"/>
          <w:szCs w:val="21"/>
        </w:rPr>
        <w:t>CD14</w:t>
      </w:r>
      <w:r w:rsidRPr="00711CBD">
        <w:rPr>
          <w:rFonts w:ascii="Calibri" w:hAnsi="Calibri" w:cs="Calibri"/>
          <w:szCs w:val="21"/>
          <w:vertAlign w:val="superscript"/>
        </w:rPr>
        <w:t>-</w:t>
      </w:r>
      <w:r w:rsidRPr="00711CBD">
        <w:rPr>
          <w:rFonts w:ascii="Calibri" w:hAnsi="Calibri" w:cs="Calibri"/>
          <w:szCs w:val="21"/>
        </w:rPr>
        <w:t>CD19</w:t>
      </w:r>
      <w:r w:rsidRPr="00711CBD">
        <w:rPr>
          <w:rFonts w:ascii="Calibri" w:hAnsi="Calibri" w:cs="Calibri"/>
          <w:szCs w:val="21"/>
          <w:vertAlign w:val="superscript"/>
        </w:rPr>
        <w:t>-</w:t>
      </w:r>
      <w:r w:rsidRPr="00711CBD">
        <w:rPr>
          <w:rFonts w:ascii="Calibri" w:hAnsi="Calibri" w:cs="Calibri"/>
          <w:szCs w:val="21"/>
        </w:rPr>
        <w:t>CD71</w:t>
      </w:r>
      <w:r w:rsidRPr="00711CBD">
        <w:rPr>
          <w:rFonts w:ascii="Calibri" w:hAnsi="Calibri" w:cs="Calibri"/>
          <w:szCs w:val="21"/>
          <w:vertAlign w:val="superscript"/>
        </w:rPr>
        <w:t>+</w:t>
      </w:r>
      <w:r w:rsidRPr="00711CBD">
        <w:rPr>
          <w:rFonts w:ascii="Calibri" w:hAnsi="Calibri" w:cs="Calibri"/>
          <w:szCs w:val="21"/>
        </w:rPr>
        <w:t>CD235</w:t>
      </w:r>
      <w:r w:rsidRPr="00711CBD">
        <w:rPr>
          <w:rFonts w:ascii="Calibri" w:hAnsi="Calibri" w:cs="Calibri"/>
          <w:szCs w:val="21"/>
          <w:vertAlign w:val="superscript"/>
        </w:rPr>
        <w:t>+</w:t>
      </w:r>
      <w:r w:rsidRPr="00711CBD">
        <w:rPr>
          <w:rFonts w:ascii="Calibri" w:hAnsi="Calibri" w:cs="Calibri"/>
          <w:szCs w:val="21"/>
        </w:rPr>
        <w:t xml:space="preserve"> cells (Figure 2C-F) </w:t>
      </w:r>
      <w:r w:rsidR="003B5775" w:rsidRPr="00711CBD">
        <w:rPr>
          <w:rFonts w:ascii="Calibri" w:hAnsi="Calibri" w:cs="Calibri"/>
          <w:szCs w:val="21"/>
        </w:rPr>
        <w:t>using fluorochrome-conjugated monoclonal antibodies against CD3 (</w:t>
      </w:r>
      <w:r w:rsidR="00547BD0" w:rsidRPr="00711CBD">
        <w:rPr>
          <w:rFonts w:ascii="Calibri" w:hAnsi="Calibri" w:cs="Calibri"/>
          <w:szCs w:val="21"/>
        </w:rPr>
        <w:t>Cat.no.</w:t>
      </w:r>
      <w:r w:rsidR="00547BD0" w:rsidRPr="00711CBD">
        <w:rPr>
          <w:rFonts w:ascii="Calibri" w:hAnsi="Calibri" w:cs="Calibri"/>
        </w:rPr>
        <w:t>12-0038-42</w:t>
      </w:r>
      <w:r w:rsidR="003B5775" w:rsidRPr="00711CBD">
        <w:rPr>
          <w:rFonts w:ascii="Calibri" w:hAnsi="Calibri" w:cs="Calibri"/>
          <w:szCs w:val="21"/>
        </w:rPr>
        <w:t xml:space="preserve">, </w:t>
      </w:r>
      <w:proofErr w:type="spellStart"/>
      <w:r w:rsidR="00547BD0" w:rsidRPr="00711CBD">
        <w:rPr>
          <w:rFonts w:ascii="Calibri" w:eastAsia="Yu Gothic" w:hAnsi="Calibri" w:cs="Calibri"/>
          <w:color w:val="000000"/>
        </w:rPr>
        <w:t>eBioscience</w:t>
      </w:r>
      <w:proofErr w:type="spellEnd"/>
      <w:r w:rsidR="003B5775" w:rsidRPr="00711CBD">
        <w:rPr>
          <w:rFonts w:ascii="Calibri" w:hAnsi="Calibri" w:cs="Calibri"/>
          <w:szCs w:val="21"/>
        </w:rPr>
        <w:t>), CD14 (</w:t>
      </w:r>
      <w:r w:rsidR="00547BD0" w:rsidRPr="00711CBD">
        <w:rPr>
          <w:rFonts w:ascii="Calibri" w:hAnsi="Calibri" w:cs="Calibri"/>
          <w:szCs w:val="21"/>
        </w:rPr>
        <w:t>Cat.no.</w:t>
      </w:r>
      <w:r w:rsidR="00547BD0" w:rsidRPr="00711CBD">
        <w:rPr>
          <w:rFonts w:ascii="Calibri" w:eastAsia="Yu Gothic" w:hAnsi="Calibri" w:cs="Calibri"/>
          <w:color w:val="000000"/>
        </w:rPr>
        <w:t>25-0149-42</w:t>
      </w:r>
      <w:r w:rsidR="003B5775" w:rsidRPr="00711CBD">
        <w:rPr>
          <w:rFonts w:ascii="Calibri" w:hAnsi="Calibri" w:cs="Calibri"/>
          <w:szCs w:val="21"/>
        </w:rPr>
        <w:t xml:space="preserve">, </w:t>
      </w:r>
      <w:proofErr w:type="spellStart"/>
      <w:r w:rsidR="00547BD0" w:rsidRPr="00711CBD">
        <w:rPr>
          <w:rFonts w:ascii="Calibri" w:eastAsia="Yu Gothic" w:hAnsi="Calibri" w:cs="Calibri"/>
          <w:color w:val="000000"/>
        </w:rPr>
        <w:t>eBioscience</w:t>
      </w:r>
      <w:proofErr w:type="spellEnd"/>
      <w:r w:rsidR="003B5775" w:rsidRPr="00711CBD">
        <w:rPr>
          <w:rFonts w:ascii="Calibri" w:hAnsi="Calibri" w:cs="Calibri"/>
          <w:szCs w:val="21"/>
        </w:rPr>
        <w:t>), CD19 (</w:t>
      </w:r>
      <w:r w:rsidR="00547BD0" w:rsidRPr="00711CBD">
        <w:rPr>
          <w:rFonts w:ascii="Calibri" w:hAnsi="Calibri" w:cs="Calibri"/>
          <w:szCs w:val="21"/>
        </w:rPr>
        <w:t>Cat.no.</w:t>
      </w:r>
      <w:r w:rsidR="00547BD0" w:rsidRPr="00711CBD">
        <w:rPr>
          <w:rFonts w:ascii="Calibri" w:eastAsia="Yu Gothic" w:hAnsi="Calibri" w:cs="Calibri"/>
          <w:color w:val="000000"/>
        </w:rPr>
        <w:t xml:space="preserve"> 56-0199-42</w:t>
      </w:r>
      <w:r w:rsidR="003B5775" w:rsidRPr="00711CBD">
        <w:rPr>
          <w:rFonts w:ascii="Calibri" w:hAnsi="Calibri" w:cs="Calibri"/>
          <w:szCs w:val="21"/>
        </w:rPr>
        <w:t xml:space="preserve">, </w:t>
      </w:r>
      <w:proofErr w:type="spellStart"/>
      <w:r w:rsidR="00547BD0" w:rsidRPr="00711CBD">
        <w:rPr>
          <w:rFonts w:ascii="Calibri" w:eastAsia="Yu Gothic" w:hAnsi="Calibri" w:cs="Calibri"/>
          <w:color w:val="000000"/>
        </w:rPr>
        <w:t>eBioscience</w:t>
      </w:r>
      <w:proofErr w:type="spellEnd"/>
      <w:r w:rsidR="003B5775" w:rsidRPr="00711CBD">
        <w:rPr>
          <w:rFonts w:ascii="Calibri" w:hAnsi="Calibri" w:cs="Calibri"/>
          <w:szCs w:val="21"/>
        </w:rPr>
        <w:t>), CD71 (</w:t>
      </w:r>
      <w:r w:rsidR="00547BD0" w:rsidRPr="00711CBD">
        <w:rPr>
          <w:rFonts w:ascii="Calibri" w:hAnsi="Calibri" w:cs="Calibri"/>
          <w:szCs w:val="21"/>
        </w:rPr>
        <w:t>Cat.no.</w:t>
      </w:r>
      <w:r w:rsidR="00547BD0" w:rsidRPr="00711CBD">
        <w:rPr>
          <w:rFonts w:ascii="Calibri" w:eastAsia="Yu Gothic" w:hAnsi="Calibri" w:cs="Calibri"/>
          <w:color w:val="000000"/>
        </w:rPr>
        <w:t>17-0719-42</w:t>
      </w:r>
      <w:r w:rsidR="003B5775" w:rsidRPr="00711CBD">
        <w:rPr>
          <w:rFonts w:ascii="Calibri" w:hAnsi="Calibri" w:cs="Calibri"/>
          <w:szCs w:val="21"/>
        </w:rPr>
        <w:t xml:space="preserve">, </w:t>
      </w:r>
      <w:proofErr w:type="spellStart"/>
      <w:r w:rsidR="00547BD0" w:rsidRPr="00711CBD">
        <w:rPr>
          <w:rFonts w:ascii="Calibri" w:eastAsia="Yu Gothic" w:hAnsi="Calibri" w:cs="Calibri"/>
          <w:color w:val="000000"/>
        </w:rPr>
        <w:t>eBioscience</w:t>
      </w:r>
      <w:proofErr w:type="spellEnd"/>
      <w:r w:rsidR="003B5775" w:rsidRPr="00711CBD">
        <w:rPr>
          <w:rFonts w:ascii="Calibri" w:hAnsi="Calibri" w:cs="Calibri"/>
          <w:szCs w:val="21"/>
        </w:rPr>
        <w:t>), and CD235 (</w:t>
      </w:r>
      <w:r w:rsidR="00547BD0" w:rsidRPr="00711CBD">
        <w:rPr>
          <w:rFonts w:ascii="Calibri" w:hAnsi="Calibri" w:cs="Calibri"/>
          <w:szCs w:val="21"/>
        </w:rPr>
        <w:t>Cat.no.</w:t>
      </w:r>
      <w:r w:rsidR="00547BD0" w:rsidRPr="00711CBD">
        <w:rPr>
          <w:rFonts w:ascii="Calibri" w:eastAsia="Yu Gothic" w:hAnsi="Calibri" w:cs="Calibri"/>
          <w:color w:val="000000"/>
        </w:rPr>
        <w:t>11-9886-42</w:t>
      </w:r>
      <w:r w:rsidR="003B5775" w:rsidRPr="00711CBD">
        <w:rPr>
          <w:rFonts w:ascii="Calibri" w:hAnsi="Calibri" w:cs="Calibri"/>
          <w:szCs w:val="21"/>
        </w:rPr>
        <w:t xml:space="preserve">, </w:t>
      </w:r>
      <w:proofErr w:type="spellStart"/>
      <w:r w:rsidR="00547BD0" w:rsidRPr="00711CBD">
        <w:rPr>
          <w:rFonts w:ascii="Calibri" w:eastAsia="Yu Gothic" w:hAnsi="Calibri" w:cs="Calibri"/>
          <w:color w:val="000000"/>
        </w:rPr>
        <w:t>eBioscience</w:t>
      </w:r>
      <w:proofErr w:type="spellEnd"/>
      <w:r w:rsidR="003B5775" w:rsidRPr="00711CBD">
        <w:rPr>
          <w:rFonts w:ascii="Calibri" w:hAnsi="Calibri" w:cs="Calibri"/>
          <w:szCs w:val="21"/>
        </w:rPr>
        <w:t>) (Figure 2C–F). Cell sorting was performed in purity mode, and cells were collected in 5 mL of 0.5% BSA solution.</w:t>
      </w:r>
      <w:r w:rsidRPr="00711CBD">
        <w:rPr>
          <w:rFonts w:ascii="Calibri" w:hAnsi="Calibri" w:cs="Calibri"/>
          <w:szCs w:val="21"/>
        </w:rPr>
        <w:t xml:space="preserve"> A total of 5 × 106 cells were collected. The number of CD71+ CD235+ cells am</w:t>
      </w:r>
      <w:r w:rsidRPr="00DE5F8D">
        <w:rPr>
          <w:rFonts w:ascii="Calibri" w:hAnsi="Calibri" w:cs="Calibri"/>
          <w:szCs w:val="21"/>
        </w:rPr>
        <w:t>ong the collected cells was recorded for approximately 2000 events (Figure 2F), and the purity was calculated using the following formula:</w:t>
      </w:r>
    </w:p>
    <w:p w14:paraId="35870EA4" w14:textId="58645146" w:rsidR="00DE5F8D" w:rsidRDefault="00DE5F8D" w:rsidP="00EC32DA">
      <w:pPr>
        <w:rPr>
          <w:rFonts w:ascii="Calibri" w:hAnsi="Calibri" w:cs="Calibri"/>
          <w:szCs w:val="21"/>
        </w:rPr>
      </w:pPr>
      <m:oMathPara>
        <m:oMath>
          <m:r>
            <m:rPr>
              <m:sty m:val="p"/>
            </m:rPr>
            <w:rPr>
              <w:rFonts w:ascii="Cambria Math" w:hAnsi="Cambria Math" w:cs="Times New Roman"/>
              <w:color w:val="000000" w:themeColor="text1"/>
              <w:sz w:val="22"/>
              <w:szCs w:val="22"/>
            </w:rPr>
            <m:t xml:space="preserve">Purity </m:t>
          </m:r>
          <m:d>
            <m:dPr>
              <m:ctrlPr>
                <w:rPr>
                  <w:rFonts w:ascii="Cambria Math" w:hAnsi="Cambria Math" w:cs="Times New Roman"/>
                  <w:i/>
                  <w:color w:val="000000" w:themeColor="text1"/>
                </w:rPr>
              </m:ctrlPr>
            </m:dPr>
            <m:e>
              <m:r>
                <w:rPr>
                  <w:rFonts w:ascii="Cambria Math" w:hAnsi="Cambria Math" w:cs="Times New Roman"/>
                  <w:color w:val="000000" w:themeColor="text1"/>
                </w:rPr>
                <m:t>%</m:t>
              </m:r>
              <m:ctrlPr>
                <w:rPr>
                  <w:rFonts w:ascii="Cambria Math" w:hAnsi="Cambria Math" w:cs="Times New Roman"/>
                  <w:color w:val="000000" w:themeColor="text1"/>
                </w:rPr>
              </m:ctrlPr>
            </m:e>
          </m:d>
          <m:r>
            <w:rPr>
              <w:rFonts w:ascii="Cambria Math" w:hAnsi="Cambria Math" w:cs="Times New Roman"/>
              <w:color w:val="000000" w:themeColor="text1"/>
              <w:sz w:val="22"/>
              <w:szCs w:val="22"/>
            </w:rPr>
            <m:t>=</m:t>
          </m:r>
          <m:f>
            <m:fPr>
              <m:ctrlPr>
                <w:rPr>
                  <w:rFonts w:ascii="Cambria Math" w:hAnsi="Cambria Math" w:cs="Times New Roman"/>
                  <w:bCs/>
                  <w:color w:val="000000" w:themeColor="text1"/>
                  <w:sz w:val="22"/>
                  <w:szCs w:val="22"/>
                </w:rPr>
              </m:ctrlPr>
            </m:fPr>
            <m:num>
              <m:r>
                <m:rPr>
                  <m:sty m:val="p"/>
                </m:rPr>
                <w:rPr>
                  <w:rFonts w:ascii="Cambria Math" w:hAnsi="Cambria Math" w:cs="Times New Roman"/>
                  <w:color w:val="000000" w:themeColor="text1"/>
                  <w:sz w:val="22"/>
                  <w:szCs w:val="22"/>
                  <w:u w:val="single"/>
                </w:rPr>
                <m:t xml:space="preserve">Number of events in </m:t>
              </m:r>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CD3</m:t>
                  </m:r>
                </m:e>
                <m:sup>
                  <m:r>
                    <m:rPr>
                      <m:sty m:val="p"/>
                    </m:rPr>
                    <w:rPr>
                      <w:rFonts w:ascii="Cambria Math" w:hAnsi="Cambria Math" w:cs="Times New Roman"/>
                      <w:color w:val="000000" w:themeColor="text1"/>
                      <w:vertAlign w:val="superscript"/>
                    </w:rPr>
                    <m:t>-</m:t>
                  </m:r>
                </m:sup>
              </m:sSup>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CD14</m:t>
                  </m:r>
                </m:e>
                <m:sup>
                  <m:r>
                    <m:rPr>
                      <m:sty m:val="p"/>
                    </m:rPr>
                    <w:rPr>
                      <w:rFonts w:ascii="Cambria Math" w:hAnsi="Cambria Math" w:cs="Times New Roman"/>
                      <w:color w:val="000000" w:themeColor="text1"/>
                      <w:vertAlign w:val="superscript"/>
                    </w:rPr>
                    <m:t>-</m:t>
                  </m:r>
                </m:sup>
              </m:sSup>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CD19</m:t>
                  </m:r>
                </m:e>
                <m:sup>
                  <m:r>
                    <m:rPr>
                      <m:sty m:val="p"/>
                    </m:rPr>
                    <w:rPr>
                      <w:rFonts w:ascii="Cambria Math" w:hAnsi="Cambria Math" w:cs="Times New Roman"/>
                      <w:color w:val="000000" w:themeColor="text1"/>
                      <w:vertAlign w:val="superscript"/>
                    </w:rPr>
                    <m:t>-</m:t>
                  </m:r>
                </m:sup>
              </m:sSup>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CD71</m:t>
                  </m:r>
                </m:e>
                <m:sup>
                  <m:r>
                    <w:rPr>
                      <w:rFonts w:ascii="Cambria Math" w:hAnsi="Cambria Math" w:cs="Times New Roman"/>
                      <w:color w:val="000000" w:themeColor="text1"/>
                    </w:rPr>
                    <m:t>+</m:t>
                  </m:r>
                </m:sup>
              </m:sSup>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CD235</m:t>
                  </m:r>
                </m:e>
                <m:sup>
                  <m:r>
                    <w:rPr>
                      <w:rFonts w:ascii="Cambria Math" w:hAnsi="Cambria Math" w:cs="Times New Roman"/>
                      <w:color w:val="000000" w:themeColor="text1"/>
                    </w:rPr>
                    <m:t>+</m:t>
                  </m:r>
                </m:sup>
              </m:sSup>
            </m:num>
            <m:den>
              <m:r>
                <m:rPr>
                  <m:sty m:val="p"/>
                </m:rPr>
                <w:rPr>
                  <w:rFonts w:ascii="Cambria Math" w:hAnsi="Cambria Math" w:cs="Times New Roman"/>
                  <w:color w:val="000000" w:themeColor="text1"/>
                  <w:sz w:val="22"/>
                  <w:szCs w:val="22"/>
                </w:rPr>
                <m:t>Number of events without debris</m:t>
              </m:r>
            </m:den>
          </m:f>
          <m:r>
            <w:rPr>
              <w:rFonts w:ascii="Cambria Math" w:hAnsi="Cambria Math" w:cs="Times New Roman"/>
              <w:color w:val="000000" w:themeColor="text1"/>
              <w:sz w:val="22"/>
              <w:szCs w:val="22"/>
            </w:rPr>
            <m:t xml:space="preserve"> </m:t>
          </m:r>
          <m:r>
            <m:rPr>
              <m:sty m:val="p"/>
            </m:rPr>
            <w:rPr>
              <w:rFonts w:ascii="Cambria Math" w:hAnsi="Cambria Math" w:cs="Times New Roman"/>
              <w:color w:val="000000" w:themeColor="text1"/>
              <w:sz w:val="22"/>
              <w:szCs w:val="22"/>
            </w:rPr>
            <m:t>×</m:t>
          </m:r>
          <m:r>
            <w:rPr>
              <w:rFonts w:ascii="Cambria Math" w:hAnsi="Cambria Math" w:cs="Times New Roman"/>
              <w:color w:val="000000" w:themeColor="text1"/>
              <w:sz w:val="22"/>
              <w:szCs w:val="22"/>
            </w:rPr>
            <m:t xml:space="preserve"> 100</m:t>
          </m:r>
        </m:oMath>
      </m:oMathPara>
    </w:p>
    <w:p w14:paraId="7E3A9F09" w14:textId="57F5DE50" w:rsidR="00DE5F8D" w:rsidRPr="00DE5F8D" w:rsidRDefault="00DE5F8D" w:rsidP="00EC32DA">
      <w:pPr>
        <w:rPr>
          <w:rFonts w:ascii="Calibri" w:hAnsi="Calibri" w:cs="Calibri"/>
          <w:b/>
          <w:bCs/>
          <w:szCs w:val="21"/>
        </w:rPr>
      </w:pPr>
      <w:r w:rsidRPr="00DE5F8D">
        <w:rPr>
          <w:rFonts w:ascii="Calibri" w:hAnsi="Calibri" w:cs="Calibri"/>
          <w:b/>
          <w:bCs/>
          <w:szCs w:val="21"/>
        </w:rPr>
        <w:t>1.4 Smear test for nRBCs</w:t>
      </w:r>
    </w:p>
    <w:p w14:paraId="29F418BA" w14:textId="77777777" w:rsidR="00DE5F8D" w:rsidRPr="00DE5F8D" w:rsidRDefault="00DE5F8D" w:rsidP="00EC32DA">
      <w:pPr>
        <w:rPr>
          <w:rFonts w:ascii="Calibri" w:hAnsi="Calibri" w:cs="Calibri"/>
          <w:szCs w:val="21"/>
        </w:rPr>
      </w:pPr>
      <w:r w:rsidRPr="00DE5F8D">
        <w:rPr>
          <w:rFonts w:ascii="Calibri" w:hAnsi="Calibri" w:cs="Calibri"/>
          <w:szCs w:val="21"/>
        </w:rPr>
        <w:t xml:space="preserve">The ratio of nRBCs to sorted cells was evaluated using smear tests. A total of 1.0 × 106 cells were collected and centrifuged at 400 × g for 10 min at 25 °C, and the supernatant was removed. Thereafter, the cells were suspended in 500 µL ice-cold 4% paraformaldehyde-phosphate buffer and fixed for 1 min. The cells were washed twice with phosphate-buffered saline (PBS) and resuspended in 50 μL PBS. The cell suspension was placed on MAS-coated glass slides (Matsunami, Tokyo, Japan), allowed to dry, and cover-slipped with DAPI-containing VECTASHIELD Mounting Medium (Vector Laboratories, Burlingame, CA, USA). The DAPI-positive cells were observed and counted under the Zeiss Axio Observer Z1 microscope (Carl Zeiss SMT GmbH, </w:t>
      </w:r>
      <w:proofErr w:type="spellStart"/>
      <w:r w:rsidRPr="00DE5F8D">
        <w:rPr>
          <w:rFonts w:ascii="Calibri" w:hAnsi="Calibri" w:cs="Calibri"/>
          <w:szCs w:val="21"/>
        </w:rPr>
        <w:t>Oberkochen</w:t>
      </w:r>
      <w:proofErr w:type="spellEnd"/>
      <w:r w:rsidRPr="00DE5F8D">
        <w:rPr>
          <w:rFonts w:ascii="Calibri" w:hAnsi="Calibri" w:cs="Calibri"/>
          <w:szCs w:val="21"/>
        </w:rPr>
        <w:t xml:space="preserve">, Germany) using the 10× objective lens. Images containing at least 1,000 cells were selected using ImageJ software, and the total number of cells and DAPI-positive cells were counted. </w:t>
      </w:r>
      <w:proofErr w:type="spellStart"/>
      <w:r w:rsidRPr="00DE5F8D">
        <w:rPr>
          <w:rFonts w:ascii="Calibri" w:hAnsi="Calibri" w:cs="Calibri"/>
          <w:szCs w:val="21"/>
        </w:rPr>
        <w:t>nRBC</w:t>
      </w:r>
      <w:proofErr w:type="spellEnd"/>
      <w:r w:rsidRPr="00DE5F8D">
        <w:rPr>
          <w:rFonts w:ascii="Calibri" w:hAnsi="Calibri" w:cs="Calibri"/>
          <w:szCs w:val="21"/>
        </w:rPr>
        <w:t xml:space="preserve"> content was calculated using the following formula:</w:t>
      </w:r>
    </w:p>
    <w:p w14:paraId="493C721B" w14:textId="407304EC" w:rsidR="00DE5F8D" w:rsidRPr="00DE5F8D" w:rsidRDefault="00DE5F8D" w:rsidP="00EC32DA">
      <w:pPr>
        <w:rPr>
          <w:rFonts w:ascii="Calibri" w:hAnsi="Calibri" w:cs="Calibri"/>
          <w:color w:val="000000" w:themeColor="text1"/>
        </w:rPr>
      </w:pPr>
      <m:oMathPara>
        <m:oMath>
          <m:r>
            <m:rPr>
              <m:sty m:val="p"/>
            </m:rPr>
            <w:rPr>
              <w:rFonts w:ascii="Cambria Math" w:hAnsi="Cambria Math" w:cs="Calibri"/>
              <w:color w:val="000000" w:themeColor="text1"/>
            </w:rPr>
            <m:t>nRBCs content</m:t>
          </m:r>
          <m:r>
            <w:rPr>
              <w:rFonts w:ascii="Cambria Math" w:hAnsi="Cambria Math" w:cs="Calibri"/>
              <w:color w:val="000000" w:themeColor="text1"/>
            </w:rPr>
            <m:t xml:space="preserve"> </m:t>
          </m:r>
          <m:d>
            <m:dPr>
              <m:ctrlPr>
                <w:rPr>
                  <w:rFonts w:ascii="Cambria Math" w:hAnsi="Cambria Math" w:cs="Calibri"/>
                  <w:i/>
                  <w:color w:val="000000" w:themeColor="text1"/>
                </w:rPr>
              </m:ctrlPr>
            </m:dPr>
            <m:e>
              <m:r>
                <w:rPr>
                  <w:rFonts w:ascii="Cambria Math" w:hAnsi="Cambria Math" w:cs="Calibri"/>
                  <w:color w:val="000000" w:themeColor="text1"/>
                </w:rPr>
                <m:t>%</m:t>
              </m:r>
              <m:ctrlPr>
                <w:rPr>
                  <w:rFonts w:ascii="Cambria Math" w:hAnsi="Cambria Math" w:cs="Calibri"/>
                  <w:color w:val="000000" w:themeColor="text1"/>
                </w:rPr>
              </m:ctrlPr>
            </m:e>
          </m:d>
          <m:r>
            <w:rPr>
              <w:rFonts w:ascii="Cambria Math" w:hAnsi="Cambria Math" w:cs="Calibri"/>
              <w:color w:val="000000" w:themeColor="text1"/>
            </w:rPr>
            <m:t>=</m:t>
          </m:r>
          <m:f>
            <m:fPr>
              <m:ctrlPr>
                <w:rPr>
                  <w:rFonts w:ascii="Cambria Math" w:hAnsi="Cambria Math" w:cs="Calibri"/>
                  <w:bCs/>
                  <w:iCs/>
                  <w:color w:val="000000" w:themeColor="text1"/>
                </w:rPr>
              </m:ctrlPr>
            </m:fPr>
            <m:num>
              <m:r>
                <m:rPr>
                  <m:sty m:val="p"/>
                </m:rPr>
                <w:rPr>
                  <w:rFonts w:ascii="Cambria Math" w:hAnsi="Cambria Math" w:cs="Calibri"/>
                  <w:color w:val="000000" w:themeColor="text1"/>
                </w:rPr>
                <m:t>Number of DAPI positive cells</m:t>
              </m:r>
            </m:num>
            <m:den>
              <m:r>
                <m:rPr>
                  <m:sty m:val="p"/>
                </m:rPr>
                <w:rPr>
                  <w:rFonts w:ascii="Cambria Math" w:hAnsi="Cambria Math" w:cs="Calibri"/>
                  <w:color w:val="000000" w:themeColor="text1"/>
                </w:rPr>
                <m:t>Total number of cells</m:t>
              </m:r>
            </m:den>
          </m:f>
          <m:r>
            <w:rPr>
              <w:rFonts w:ascii="Cambria Math" w:hAnsi="Cambria Math" w:cs="Calibri"/>
              <w:color w:val="000000" w:themeColor="text1"/>
            </w:rPr>
            <m:t xml:space="preserve"> </m:t>
          </m:r>
          <m:r>
            <m:rPr>
              <m:sty m:val="p"/>
            </m:rPr>
            <w:rPr>
              <w:rFonts w:ascii="Cambria Math" w:hAnsi="Cambria Math" w:cs="Calibri"/>
              <w:color w:val="000000" w:themeColor="text1"/>
            </w:rPr>
            <m:t>×</m:t>
          </m:r>
          <m:r>
            <w:rPr>
              <w:rFonts w:ascii="Cambria Math" w:hAnsi="Cambria Math" w:cs="Calibri"/>
              <w:color w:val="000000" w:themeColor="text1"/>
            </w:rPr>
            <m:t xml:space="preserve"> 100</m:t>
          </m:r>
        </m:oMath>
      </m:oMathPara>
    </w:p>
    <w:p w14:paraId="4B4A11B7" w14:textId="042FFFBF" w:rsidR="00DE5F8D" w:rsidRPr="00DE5F8D" w:rsidRDefault="00DE5F8D" w:rsidP="00EC32DA">
      <w:pPr>
        <w:rPr>
          <w:rFonts w:ascii="Calibri" w:hAnsi="Calibri" w:cs="Calibri"/>
          <w:b/>
          <w:bCs/>
          <w:szCs w:val="21"/>
        </w:rPr>
      </w:pPr>
      <w:r w:rsidRPr="00DE5F8D">
        <w:rPr>
          <w:rFonts w:ascii="Calibri" w:hAnsi="Calibri" w:cs="Calibri"/>
          <w:b/>
          <w:bCs/>
          <w:szCs w:val="21"/>
        </w:rPr>
        <w:t>1.5 DNA extraction and preparation of sequencing libraries</w:t>
      </w:r>
    </w:p>
    <w:p w14:paraId="0F47B448" w14:textId="05D866CD" w:rsidR="00DE5F8D" w:rsidRPr="00DE5F8D" w:rsidRDefault="00DE5F8D" w:rsidP="00EC32DA">
      <w:pPr>
        <w:rPr>
          <w:rFonts w:ascii="Calibri" w:hAnsi="Calibri" w:cs="Calibri"/>
          <w:szCs w:val="21"/>
        </w:rPr>
      </w:pPr>
      <w:r w:rsidRPr="00DE5F8D">
        <w:rPr>
          <w:rFonts w:ascii="Calibri" w:hAnsi="Calibri" w:cs="Calibri"/>
          <w:szCs w:val="21"/>
        </w:rPr>
        <w:t xml:space="preserve">DNA was extracted using the </w:t>
      </w:r>
      <w:proofErr w:type="spellStart"/>
      <w:r w:rsidRPr="00DE5F8D">
        <w:rPr>
          <w:rFonts w:ascii="Calibri" w:hAnsi="Calibri" w:cs="Calibri"/>
          <w:szCs w:val="21"/>
        </w:rPr>
        <w:t>DNeasy</w:t>
      </w:r>
      <w:proofErr w:type="spellEnd"/>
      <w:r w:rsidRPr="00DE5F8D">
        <w:rPr>
          <w:rFonts w:ascii="Calibri" w:hAnsi="Calibri" w:cs="Calibri"/>
          <w:szCs w:val="21"/>
        </w:rPr>
        <w:t xml:space="preserve"> Blood and Tissue Kit (Qiagen, Hilden, Germany) according to the manufacturer’s instructions. </w:t>
      </w:r>
      <w:r>
        <w:rPr>
          <w:rFonts w:ascii="Calibri" w:hAnsi="Calibri" w:cs="Calibri"/>
          <w:szCs w:val="21"/>
        </w:rPr>
        <w:t xml:space="preserve"> </w:t>
      </w:r>
      <w:r w:rsidRPr="00DE5F8D">
        <w:rPr>
          <w:rFonts w:ascii="Calibri" w:hAnsi="Calibri" w:cs="Calibri"/>
          <w:szCs w:val="21"/>
        </w:rPr>
        <w:t>Aliquots of 300 ng genomic DNA (gDNA), eluted in 50 μL of TE buffer, were sheared into 350 bp fragments using a Covaris LE220 Focused-</w:t>
      </w:r>
      <w:proofErr w:type="spellStart"/>
      <w:r w:rsidRPr="00DE5F8D">
        <w:rPr>
          <w:rFonts w:ascii="Calibri" w:hAnsi="Calibri" w:cs="Calibri"/>
          <w:szCs w:val="21"/>
        </w:rPr>
        <w:t>ultrasonicator</w:t>
      </w:r>
      <w:proofErr w:type="spellEnd"/>
      <w:r w:rsidRPr="00DE5F8D">
        <w:rPr>
          <w:rFonts w:ascii="Calibri" w:hAnsi="Calibri" w:cs="Calibri"/>
          <w:szCs w:val="21"/>
        </w:rPr>
        <w:t xml:space="preserve"> (</w:t>
      </w:r>
      <w:proofErr w:type="spellStart"/>
      <w:r w:rsidRPr="00DE5F8D">
        <w:rPr>
          <w:rFonts w:ascii="Calibri" w:hAnsi="Calibri" w:cs="Calibri"/>
          <w:szCs w:val="21"/>
        </w:rPr>
        <w:t>Thermo</w:t>
      </w:r>
      <w:proofErr w:type="spellEnd"/>
      <w:r w:rsidRPr="00DE5F8D">
        <w:rPr>
          <w:rFonts w:ascii="Calibri" w:hAnsi="Calibri" w:cs="Calibri"/>
          <w:szCs w:val="21"/>
        </w:rPr>
        <w:t xml:space="preserve"> Fisher Scientific). Quality check of the fragmented gDNA was conducted using an Agilent 2200 TapeStation Instrument (Agilent Technologies). Aliquots of 150 ng fragmented gDNA were treated with the bisulfite reagent EZ DNA Methylation Kit (</w:t>
      </w:r>
      <w:proofErr w:type="spellStart"/>
      <w:r w:rsidRPr="00DE5F8D">
        <w:rPr>
          <w:rFonts w:ascii="Calibri" w:hAnsi="Calibri" w:cs="Calibri"/>
          <w:szCs w:val="21"/>
        </w:rPr>
        <w:t>Zymo</w:t>
      </w:r>
      <w:proofErr w:type="spellEnd"/>
      <w:r w:rsidRPr="00DE5F8D">
        <w:rPr>
          <w:rFonts w:ascii="Calibri" w:hAnsi="Calibri" w:cs="Calibri"/>
          <w:szCs w:val="21"/>
        </w:rPr>
        <w:t xml:space="preserve"> Research, Irvine, CA, USA). Libraries were prepared from 10 ng bisulfite-treated gDNA using an Accel-NGS Methyl-Seq Kit (Swift Biosciences, Inc., Ann Arbor, MI, USA) according to the manufacturer’s instructions. Four libraries were produced per sample to ensure complexity.</w:t>
      </w:r>
    </w:p>
    <w:p w14:paraId="4CDBD951" w14:textId="7551AC33" w:rsidR="00DE5F8D" w:rsidRPr="00DE5F8D" w:rsidRDefault="00DE5F8D" w:rsidP="00EC32DA">
      <w:pPr>
        <w:rPr>
          <w:rFonts w:ascii="Calibri" w:hAnsi="Calibri" w:cs="Calibri"/>
          <w:b/>
          <w:bCs/>
          <w:szCs w:val="21"/>
        </w:rPr>
      </w:pPr>
      <w:r w:rsidRPr="00DE5F8D">
        <w:rPr>
          <w:rFonts w:ascii="Calibri" w:hAnsi="Calibri" w:cs="Calibri"/>
          <w:b/>
          <w:bCs/>
          <w:szCs w:val="21"/>
        </w:rPr>
        <w:t>1.6 Whole genome bisulfite sequencing and statistics analyses</w:t>
      </w:r>
    </w:p>
    <w:p w14:paraId="35636535" w14:textId="594823E0" w:rsidR="00DE5F8D" w:rsidRPr="00DE5F8D" w:rsidRDefault="00DE5F8D" w:rsidP="00EC32DA">
      <w:pPr>
        <w:rPr>
          <w:rFonts w:ascii="Calibri" w:hAnsi="Calibri" w:cs="Calibri"/>
          <w:szCs w:val="21"/>
        </w:rPr>
      </w:pPr>
      <w:r w:rsidRPr="00DE5F8D">
        <w:rPr>
          <w:rFonts w:ascii="Calibri" w:hAnsi="Calibri" w:cs="Calibri"/>
          <w:szCs w:val="21"/>
        </w:rPr>
        <w:t xml:space="preserve">WGBS libraries containing 20% </w:t>
      </w:r>
      <w:proofErr w:type="spellStart"/>
      <w:r w:rsidRPr="00DE5F8D">
        <w:rPr>
          <w:rFonts w:ascii="Calibri" w:hAnsi="Calibri" w:cs="Calibri"/>
          <w:szCs w:val="21"/>
        </w:rPr>
        <w:t>phiX</w:t>
      </w:r>
      <w:proofErr w:type="spellEnd"/>
      <w:r w:rsidRPr="00DE5F8D">
        <w:rPr>
          <w:rFonts w:ascii="Calibri" w:hAnsi="Calibri" w:cs="Calibri"/>
          <w:szCs w:val="21"/>
        </w:rPr>
        <w:t xml:space="preserve"> were sequenced on the Illumina HiSeq X Five sequencer (</w:t>
      </w:r>
      <w:proofErr w:type="gramStart"/>
      <w:r w:rsidRPr="00DE5F8D">
        <w:rPr>
          <w:rFonts w:ascii="Calibri" w:hAnsi="Calibri" w:cs="Calibri"/>
          <w:szCs w:val="21"/>
        </w:rPr>
        <w:t>paired-end</w:t>
      </w:r>
      <w:proofErr w:type="gramEnd"/>
      <w:r w:rsidRPr="00DE5F8D">
        <w:rPr>
          <w:rFonts w:ascii="Calibri" w:hAnsi="Calibri" w:cs="Calibri"/>
          <w:szCs w:val="21"/>
        </w:rPr>
        <w:t xml:space="preserve"> 150 bp reads). All statistical analyses were conducted using the Tohoku Medical Megabank </w:t>
      </w:r>
      <w:r w:rsidRPr="00DE5F8D">
        <w:rPr>
          <w:rFonts w:ascii="Calibri" w:hAnsi="Calibri" w:cs="Calibri"/>
          <w:szCs w:val="21"/>
        </w:rPr>
        <w:lastRenderedPageBreak/>
        <w:t xml:space="preserve">Organization (ToMMo) Supercomputer System. Illumina adaptor sequences and reads &lt;20 bp were removed from raw WGBS data using Trim Galore v0.6.5. The remaining sequences were mapped onto the human reference genome GRCh37 using </w:t>
      </w:r>
      <w:proofErr w:type="spellStart"/>
      <w:r w:rsidRPr="00DE5F8D">
        <w:rPr>
          <w:rFonts w:ascii="Calibri" w:hAnsi="Calibri" w:cs="Calibri"/>
          <w:szCs w:val="21"/>
        </w:rPr>
        <w:t>NovoAlign</w:t>
      </w:r>
      <w:proofErr w:type="spellEnd"/>
      <w:r w:rsidRPr="00DE5F8D">
        <w:rPr>
          <w:rFonts w:ascii="Calibri" w:hAnsi="Calibri" w:cs="Calibri"/>
          <w:szCs w:val="21"/>
        </w:rPr>
        <w:t xml:space="preserve"> v4.02.02, and duplicate amplicons were removed using </w:t>
      </w:r>
      <w:proofErr w:type="spellStart"/>
      <w:r w:rsidRPr="00DE5F8D">
        <w:rPr>
          <w:rFonts w:ascii="Calibri" w:hAnsi="Calibri" w:cs="Calibri"/>
          <w:szCs w:val="21"/>
        </w:rPr>
        <w:t>SAMtools</w:t>
      </w:r>
      <w:proofErr w:type="spellEnd"/>
      <w:r w:rsidRPr="00DE5F8D">
        <w:rPr>
          <w:rFonts w:ascii="Calibri" w:hAnsi="Calibri" w:cs="Calibri"/>
          <w:szCs w:val="21"/>
        </w:rPr>
        <w:t xml:space="preserve"> v1.3.1. Overlapping paired-end reads were clipped using </w:t>
      </w:r>
      <w:proofErr w:type="spellStart"/>
      <w:r w:rsidRPr="00DE5F8D">
        <w:rPr>
          <w:rFonts w:ascii="Calibri" w:hAnsi="Calibri" w:cs="Calibri"/>
          <w:szCs w:val="21"/>
        </w:rPr>
        <w:t>BamUtil</w:t>
      </w:r>
      <w:proofErr w:type="spellEnd"/>
      <w:r w:rsidRPr="00DE5F8D">
        <w:rPr>
          <w:rFonts w:ascii="Calibri" w:hAnsi="Calibri" w:cs="Calibri"/>
          <w:szCs w:val="21"/>
        </w:rPr>
        <w:t xml:space="preserve"> v1.0.13. </w:t>
      </w:r>
      <w:proofErr w:type="spellStart"/>
      <w:r w:rsidRPr="00DE5F8D">
        <w:rPr>
          <w:rFonts w:ascii="Calibri" w:hAnsi="Calibri" w:cs="Calibri"/>
          <w:szCs w:val="21"/>
        </w:rPr>
        <w:t>DNAm</w:t>
      </w:r>
      <w:proofErr w:type="spellEnd"/>
      <w:r w:rsidRPr="00DE5F8D">
        <w:rPr>
          <w:rFonts w:ascii="Calibri" w:hAnsi="Calibri" w:cs="Calibri"/>
          <w:szCs w:val="21"/>
        </w:rPr>
        <w:t xml:space="preserve"> levels (% DNAm) in the detectable CpGs were calculated using </w:t>
      </w:r>
      <w:proofErr w:type="spellStart"/>
      <w:r w:rsidRPr="00DE5F8D">
        <w:rPr>
          <w:rFonts w:ascii="Calibri" w:hAnsi="Calibri" w:cs="Calibri"/>
          <w:szCs w:val="21"/>
        </w:rPr>
        <w:t>NovoMethyl</w:t>
      </w:r>
      <w:proofErr w:type="spellEnd"/>
      <w:r w:rsidRPr="00DE5F8D">
        <w:rPr>
          <w:rFonts w:ascii="Calibri" w:hAnsi="Calibri" w:cs="Calibri"/>
          <w:szCs w:val="21"/>
        </w:rPr>
        <w:t xml:space="preserve"> v1.07. Of the detected CpGs, &lt;6× and &gt;300× read depths were excluded from the detailed analysis.</w:t>
      </w:r>
    </w:p>
    <w:p w14:paraId="412E6D42" w14:textId="1FF1EA12" w:rsidR="00DE5F8D" w:rsidRPr="00DE5F8D" w:rsidRDefault="00DE5F8D" w:rsidP="00EC32DA">
      <w:pPr>
        <w:rPr>
          <w:rFonts w:ascii="Calibri" w:hAnsi="Calibri" w:cs="Calibri"/>
          <w:b/>
          <w:bCs/>
          <w:szCs w:val="21"/>
        </w:rPr>
      </w:pPr>
      <w:r w:rsidRPr="00DE5F8D">
        <w:rPr>
          <w:rFonts w:ascii="Calibri" w:hAnsi="Calibri" w:cs="Calibri"/>
          <w:b/>
          <w:bCs/>
          <w:szCs w:val="21"/>
        </w:rPr>
        <w:t>1.7 Comparison of DNAm profiles among various blood cells and nRBCs</w:t>
      </w:r>
    </w:p>
    <w:p w14:paraId="50BD8E2E" w14:textId="2D225000" w:rsidR="000D0C53" w:rsidRDefault="00DE5F8D" w:rsidP="00EC32DA">
      <w:pPr>
        <w:rPr>
          <w:rFonts w:ascii="Calibri" w:hAnsi="Calibri" w:cs="Calibri"/>
          <w:szCs w:val="21"/>
        </w:rPr>
      </w:pPr>
      <w:r w:rsidRPr="00DE5F8D">
        <w:rPr>
          <w:rFonts w:ascii="Calibri" w:hAnsi="Calibri" w:cs="Calibri"/>
          <w:szCs w:val="21"/>
        </w:rPr>
        <w:t xml:space="preserve">To reveal the characteristics of the DNAm profiles of nRBCs, we compared the DNAm profiles of various mature blood cells (such as monocytes and CD4+ T lymphocytes) in our publicly available multi-omics database iMETHYL19. </w:t>
      </w:r>
      <w:proofErr w:type="spellStart"/>
      <w:r w:rsidRPr="00DE5F8D">
        <w:rPr>
          <w:rFonts w:ascii="Calibri" w:hAnsi="Calibri" w:cs="Calibri"/>
          <w:szCs w:val="21"/>
        </w:rPr>
        <w:t>Summarised</w:t>
      </w:r>
      <w:proofErr w:type="spellEnd"/>
      <w:r w:rsidRPr="00DE5F8D">
        <w:rPr>
          <w:rFonts w:ascii="Calibri" w:hAnsi="Calibri" w:cs="Calibri"/>
          <w:szCs w:val="21"/>
        </w:rPr>
        <w:t xml:space="preserve"> </w:t>
      </w:r>
      <w:proofErr w:type="spellStart"/>
      <w:r w:rsidRPr="00DE5F8D">
        <w:rPr>
          <w:rFonts w:ascii="Calibri" w:hAnsi="Calibri" w:cs="Calibri"/>
          <w:szCs w:val="21"/>
        </w:rPr>
        <w:t>DNAm</w:t>
      </w:r>
      <w:proofErr w:type="spellEnd"/>
      <w:r w:rsidRPr="00DE5F8D">
        <w:rPr>
          <w:rFonts w:ascii="Calibri" w:hAnsi="Calibri" w:cs="Calibri"/>
          <w:szCs w:val="21"/>
        </w:rPr>
        <w:t xml:space="preserve"> data for nRBCs have already been published in the iMETHYL database. Two WGBS erythroblast (EB) datasets (ERS358627 and ERS433774) were obtained from the International Human Epigenome Consortium (IHEC) Data Portal (https://epigenomesportal.ca/ihec/). CpGs with DNAm levels detected in all samples were used to compare the DNAm profiles using principal component analysis (PCA). However, CpGs with a standard deviation (SD) of zero for </w:t>
      </w:r>
      <w:proofErr w:type="spellStart"/>
      <w:r w:rsidRPr="00DE5F8D">
        <w:rPr>
          <w:rFonts w:ascii="Calibri" w:hAnsi="Calibri" w:cs="Calibri"/>
          <w:szCs w:val="21"/>
        </w:rPr>
        <w:t>DNAm</w:t>
      </w:r>
      <w:proofErr w:type="spellEnd"/>
      <w:r w:rsidRPr="00DE5F8D">
        <w:rPr>
          <w:rFonts w:ascii="Calibri" w:hAnsi="Calibri" w:cs="Calibri"/>
          <w:szCs w:val="21"/>
        </w:rPr>
        <w:t xml:space="preserve"> levels were excluded.</w:t>
      </w:r>
    </w:p>
    <w:p w14:paraId="25CD41B1" w14:textId="2624A986" w:rsidR="00326E5B" w:rsidRDefault="00326E5B">
      <w:pPr>
        <w:widowControl/>
        <w:jc w:val="left"/>
        <w:rPr>
          <w:rFonts w:ascii="Calibri" w:hAnsi="Calibri" w:cs="Calibri"/>
          <w:szCs w:val="21"/>
        </w:rPr>
      </w:pPr>
      <w:r>
        <w:rPr>
          <w:rFonts w:ascii="Calibri" w:hAnsi="Calibri" w:cs="Calibri"/>
          <w:szCs w:val="21"/>
        </w:rPr>
        <w:br w:type="page"/>
      </w:r>
    </w:p>
    <w:p w14:paraId="15CA45FA" w14:textId="61A0379C" w:rsidR="004E1FCD" w:rsidRPr="00DE5F8D" w:rsidRDefault="004E1FCD" w:rsidP="00EC32DA">
      <w:pPr>
        <w:widowControl/>
        <w:spacing w:before="100" w:beforeAutospacing="1" w:after="100" w:afterAutospacing="1"/>
        <w:outlineLvl w:val="2"/>
        <w:rPr>
          <w:rFonts w:ascii="Calibri" w:eastAsia="ＭＳ Ｐゴシック" w:hAnsi="Calibri" w:cs="Calibri"/>
          <w:b/>
          <w:bCs/>
          <w:kern w:val="0"/>
          <w:szCs w:val="21"/>
        </w:rPr>
      </w:pPr>
      <w:r w:rsidRPr="00DE5F8D">
        <w:rPr>
          <w:rFonts w:ascii="Calibri" w:eastAsia="ＭＳ Ｐゴシック" w:hAnsi="Calibri" w:cs="Calibri"/>
          <w:b/>
          <w:bCs/>
          <w:kern w:val="0"/>
          <w:szCs w:val="21"/>
        </w:rPr>
        <w:lastRenderedPageBreak/>
        <w:t>Supplementa</w:t>
      </w:r>
      <w:r>
        <w:rPr>
          <w:rFonts w:ascii="Calibri" w:eastAsia="ＭＳ Ｐゴシック" w:hAnsi="Calibri" w:cs="Calibri"/>
          <w:b/>
          <w:bCs/>
          <w:kern w:val="0"/>
          <w:szCs w:val="21"/>
        </w:rPr>
        <w:t>l</w:t>
      </w:r>
      <w:r w:rsidRPr="004E1FCD">
        <w:rPr>
          <w:rFonts w:ascii="Calibri" w:eastAsia="ＭＳ Ｐゴシック" w:hAnsi="Calibri" w:cs="Calibri"/>
          <w:b/>
          <w:bCs/>
          <w:kern w:val="0"/>
          <w:szCs w:val="21"/>
        </w:rPr>
        <w:t xml:space="preserve"> Figure Legends</w:t>
      </w:r>
    </w:p>
    <w:p w14:paraId="6AE81C92" w14:textId="7544999E" w:rsidR="004E1FCD" w:rsidRPr="00EC32DA" w:rsidRDefault="004E1FCD" w:rsidP="00EC32DA">
      <w:pPr>
        <w:widowControl/>
        <w:spacing w:before="100" w:beforeAutospacing="1" w:after="100" w:afterAutospacing="1"/>
        <w:outlineLvl w:val="2"/>
        <w:rPr>
          <w:rFonts w:ascii="Calibri" w:eastAsia="ＭＳ Ｐゴシック" w:hAnsi="Calibri" w:cs="Calibri"/>
          <w:kern w:val="0"/>
          <w:szCs w:val="21"/>
        </w:rPr>
      </w:pPr>
      <w:r w:rsidRPr="00DE5F8D">
        <w:rPr>
          <w:rFonts w:ascii="Calibri" w:eastAsia="ＭＳ Ｐゴシック" w:hAnsi="Calibri" w:cs="Calibri"/>
          <w:b/>
          <w:bCs/>
          <w:kern w:val="0"/>
          <w:szCs w:val="21"/>
        </w:rPr>
        <w:t>Supplementa</w:t>
      </w:r>
      <w:r>
        <w:rPr>
          <w:rFonts w:ascii="Calibri" w:eastAsia="ＭＳ Ｐゴシック" w:hAnsi="Calibri" w:cs="Calibri"/>
          <w:b/>
          <w:bCs/>
          <w:kern w:val="0"/>
          <w:szCs w:val="21"/>
        </w:rPr>
        <w:t>l</w:t>
      </w:r>
      <w:r w:rsidRPr="004E1FCD">
        <w:rPr>
          <w:rFonts w:ascii="Calibri" w:eastAsia="ＭＳ Ｐゴシック" w:hAnsi="Calibri" w:cs="Calibri"/>
          <w:b/>
          <w:bCs/>
          <w:kern w:val="0"/>
          <w:szCs w:val="21"/>
        </w:rPr>
        <w:t xml:space="preserve"> Figure </w:t>
      </w:r>
      <w:r>
        <w:rPr>
          <w:rFonts w:ascii="Calibri" w:eastAsia="ＭＳ Ｐゴシック" w:hAnsi="Calibri" w:cs="Calibri"/>
          <w:b/>
          <w:bCs/>
          <w:kern w:val="0"/>
          <w:szCs w:val="21"/>
        </w:rPr>
        <w:t>1.</w:t>
      </w:r>
      <w:r w:rsidR="00EC32DA">
        <w:rPr>
          <w:rFonts w:ascii="Calibri" w:eastAsia="ＭＳ Ｐゴシック" w:hAnsi="Calibri" w:cs="Calibri"/>
          <w:b/>
          <w:bCs/>
          <w:kern w:val="0"/>
          <w:szCs w:val="21"/>
        </w:rPr>
        <w:tab/>
      </w:r>
      <w:r w:rsidR="00EC32DA" w:rsidRPr="00EC32DA">
        <w:rPr>
          <w:rFonts w:ascii="Calibri" w:eastAsia="ＭＳ Ｐゴシック" w:hAnsi="Calibri" w:cs="Calibri"/>
          <w:kern w:val="0"/>
          <w:szCs w:val="21"/>
        </w:rPr>
        <w:t xml:space="preserve">Overview of participant combinations in the Hepta-family DNA methylation </w:t>
      </w:r>
      <w:proofErr w:type="spellStart"/>
      <w:proofErr w:type="gramStart"/>
      <w:r w:rsidR="00EC32DA" w:rsidRPr="00EC32DA">
        <w:rPr>
          <w:rFonts w:ascii="Calibri" w:eastAsia="ＭＳ Ｐゴシック" w:hAnsi="Calibri" w:cs="Calibri"/>
          <w:kern w:val="0"/>
          <w:szCs w:val="21"/>
        </w:rPr>
        <w:t>dataset.This</w:t>
      </w:r>
      <w:proofErr w:type="spellEnd"/>
      <w:proofErr w:type="gramEnd"/>
      <w:r w:rsidR="00EC32DA" w:rsidRPr="00EC32DA">
        <w:rPr>
          <w:rFonts w:ascii="Calibri" w:eastAsia="ＭＳ Ｐゴシック" w:hAnsi="Calibri" w:cs="Calibri"/>
          <w:kern w:val="0"/>
          <w:szCs w:val="21"/>
        </w:rPr>
        <w:t xml:space="preserve"> figure summarizes the family-based combinations included in the DNA methylation dataset, which consists of 1,093 individuals from 158 Hepta-families spanning three generations. Each family includes a newborn (N), parents (M = mother, F = father), and four grandparents (maternal grandmother [MGM], maternal grandfather [MGF], paternal grandmother [PGM], and paternal grandfather [PGF]). The numbers of available pairs, trios, and couples are indicated to illustrate the structure and completeness of familial relationships within the dataset.</w:t>
      </w:r>
    </w:p>
    <w:p w14:paraId="7EDF6E13" w14:textId="71A2B385" w:rsidR="00EC32DA" w:rsidRDefault="00EC32DA" w:rsidP="00EC32DA">
      <w:pPr>
        <w:widowControl/>
        <w:spacing w:before="100" w:beforeAutospacing="1" w:after="100" w:afterAutospacing="1"/>
        <w:outlineLvl w:val="2"/>
        <w:rPr>
          <w:rFonts w:ascii="Calibri" w:eastAsia="ＭＳ Ｐゴシック" w:hAnsi="Calibri" w:cs="Calibri"/>
          <w:kern w:val="0"/>
          <w:szCs w:val="21"/>
        </w:rPr>
      </w:pPr>
      <w:r w:rsidRPr="00DE5F8D">
        <w:rPr>
          <w:rFonts w:ascii="Calibri" w:eastAsia="ＭＳ Ｐゴシック" w:hAnsi="Calibri" w:cs="Calibri"/>
          <w:b/>
          <w:bCs/>
          <w:kern w:val="0"/>
          <w:szCs w:val="21"/>
        </w:rPr>
        <w:t>Supplementa</w:t>
      </w:r>
      <w:r>
        <w:rPr>
          <w:rFonts w:ascii="Calibri" w:eastAsia="ＭＳ Ｐゴシック" w:hAnsi="Calibri" w:cs="Calibri"/>
          <w:b/>
          <w:bCs/>
          <w:kern w:val="0"/>
          <w:szCs w:val="21"/>
        </w:rPr>
        <w:t>l</w:t>
      </w:r>
      <w:r w:rsidRPr="004E1FCD">
        <w:rPr>
          <w:rFonts w:ascii="Calibri" w:eastAsia="ＭＳ Ｐゴシック" w:hAnsi="Calibri" w:cs="Calibri"/>
          <w:b/>
          <w:bCs/>
          <w:kern w:val="0"/>
          <w:szCs w:val="21"/>
        </w:rPr>
        <w:t xml:space="preserve"> Figure </w:t>
      </w:r>
      <w:r>
        <w:rPr>
          <w:rFonts w:ascii="Calibri" w:eastAsia="ＭＳ Ｐゴシック" w:hAnsi="Calibri" w:cs="Calibri"/>
          <w:b/>
          <w:bCs/>
          <w:kern w:val="0"/>
          <w:szCs w:val="21"/>
        </w:rPr>
        <w:t>2</w:t>
      </w:r>
      <w:r>
        <w:rPr>
          <w:rFonts w:ascii="Calibri" w:eastAsia="ＭＳ Ｐゴシック" w:hAnsi="Calibri" w:cs="Calibri"/>
          <w:b/>
          <w:bCs/>
          <w:kern w:val="0"/>
          <w:szCs w:val="21"/>
        </w:rPr>
        <w:t>.</w:t>
      </w:r>
      <w:r>
        <w:rPr>
          <w:rFonts w:ascii="Calibri" w:eastAsia="ＭＳ Ｐゴシック" w:hAnsi="Calibri" w:cs="Calibri"/>
          <w:b/>
          <w:bCs/>
          <w:kern w:val="0"/>
          <w:szCs w:val="21"/>
        </w:rPr>
        <w:tab/>
      </w:r>
      <w:r w:rsidR="002D52F9">
        <w:rPr>
          <w:rFonts w:ascii="Calibri" w:eastAsia="ＭＳ Ｐゴシック" w:hAnsi="Calibri" w:cs="Calibri"/>
          <w:kern w:val="0"/>
          <w:szCs w:val="21"/>
        </w:rPr>
        <w:t>Functional</w:t>
      </w:r>
      <w:r w:rsidRPr="00EC32DA">
        <w:rPr>
          <w:rFonts w:ascii="Calibri" w:eastAsia="ＭＳ Ｐゴシック" w:hAnsi="Calibri" w:cs="Calibri"/>
          <w:kern w:val="0"/>
          <w:szCs w:val="21"/>
        </w:rPr>
        <w:t xml:space="preserve"> enrichment of CpG sites contributing to </w:t>
      </w:r>
      <w:r w:rsidR="002D52F9" w:rsidRPr="00EC32DA">
        <w:rPr>
          <w:rFonts w:ascii="Calibri" w:eastAsia="ＭＳ Ｐゴシック" w:hAnsi="Calibri" w:cs="Calibri"/>
          <w:kern w:val="0"/>
          <w:szCs w:val="21"/>
        </w:rPr>
        <w:t>principal component</w:t>
      </w:r>
      <w:r w:rsidR="002D52F9">
        <w:rPr>
          <w:rFonts w:ascii="Calibri" w:eastAsia="ＭＳ Ｐゴシック" w:hAnsi="Calibri" w:cs="Calibri"/>
          <w:kern w:val="0"/>
          <w:szCs w:val="21"/>
        </w:rPr>
        <w:t xml:space="preserve"> (PC)</w:t>
      </w:r>
      <w:r w:rsidR="002D52F9" w:rsidRPr="00EC32DA">
        <w:rPr>
          <w:rFonts w:ascii="Calibri" w:eastAsia="ＭＳ Ｐゴシック" w:hAnsi="Calibri" w:cs="Calibri"/>
          <w:kern w:val="0"/>
          <w:szCs w:val="21"/>
        </w:rPr>
        <w:t xml:space="preserve"> </w:t>
      </w:r>
      <w:r w:rsidRPr="00EC32DA">
        <w:rPr>
          <w:rFonts w:ascii="Calibri" w:eastAsia="ＭＳ Ｐゴシック" w:hAnsi="Calibri" w:cs="Calibri"/>
          <w:kern w:val="0"/>
          <w:szCs w:val="21"/>
        </w:rPr>
        <w:t>1 and PC2.</w:t>
      </w:r>
      <w:r w:rsidR="002D52F9">
        <w:rPr>
          <w:rFonts w:ascii="Calibri" w:eastAsia="ＭＳ Ｐゴシック" w:hAnsi="Calibri" w:cs="Calibri"/>
          <w:kern w:val="0"/>
          <w:szCs w:val="21"/>
        </w:rPr>
        <w:t xml:space="preserve"> </w:t>
      </w:r>
      <w:r w:rsidRPr="00EC32DA">
        <w:rPr>
          <w:rFonts w:ascii="Calibri" w:eastAsia="ＭＳ Ｐゴシック" w:hAnsi="Calibri" w:cs="Calibri"/>
          <w:kern w:val="0"/>
          <w:szCs w:val="21"/>
        </w:rPr>
        <w:t xml:space="preserve">(A) Scree plot showing the proportion of variance explained by the top 10 </w:t>
      </w:r>
      <w:r w:rsidR="002D52F9">
        <w:rPr>
          <w:rFonts w:ascii="Calibri" w:eastAsia="ＭＳ Ｐゴシック" w:hAnsi="Calibri" w:cs="Calibri"/>
          <w:kern w:val="0"/>
          <w:szCs w:val="21"/>
        </w:rPr>
        <w:t xml:space="preserve">PCs </w:t>
      </w:r>
      <w:r w:rsidRPr="00EC32DA">
        <w:rPr>
          <w:rFonts w:ascii="Calibri" w:eastAsia="ＭＳ Ｐゴシック" w:hAnsi="Calibri" w:cs="Calibri"/>
          <w:kern w:val="0"/>
          <w:szCs w:val="21"/>
        </w:rPr>
        <w:t>derived from DNA methylation data across all 1,093 individuals.</w:t>
      </w:r>
      <w:r w:rsidR="002D52F9">
        <w:rPr>
          <w:rFonts w:ascii="Calibri" w:eastAsia="ＭＳ Ｐゴシック" w:hAnsi="Calibri" w:cs="Calibri"/>
          <w:kern w:val="0"/>
          <w:szCs w:val="21"/>
        </w:rPr>
        <w:t xml:space="preserve"> </w:t>
      </w:r>
      <w:r w:rsidRPr="00EC32DA">
        <w:rPr>
          <w:rFonts w:ascii="Calibri" w:eastAsia="ＭＳ Ｐゴシック" w:hAnsi="Calibri" w:cs="Calibri"/>
          <w:kern w:val="0"/>
          <w:szCs w:val="21"/>
        </w:rPr>
        <w:t>(B) Density plots of loading scores for PC1</w:t>
      </w:r>
      <w:r w:rsidR="002D52F9">
        <w:rPr>
          <w:rFonts w:ascii="Calibri" w:eastAsia="ＭＳ Ｐゴシック" w:hAnsi="Calibri" w:cs="Calibri"/>
          <w:kern w:val="0"/>
          <w:szCs w:val="21"/>
        </w:rPr>
        <w:t xml:space="preserve"> (</w:t>
      </w:r>
      <w:r w:rsidR="002D52F9" w:rsidRPr="002D52F9">
        <w:rPr>
          <w:rFonts w:ascii="Calibri" w:eastAsia="ＭＳ Ｐゴシック" w:hAnsi="Calibri" w:cs="Calibri"/>
          <w:i/>
          <w:iCs/>
          <w:kern w:val="0"/>
          <w:szCs w:val="21"/>
        </w:rPr>
        <w:t>left</w:t>
      </w:r>
      <w:r w:rsidR="002D52F9">
        <w:rPr>
          <w:rFonts w:ascii="Calibri" w:eastAsia="ＭＳ Ｐゴシック" w:hAnsi="Calibri" w:cs="Calibri"/>
          <w:kern w:val="0"/>
          <w:szCs w:val="21"/>
        </w:rPr>
        <w:t>)</w:t>
      </w:r>
      <w:r w:rsidRPr="00EC32DA">
        <w:rPr>
          <w:rFonts w:ascii="Calibri" w:eastAsia="ＭＳ Ｐゴシック" w:hAnsi="Calibri" w:cs="Calibri"/>
          <w:kern w:val="0"/>
          <w:szCs w:val="21"/>
        </w:rPr>
        <w:t xml:space="preserve"> and PC2</w:t>
      </w:r>
      <w:r w:rsidR="002D52F9">
        <w:rPr>
          <w:rFonts w:ascii="Calibri" w:eastAsia="ＭＳ Ｐゴシック" w:hAnsi="Calibri" w:cs="Calibri"/>
          <w:kern w:val="0"/>
          <w:szCs w:val="21"/>
        </w:rPr>
        <w:t xml:space="preserve"> (</w:t>
      </w:r>
      <w:r w:rsidR="002D52F9">
        <w:rPr>
          <w:rFonts w:ascii="Calibri" w:eastAsia="ＭＳ Ｐゴシック" w:hAnsi="Calibri" w:cs="Calibri"/>
          <w:i/>
          <w:iCs/>
          <w:kern w:val="0"/>
          <w:szCs w:val="21"/>
        </w:rPr>
        <w:t>right</w:t>
      </w:r>
      <w:r w:rsidR="002D52F9">
        <w:rPr>
          <w:rFonts w:ascii="Calibri" w:eastAsia="ＭＳ Ｐゴシック" w:hAnsi="Calibri" w:cs="Calibri"/>
          <w:kern w:val="0"/>
          <w:szCs w:val="21"/>
        </w:rPr>
        <w:t>)</w:t>
      </w:r>
      <w:r w:rsidRPr="00EC32DA">
        <w:rPr>
          <w:rFonts w:ascii="Calibri" w:eastAsia="ＭＳ Ｐゴシック" w:hAnsi="Calibri" w:cs="Calibri"/>
          <w:kern w:val="0"/>
          <w:szCs w:val="21"/>
        </w:rPr>
        <w:t>.</w:t>
      </w:r>
      <w:r w:rsidR="002D52F9">
        <w:rPr>
          <w:rFonts w:ascii="Calibri" w:eastAsia="ＭＳ Ｐゴシック" w:hAnsi="Calibri" w:cs="Calibri"/>
          <w:kern w:val="0"/>
          <w:szCs w:val="21"/>
        </w:rPr>
        <w:t xml:space="preserve"> </w:t>
      </w:r>
      <w:r w:rsidR="002D52F9" w:rsidRPr="00EC32DA">
        <w:rPr>
          <w:rFonts w:ascii="Calibri" w:eastAsia="ＭＳ Ｐゴシック" w:hAnsi="Calibri" w:cs="Calibri"/>
          <w:kern w:val="0"/>
          <w:szCs w:val="21"/>
        </w:rPr>
        <w:t>CpG sites contributing to PC</w:t>
      </w:r>
      <w:r w:rsidR="002D52F9">
        <w:rPr>
          <w:rFonts w:ascii="Calibri" w:eastAsia="ＭＳ Ｐゴシック" w:hAnsi="Calibri" w:cs="Calibri"/>
          <w:kern w:val="0"/>
          <w:szCs w:val="21"/>
        </w:rPr>
        <w:t>s</w:t>
      </w:r>
      <w:r w:rsidR="002D52F9" w:rsidRPr="00EC32DA">
        <w:rPr>
          <w:rFonts w:ascii="Calibri" w:eastAsia="ＭＳ Ｐゴシック" w:hAnsi="Calibri" w:cs="Calibri"/>
          <w:kern w:val="0"/>
          <w:szCs w:val="21"/>
        </w:rPr>
        <w:t xml:space="preserve"> were defined as those with absolute loading scores ≥ 0.4, and associated genes were annotated based on genomic proximity.</w:t>
      </w:r>
      <w:r w:rsidR="002D52F9">
        <w:rPr>
          <w:rFonts w:ascii="Calibri" w:eastAsia="ＭＳ Ｐゴシック" w:hAnsi="Calibri" w:cs="Calibri"/>
          <w:kern w:val="0"/>
          <w:szCs w:val="21"/>
        </w:rPr>
        <w:t xml:space="preserve"> </w:t>
      </w:r>
      <w:r w:rsidRPr="00EC32DA">
        <w:rPr>
          <w:rFonts w:ascii="Calibri" w:eastAsia="ＭＳ Ｐゴシック" w:hAnsi="Calibri" w:cs="Calibri"/>
          <w:kern w:val="0"/>
          <w:szCs w:val="21"/>
        </w:rPr>
        <w:t>(</w:t>
      </w:r>
      <w:r w:rsidR="002D52F9">
        <w:rPr>
          <w:rFonts w:ascii="Calibri" w:eastAsia="ＭＳ Ｐゴシック" w:hAnsi="Calibri" w:cs="Calibri"/>
          <w:kern w:val="0"/>
          <w:szCs w:val="21"/>
        </w:rPr>
        <w:t>C</w:t>
      </w:r>
      <w:r w:rsidRPr="00EC32DA">
        <w:rPr>
          <w:rFonts w:ascii="Calibri" w:eastAsia="ＭＳ Ｐゴシック" w:hAnsi="Calibri" w:cs="Calibri"/>
          <w:kern w:val="0"/>
          <w:szCs w:val="21"/>
        </w:rPr>
        <w:t xml:space="preserve">) </w:t>
      </w:r>
      <w:proofErr w:type="spellStart"/>
      <w:r w:rsidRPr="00EC32DA">
        <w:rPr>
          <w:rFonts w:ascii="Calibri" w:eastAsia="ＭＳ Ｐゴシック" w:hAnsi="Calibri" w:cs="Calibri"/>
          <w:kern w:val="0"/>
          <w:szCs w:val="21"/>
        </w:rPr>
        <w:t>Dotplots</w:t>
      </w:r>
      <w:proofErr w:type="spellEnd"/>
      <w:r w:rsidRPr="00EC32DA">
        <w:rPr>
          <w:rFonts w:ascii="Calibri" w:eastAsia="ＭＳ Ｐゴシック" w:hAnsi="Calibri" w:cs="Calibri"/>
          <w:kern w:val="0"/>
          <w:szCs w:val="21"/>
        </w:rPr>
        <w:t xml:space="preserve"> showing the top </w:t>
      </w:r>
      <w:r w:rsidR="002D52F9">
        <w:rPr>
          <w:rFonts w:ascii="Calibri" w:eastAsia="ＭＳ Ｐゴシック" w:hAnsi="Calibri" w:cs="Calibri"/>
          <w:kern w:val="0"/>
          <w:szCs w:val="21"/>
        </w:rPr>
        <w:t>1</w:t>
      </w:r>
      <w:r w:rsidRPr="00EC32DA">
        <w:rPr>
          <w:rFonts w:ascii="Calibri" w:eastAsia="ＭＳ Ｐゴシック" w:hAnsi="Calibri" w:cs="Calibri"/>
          <w:kern w:val="0"/>
          <w:szCs w:val="21"/>
        </w:rPr>
        <w:t xml:space="preserve">0 enriched </w:t>
      </w:r>
      <w:r w:rsidR="002D52F9" w:rsidRPr="00EC32DA">
        <w:rPr>
          <w:rFonts w:ascii="Calibri" w:eastAsia="ＭＳ Ｐゴシック" w:hAnsi="Calibri" w:cs="Calibri"/>
          <w:kern w:val="0"/>
          <w:szCs w:val="21"/>
        </w:rPr>
        <w:t>Gene ontology</w:t>
      </w:r>
      <w:r w:rsidR="002D52F9" w:rsidRPr="00EC32DA">
        <w:rPr>
          <w:rFonts w:ascii="Calibri" w:eastAsia="ＭＳ Ｐゴシック" w:hAnsi="Calibri" w:cs="Calibri"/>
          <w:kern w:val="0"/>
          <w:szCs w:val="21"/>
        </w:rPr>
        <w:t xml:space="preserve"> </w:t>
      </w:r>
      <w:r w:rsidRPr="00EC32DA">
        <w:rPr>
          <w:rFonts w:ascii="Calibri" w:eastAsia="ＭＳ Ｐゴシック" w:hAnsi="Calibri" w:cs="Calibri"/>
          <w:kern w:val="0"/>
          <w:szCs w:val="21"/>
        </w:rPr>
        <w:t>Biological Process terms for PC1-related genes (</w:t>
      </w:r>
      <w:r w:rsidR="002D52F9" w:rsidRPr="002D52F9">
        <w:rPr>
          <w:rFonts w:ascii="Calibri" w:eastAsia="ＭＳ Ｐゴシック" w:hAnsi="Calibri" w:cs="Calibri"/>
          <w:i/>
          <w:iCs/>
          <w:kern w:val="0"/>
          <w:szCs w:val="21"/>
        </w:rPr>
        <w:t>upper</w:t>
      </w:r>
      <w:r w:rsidRPr="00EC32DA">
        <w:rPr>
          <w:rFonts w:ascii="Calibri" w:eastAsia="ＭＳ Ｐゴシック" w:hAnsi="Calibri" w:cs="Calibri"/>
          <w:kern w:val="0"/>
          <w:szCs w:val="21"/>
        </w:rPr>
        <w:t>) and PC2-related genes (</w:t>
      </w:r>
      <w:r w:rsidR="002D52F9" w:rsidRPr="002D52F9">
        <w:rPr>
          <w:rFonts w:ascii="Calibri" w:eastAsia="ＭＳ Ｐゴシック" w:hAnsi="Calibri" w:cs="Calibri"/>
          <w:i/>
          <w:iCs/>
          <w:kern w:val="0"/>
          <w:szCs w:val="21"/>
        </w:rPr>
        <w:t>lower</w:t>
      </w:r>
      <w:r w:rsidRPr="00EC32DA">
        <w:rPr>
          <w:rFonts w:ascii="Calibri" w:eastAsia="ＭＳ Ｐゴシック" w:hAnsi="Calibri" w:cs="Calibri"/>
          <w:kern w:val="0"/>
          <w:szCs w:val="21"/>
        </w:rPr>
        <w:t xml:space="preserve">). </w:t>
      </w:r>
      <w:r w:rsidR="002D52F9" w:rsidRPr="00EC32DA">
        <w:rPr>
          <w:rFonts w:ascii="Calibri" w:eastAsia="ＭＳ Ｐゴシック" w:hAnsi="Calibri" w:cs="Calibri"/>
          <w:kern w:val="0"/>
          <w:szCs w:val="21"/>
        </w:rPr>
        <w:t>Dot size represents the number of genes annotated to each GO term, and color represents the adjusted p-value.</w:t>
      </w:r>
      <w:r w:rsidR="002D52F9">
        <w:rPr>
          <w:rFonts w:ascii="Calibri" w:eastAsia="ＭＳ Ｐゴシック" w:hAnsi="Calibri" w:cs="Calibri"/>
          <w:kern w:val="0"/>
          <w:szCs w:val="21"/>
        </w:rPr>
        <w:t xml:space="preserve"> </w:t>
      </w:r>
      <w:r w:rsidR="002D52F9" w:rsidRPr="00EC32DA">
        <w:rPr>
          <w:rFonts w:ascii="Calibri" w:eastAsia="ＭＳ Ｐゴシック" w:hAnsi="Calibri" w:cs="Calibri"/>
          <w:kern w:val="0"/>
          <w:szCs w:val="21"/>
        </w:rPr>
        <w:t>(</w:t>
      </w:r>
      <w:r w:rsidR="002D52F9">
        <w:rPr>
          <w:rFonts w:ascii="Calibri" w:eastAsia="ＭＳ Ｐゴシック" w:hAnsi="Calibri" w:cs="Calibri"/>
          <w:kern w:val="0"/>
          <w:szCs w:val="21"/>
        </w:rPr>
        <w:t>D</w:t>
      </w:r>
      <w:r w:rsidR="002D52F9" w:rsidRPr="00EC32DA">
        <w:rPr>
          <w:rFonts w:ascii="Calibri" w:eastAsia="ＭＳ Ｐゴシック" w:hAnsi="Calibri" w:cs="Calibri"/>
          <w:kern w:val="0"/>
          <w:szCs w:val="21"/>
        </w:rPr>
        <w:t xml:space="preserve">) Tissue-specific expression enrichment analysis for genes </w:t>
      </w:r>
      <w:r w:rsidR="002D52F9">
        <w:rPr>
          <w:rFonts w:ascii="Calibri" w:eastAsia="ＭＳ Ｐゴシック" w:hAnsi="Calibri" w:cs="Calibri"/>
          <w:kern w:val="0"/>
          <w:szCs w:val="21"/>
        </w:rPr>
        <w:t>related</w:t>
      </w:r>
      <w:r w:rsidR="002D52F9" w:rsidRPr="00EC32DA">
        <w:rPr>
          <w:rFonts w:ascii="Calibri" w:eastAsia="ＭＳ Ｐゴシック" w:hAnsi="Calibri" w:cs="Calibri"/>
          <w:kern w:val="0"/>
          <w:szCs w:val="21"/>
        </w:rPr>
        <w:t xml:space="preserve"> with PC1- (</w:t>
      </w:r>
      <w:r w:rsidR="002D52F9" w:rsidRPr="002D52F9">
        <w:rPr>
          <w:rFonts w:ascii="Calibri" w:eastAsia="ＭＳ Ｐゴシック" w:hAnsi="Calibri" w:cs="Calibri"/>
          <w:i/>
          <w:iCs/>
          <w:kern w:val="0"/>
          <w:szCs w:val="21"/>
        </w:rPr>
        <w:t>upper</w:t>
      </w:r>
      <w:r w:rsidR="002D52F9" w:rsidRPr="00EC32DA">
        <w:rPr>
          <w:rFonts w:ascii="Calibri" w:eastAsia="ＭＳ Ｐゴシック" w:hAnsi="Calibri" w:cs="Calibri"/>
          <w:kern w:val="0"/>
          <w:szCs w:val="21"/>
        </w:rPr>
        <w:t>)</w:t>
      </w:r>
      <w:r w:rsidR="002D52F9">
        <w:rPr>
          <w:rFonts w:ascii="Calibri" w:eastAsia="ＭＳ Ｐゴシック" w:hAnsi="Calibri" w:cs="Calibri"/>
          <w:kern w:val="0"/>
          <w:szCs w:val="21"/>
        </w:rPr>
        <w:t xml:space="preserve"> and PC2-</w:t>
      </w:r>
      <w:r w:rsidR="002D52F9" w:rsidRPr="00EC32DA">
        <w:rPr>
          <w:rFonts w:ascii="Calibri" w:eastAsia="ＭＳ Ｐゴシック" w:hAnsi="Calibri" w:cs="Calibri"/>
          <w:kern w:val="0"/>
          <w:szCs w:val="21"/>
        </w:rPr>
        <w:t>related CpG sites (</w:t>
      </w:r>
      <w:r w:rsidR="002D52F9" w:rsidRPr="002D52F9">
        <w:rPr>
          <w:rFonts w:ascii="Calibri" w:eastAsia="ＭＳ Ｐゴシック" w:hAnsi="Calibri" w:cs="Calibri"/>
          <w:i/>
          <w:iCs/>
          <w:kern w:val="0"/>
          <w:szCs w:val="21"/>
        </w:rPr>
        <w:t>lower</w:t>
      </w:r>
      <w:r w:rsidR="002D52F9" w:rsidRPr="00EC32DA">
        <w:rPr>
          <w:rFonts w:ascii="Calibri" w:eastAsia="ＭＳ Ｐゴシック" w:hAnsi="Calibri" w:cs="Calibri"/>
          <w:kern w:val="0"/>
          <w:szCs w:val="21"/>
        </w:rPr>
        <w:t>), based on publicly available RNA-seq data.</w:t>
      </w:r>
      <w:r w:rsidR="002D52F9">
        <w:rPr>
          <w:rFonts w:ascii="Calibri" w:eastAsia="ＭＳ Ｐゴシック" w:hAnsi="Calibri" w:cs="Calibri"/>
          <w:kern w:val="0"/>
          <w:szCs w:val="21"/>
        </w:rPr>
        <w:t xml:space="preserve"> </w:t>
      </w:r>
    </w:p>
    <w:p w14:paraId="3DF1B9D2" w14:textId="74E84D3E" w:rsidR="002D52F9" w:rsidRPr="00EC32DA" w:rsidRDefault="005A40AC" w:rsidP="005A40AC">
      <w:pPr>
        <w:widowControl/>
        <w:spacing w:before="100" w:beforeAutospacing="1" w:after="100" w:afterAutospacing="1"/>
        <w:outlineLvl w:val="2"/>
        <w:rPr>
          <w:rFonts w:ascii="Calibri" w:eastAsia="ＭＳ Ｐゴシック" w:hAnsi="Calibri" w:cs="Calibri" w:hint="eastAsia"/>
          <w:kern w:val="0"/>
          <w:szCs w:val="21"/>
        </w:rPr>
      </w:pPr>
      <w:r w:rsidRPr="002811B6">
        <w:rPr>
          <w:rFonts w:ascii="Calibri" w:eastAsia="ＭＳ Ｐゴシック" w:hAnsi="Calibri" w:cs="Calibri"/>
          <w:b/>
          <w:bCs/>
          <w:kern w:val="0"/>
          <w:szCs w:val="21"/>
        </w:rPr>
        <w:t>Supplemental Figure 3.</w:t>
      </w:r>
      <w:r>
        <w:rPr>
          <w:rFonts w:ascii="Calibri" w:eastAsia="ＭＳ Ｐゴシック" w:hAnsi="Calibri" w:cs="Calibri"/>
          <w:kern w:val="0"/>
          <w:szCs w:val="21"/>
        </w:rPr>
        <w:tab/>
      </w:r>
      <w:r w:rsidRPr="005A40AC">
        <w:rPr>
          <w:rFonts w:ascii="Calibri" w:eastAsia="ＭＳ Ｐゴシック" w:hAnsi="Calibri" w:cs="Calibri"/>
          <w:kern w:val="0"/>
          <w:szCs w:val="21"/>
        </w:rPr>
        <w:t>Principal component analysis</w:t>
      </w:r>
      <w:r>
        <w:rPr>
          <w:rFonts w:ascii="Calibri" w:eastAsia="ＭＳ Ｐゴシック" w:hAnsi="Calibri" w:cs="Calibri"/>
          <w:kern w:val="0"/>
          <w:szCs w:val="21"/>
        </w:rPr>
        <w:t xml:space="preserve"> </w:t>
      </w:r>
      <w:r w:rsidRPr="005A40AC">
        <w:rPr>
          <w:rFonts w:ascii="Calibri" w:eastAsia="ＭＳ Ｐゴシック" w:hAnsi="Calibri" w:cs="Calibri"/>
          <w:kern w:val="0"/>
          <w:szCs w:val="21"/>
        </w:rPr>
        <w:t xml:space="preserve">(PCA) of DNA methylation profiles in various blood cell types and </w:t>
      </w:r>
      <w:proofErr w:type="spellStart"/>
      <w:r w:rsidRPr="005A40AC">
        <w:rPr>
          <w:rFonts w:ascii="Calibri" w:eastAsia="ＭＳ Ｐゴシック" w:hAnsi="Calibri" w:cs="Calibri"/>
          <w:kern w:val="0"/>
          <w:szCs w:val="21"/>
        </w:rPr>
        <w:t>nRBCs</w:t>
      </w:r>
      <w:proofErr w:type="spellEnd"/>
      <w:r w:rsidRPr="005A40AC">
        <w:rPr>
          <w:rFonts w:ascii="Calibri" w:eastAsia="ＭＳ Ｐゴシック" w:hAnsi="Calibri" w:cs="Calibri"/>
          <w:kern w:val="0"/>
          <w:szCs w:val="21"/>
        </w:rPr>
        <w:t>.</w:t>
      </w:r>
      <w:r>
        <w:rPr>
          <w:rFonts w:ascii="Calibri" w:eastAsia="ＭＳ Ｐゴシック" w:hAnsi="Calibri" w:cs="Calibri"/>
          <w:kern w:val="0"/>
          <w:szCs w:val="21"/>
        </w:rPr>
        <w:t xml:space="preserve"> </w:t>
      </w:r>
      <w:r w:rsidRPr="005A40AC">
        <w:rPr>
          <w:rFonts w:ascii="Calibri" w:eastAsia="ＭＳ Ｐゴシック" w:hAnsi="Calibri" w:cs="Calibri"/>
          <w:kern w:val="0"/>
          <w:szCs w:val="21"/>
        </w:rPr>
        <w:t>PCA was conducted to compare DNA methylation (</w:t>
      </w:r>
      <w:proofErr w:type="spellStart"/>
      <w:r w:rsidRPr="005A40AC">
        <w:rPr>
          <w:rFonts w:ascii="Calibri" w:eastAsia="ＭＳ Ｐゴシック" w:hAnsi="Calibri" w:cs="Calibri"/>
          <w:kern w:val="0"/>
          <w:szCs w:val="21"/>
        </w:rPr>
        <w:t>DNAm</w:t>
      </w:r>
      <w:proofErr w:type="spellEnd"/>
      <w:r w:rsidRPr="005A40AC">
        <w:rPr>
          <w:rFonts w:ascii="Calibri" w:eastAsia="ＭＳ Ｐゴシック" w:hAnsi="Calibri" w:cs="Calibri"/>
          <w:kern w:val="0"/>
          <w:szCs w:val="21"/>
        </w:rPr>
        <w:t>) profiles among nucleated red blood cells (</w:t>
      </w:r>
      <w:proofErr w:type="spellStart"/>
      <w:r w:rsidRPr="005A40AC">
        <w:rPr>
          <w:rFonts w:ascii="Calibri" w:eastAsia="ＭＳ Ｐゴシック" w:hAnsi="Calibri" w:cs="Calibri"/>
          <w:kern w:val="0"/>
          <w:szCs w:val="21"/>
        </w:rPr>
        <w:t>nRBCs</w:t>
      </w:r>
      <w:proofErr w:type="spellEnd"/>
      <w:r w:rsidRPr="005A40AC">
        <w:rPr>
          <w:rFonts w:ascii="Calibri" w:eastAsia="ＭＳ Ｐゴシック" w:hAnsi="Calibri" w:cs="Calibri"/>
          <w:kern w:val="0"/>
          <w:szCs w:val="21"/>
        </w:rPr>
        <w:t xml:space="preserve">), erythroblasts (EBs), </w:t>
      </w:r>
      <w:r w:rsidR="002811B6">
        <w:rPr>
          <w:rFonts w:ascii="Calibri" w:eastAsia="ＭＳ Ｐゴシック" w:hAnsi="Calibri" w:cs="Calibri"/>
          <w:kern w:val="0"/>
          <w:szCs w:val="21"/>
        </w:rPr>
        <w:t xml:space="preserve">155 </w:t>
      </w:r>
      <w:r w:rsidR="002811B6" w:rsidRPr="002811B6">
        <w:rPr>
          <w:rFonts w:ascii="Calibri" w:eastAsia="ＭＳ Ｐゴシック" w:hAnsi="Calibri" w:cs="Calibri"/>
          <w:kern w:val="0"/>
          <w:szCs w:val="21"/>
        </w:rPr>
        <w:t>neonatal cord blood (CB) samples generated in this study</w:t>
      </w:r>
      <w:r w:rsidR="00651E80">
        <w:rPr>
          <w:rFonts w:ascii="Calibri" w:eastAsia="ＭＳ Ｐゴシック" w:hAnsi="Calibri" w:cs="Calibri"/>
          <w:kern w:val="0"/>
          <w:szCs w:val="21"/>
        </w:rPr>
        <w:t xml:space="preserve">, and </w:t>
      </w:r>
      <w:r w:rsidR="00651E80" w:rsidRPr="005A40AC">
        <w:rPr>
          <w:rFonts w:ascii="Calibri" w:eastAsia="ＭＳ Ｐゴシック" w:hAnsi="Calibri" w:cs="Calibri"/>
          <w:kern w:val="0"/>
          <w:szCs w:val="21"/>
        </w:rPr>
        <w:t>mature blood cell types</w:t>
      </w:r>
      <w:r w:rsidR="002811B6" w:rsidRPr="002811B6">
        <w:rPr>
          <w:rFonts w:ascii="Calibri" w:eastAsia="ＭＳ Ｐゴシック" w:hAnsi="Calibri" w:cs="Calibri"/>
          <w:kern w:val="0"/>
          <w:szCs w:val="21"/>
        </w:rPr>
        <w:t xml:space="preserve">. </w:t>
      </w:r>
      <w:proofErr w:type="spellStart"/>
      <w:r w:rsidRPr="005A40AC">
        <w:rPr>
          <w:rFonts w:ascii="Calibri" w:eastAsia="ＭＳ Ｐゴシック" w:hAnsi="Calibri" w:cs="Calibri"/>
          <w:kern w:val="0"/>
          <w:szCs w:val="21"/>
        </w:rPr>
        <w:t>DNAm</w:t>
      </w:r>
      <w:proofErr w:type="spellEnd"/>
      <w:r w:rsidRPr="005A40AC">
        <w:rPr>
          <w:rFonts w:ascii="Calibri" w:eastAsia="ＭＳ Ｐゴシック" w:hAnsi="Calibri" w:cs="Calibri"/>
          <w:kern w:val="0"/>
          <w:szCs w:val="21"/>
        </w:rPr>
        <w:t xml:space="preserve"> data for mature cells, including monocytes, CD4⁺ T cells, CD8⁺ T cells, B cells, natural killer (NK) cells, and neutrophils (Neu), were obtained from the publicly available </w:t>
      </w:r>
      <w:proofErr w:type="spellStart"/>
      <w:r w:rsidRPr="005A40AC">
        <w:rPr>
          <w:rFonts w:ascii="Calibri" w:eastAsia="ＭＳ Ｐゴシック" w:hAnsi="Calibri" w:cs="Calibri"/>
          <w:kern w:val="0"/>
          <w:szCs w:val="21"/>
        </w:rPr>
        <w:t>iMETHYL</w:t>
      </w:r>
      <w:proofErr w:type="spellEnd"/>
      <w:r w:rsidRPr="005A40AC">
        <w:rPr>
          <w:rFonts w:ascii="Calibri" w:eastAsia="ＭＳ Ｐゴシック" w:hAnsi="Calibri" w:cs="Calibri"/>
          <w:kern w:val="0"/>
          <w:szCs w:val="21"/>
        </w:rPr>
        <w:t xml:space="preserve"> multi-omics database. Two whole-genome bisulfite sequencing (WGBS) datasets of erythroblasts (ERS358627 and ERS433774) were retrieved from the International Human Epigenome Consortium (IHEC) Data Portal. Only CpG sites with detected methylation levels across all samples and non-zero standard deviation were included in the PCA. The first two principal components (PC1 and PC2), which explain 24.9% and 6.8% of the variance, respectively, demonstrate distinct clustering by cell type, with </w:t>
      </w:r>
      <w:proofErr w:type="spellStart"/>
      <w:r w:rsidRPr="005A40AC">
        <w:rPr>
          <w:rFonts w:ascii="Calibri" w:eastAsia="ＭＳ Ｐゴシック" w:hAnsi="Calibri" w:cs="Calibri"/>
          <w:kern w:val="0"/>
          <w:szCs w:val="21"/>
        </w:rPr>
        <w:t>nRBCs</w:t>
      </w:r>
      <w:proofErr w:type="spellEnd"/>
      <w:r w:rsidRPr="005A40AC">
        <w:rPr>
          <w:rFonts w:ascii="Calibri" w:eastAsia="ＭＳ Ｐゴシック" w:hAnsi="Calibri" w:cs="Calibri"/>
          <w:kern w:val="0"/>
          <w:szCs w:val="21"/>
        </w:rPr>
        <w:t xml:space="preserve"> forming a clearly separated group.</w:t>
      </w:r>
    </w:p>
    <w:p w14:paraId="01AEFA57" w14:textId="63E95476" w:rsidR="004E1FCD" w:rsidRDefault="00361EC3" w:rsidP="00361EC3">
      <w:pPr>
        <w:rPr>
          <w:rFonts w:ascii="Calibri" w:hAnsi="Calibri" w:cs="Calibri"/>
          <w:szCs w:val="21"/>
        </w:rPr>
      </w:pPr>
      <w:r w:rsidRPr="00361EC3">
        <w:rPr>
          <w:rFonts w:ascii="Calibri" w:hAnsi="Calibri" w:cs="Calibri"/>
          <w:b/>
          <w:bCs/>
          <w:szCs w:val="21"/>
        </w:rPr>
        <w:t>Supplemental Figure 4.</w:t>
      </w:r>
      <w:r>
        <w:rPr>
          <w:rFonts w:ascii="Calibri" w:hAnsi="Calibri" w:cs="Calibri"/>
          <w:szCs w:val="21"/>
        </w:rPr>
        <w:tab/>
      </w:r>
      <w:r w:rsidRPr="00361EC3">
        <w:rPr>
          <w:rFonts w:ascii="Calibri" w:hAnsi="Calibri" w:cs="Calibri"/>
          <w:szCs w:val="21"/>
        </w:rPr>
        <w:t>Estimated cell-type composition in peripheral and cord blood samples.</w:t>
      </w:r>
      <w:r>
        <w:rPr>
          <w:rFonts w:ascii="Calibri" w:hAnsi="Calibri" w:cs="Calibri"/>
          <w:szCs w:val="21"/>
        </w:rPr>
        <w:t xml:space="preserve"> </w:t>
      </w:r>
      <w:r w:rsidRPr="00361EC3">
        <w:rPr>
          <w:rFonts w:ascii="Calibri" w:hAnsi="Calibri" w:cs="Calibri"/>
          <w:szCs w:val="21"/>
        </w:rPr>
        <w:t xml:space="preserve">(A) Cell-type composition was estimated in 938 adult peripheral blood (PB) and 155 neonatal cord blood (CB) samples from the Hepta-family cohort using a new estimation model for CB. This model </w:t>
      </w:r>
      <w:r w:rsidRPr="00361EC3">
        <w:rPr>
          <w:rFonts w:ascii="Calibri" w:hAnsi="Calibri" w:cs="Calibri"/>
          <w:szCs w:val="21"/>
        </w:rPr>
        <w:lastRenderedPageBreak/>
        <w:t>incorporated newly generated WGBS data for nucleated red blood cells (</w:t>
      </w:r>
      <w:proofErr w:type="spellStart"/>
      <w:r w:rsidRPr="00361EC3">
        <w:rPr>
          <w:rFonts w:ascii="Calibri" w:hAnsi="Calibri" w:cs="Calibri"/>
          <w:szCs w:val="21"/>
        </w:rPr>
        <w:t>nRBCs</w:t>
      </w:r>
      <w:proofErr w:type="spellEnd"/>
      <w:r w:rsidRPr="00361EC3">
        <w:rPr>
          <w:rFonts w:ascii="Calibri" w:hAnsi="Calibri" w:cs="Calibri"/>
          <w:szCs w:val="21"/>
        </w:rPr>
        <w:t xml:space="preserve">) to enable accurate estimation in cord blood. Seven blood cell types were assessed: neutrophils (Neu), monocytes (Mono), natural killer (NK) cells, CD4⁺ T cells, CD8⁺ T cells, B cells, and </w:t>
      </w:r>
      <w:proofErr w:type="spellStart"/>
      <w:r w:rsidRPr="00361EC3">
        <w:rPr>
          <w:rFonts w:ascii="Calibri" w:hAnsi="Calibri" w:cs="Calibri"/>
          <w:szCs w:val="21"/>
        </w:rPr>
        <w:t>nRBCs</w:t>
      </w:r>
      <w:proofErr w:type="spellEnd"/>
      <w:r w:rsidRPr="00361EC3">
        <w:rPr>
          <w:rFonts w:ascii="Calibri" w:hAnsi="Calibri" w:cs="Calibri"/>
          <w:szCs w:val="21"/>
        </w:rPr>
        <w:t xml:space="preserve">. (B) Neutrophils were the most abundant cell type in both PB and CB (69.7 ± 10.3% vs. 54.9 ± 9.8%, respectively). As expected, </w:t>
      </w:r>
      <w:proofErr w:type="spellStart"/>
      <w:r w:rsidRPr="00361EC3">
        <w:rPr>
          <w:rFonts w:ascii="Calibri" w:hAnsi="Calibri" w:cs="Calibri"/>
          <w:szCs w:val="21"/>
        </w:rPr>
        <w:t>nRBCs</w:t>
      </w:r>
      <w:proofErr w:type="spellEnd"/>
      <w:r w:rsidRPr="00361EC3">
        <w:rPr>
          <w:rFonts w:ascii="Calibri" w:hAnsi="Calibri" w:cs="Calibri"/>
          <w:szCs w:val="21"/>
        </w:rPr>
        <w:t xml:space="preserve"> were nearly absent in PB (0.6 ± 0.8%) but present at significant levels in CB (12.8 ± 3.6%), with the difference reaching statistical significance (t-test, p &lt; 0.05). Cell-type-specific coefficient sets for both CB and PB models are available via the </w:t>
      </w:r>
      <w:proofErr w:type="spellStart"/>
      <w:r w:rsidRPr="00361EC3">
        <w:rPr>
          <w:rFonts w:ascii="Calibri" w:hAnsi="Calibri" w:cs="Calibri"/>
          <w:szCs w:val="21"/>
        </w:rPr>
        <w:t>iMETHYL</w:t>
      </w:r>
      <w:proofErr w:type="spellEnd"/>
      <w:r w:rsidRPr="00361EC3">
        <w:rPr>
          <w:rFonts w:ascii="Calibri" w:hAnsi="Calibri" w:cs="Calibri"/>
          <w:szCs w:val="21"/>
        </w:rPr>
        <w:t xml:space="preserve"> database.</w:t>
      </w:r>
    </w:p>
    <w:p w14:paraId="2624AB93" w14:textId="77777777" w:rsidR="00CB5B46" w:rsidRDefault="00CB5B46" w:rsidP="00361EC3">
      <w:pPr>
        <w:rPr>
          <w:rFonts w:ascii="Calibri" w:hAnsi="Calibri" w:cs="Calibri"/>
          <w:szCs w:val="21"/>
        </w:rPr>
      </w:pPr>
    </w:p>
    <w:p w14:paraId="39295622" w14:textId="63D7C979" w:rsidR="00CB5B46" w:rsidRPr="00EC32DA" w:rsidRDefault="00CB5B46" w:rsidP="00CB5B46">
      <w:pPr>
        <w:rPr>
          <w:rFonts w:ascii="Calibri" w:hAnsi="Calibri" w:cs="Calibri" w:hint="eastAsia"/>
          <w:szCs w:val="21"/>
        </w:rPr>
      </w:pPr>
      <w:r w:rsidRPr="00CB5B46">
        <w:rPr>
          <w:rFonts w:ascii="Calibri" w:hAnsi="Calibri" w:cs="Calibri"/>
          <w:b/>
          <w:bCs/>
          <w:szCs w:val="21"/>
        </w:rPr>
        <w:t>Supplemental Figure 5.</w:t>
      </w:r>
      <w:r>
        <w:rPr>
          <w:rFonts w:ascii="Calibri" w:hAnsi="Calibri" w:cs="Calibri"/>
          <w:b/>
          <w:bCs/>
          <w:szCs w:val="21"/>
        </w:rPr>
        <w:tab/>
      </w:r>
      <w:r w:rsidRPr="00CB5B46">
        <w:rPr>
          <w:rFonts w:ascii="Calibri" w:hAnsi="Calibri" w:cs="Calibri"/>
          <w:szCs w:val="21"/>
        </w:rPr>
        <w:t>Epigenome-wide association study (EWAS) results for maternal pre-pregnancy smoking using adult-based cell-type composition estimates.</w:t>
      </w:r>
      <w:r>
        <w:rPr>
          <w:rFonts w:ascii="Calibri" w:hAnsi="Calibri" w:cs="Calibri"/>
          <w:szCs w:val="21"/>
        </w:rPr>
        <w:t xml:space="preserve"> </w:t>
      </w:r>
      <w:r w:rsidRPr="00CB5B46">
        <w:rPr>
          <w:rFonts w:ascii="Calibri" w:hAnsi="Calibri" w:cs="Calibri"/>
          <w:szCs w:val="21"/>
        </w:rPr>
        <w:t xml:space="preserve">(A) Manhattan plot and (B) quantile–quantile (QQ) plot </w:t>
      </w:r>
      <w:proofErr w:type="gramStart"/>
      <w:r w:rsidRPr="00CB5B46">
        <w:rPr>
          <w:rFonts w:ascii="Calibri" w:hAnsi="Calibri" w:cs="Calibri"/>
          <w:szCs w:val="21"/>
        </w:rPr>
        <w:t>show</w:t>
      </w:r>
      <w:proofErr w:type="gramEnd"/>
      <w:r w:rsidRPr="00CB5B46">
        <w:rPr>
          <w:rFonts w:ascii="Calibri" w:hAnsi="Calibri" w:cs="Calibri"/>
          <w:szCs w:val="21"/>
        </w:rPr>
        <w:t xml:space="preserve"> the EWAS results using neonatal cord blood DNA methylation data and maternal smoking status before pregnancy, with cell-type composition estimated by a conventional adult peripheral blood model. In the Manhattan plot, two horizontal dotted lines represent significance thresholds: the upper </w:t>
      </w:r>
      <w:r w:rsidR="000A6B0F">
        <w:rPr>
          <w:rFonts w:ascii="Calibri" w:hAnsi="Calibri" w:cs="Calibri"/>
          <w:szCs w:val="21"/>
        </w:rPr>
        <w:t xml:space="preserve">dotted </w:t>
      </w:r>
      <w:r w:rsidRPr="00CB5B46">
        <w:rPr>
          <w:rFonts w:ascii="Calibri" w:hAnsi="Calibri" w:cs="Calibri"/>
          <w:szCs w:val="21"/>
        </w:rPr>
        <w:t xml:space="preserve">line indicates the Bonferroni-corrected genome-wide threshold (p &lt; 5.0 × 10⁻⁸), and the lower </w:t>
      </w:r>
      <w:r w:rsidR="000A6B0F">
        <w:rPr>
          <w:rFonts w:ascii="Calibri" w:hAnsi="Calibri" w:cs="Calibri"/>
          <w:szCs w:val="21"/>
        </w:rPr>
        <w:t xml:space="preserve">dotted </w:t>
      </w:r>
      <w:r w:rsidRPr="00CB5B46">
        <w:rPr>
          <w:rFonts w:ascii="Calibri" w:hAnsi="Calibri" w:cs="Calibri"/>
          <w:szCs w:val="21"/>
        </w:rPr>
        <w:t>line indicates the suggestive threshold (p &lt; 1.0 × 10⁻⁵). The QQ plot shows moderate inflation (λ = 1.027; 95% CI: 1.023–1.032). A total of 9 CpG sites surpassed the suggestive threshold.</w:t>
      </w:r>
    </w:p>
    <w:sectPr w:rsidR="00CB5B46" w:rsidRPr="00EC32DA">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185E5" w14:textId="77777777" w:rsidR="00795720" w:rsidRDefault="00795720" w:rsidP="00DE5F8D">
      <w:r>
        <w:separator/>
      </w:r>
    </w:p>
  </w:endnote>
  <w:endnote w:type="continuationSeparator" w:id="0">
    <w:p w14:paraId="523D7E87" w14:textId="77777777" w:rsidR="00795720" w:rsidRDefault="00795720" w:rsidP="00DE5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61747" w14:textId="77777777" w:rsidR="00795720" w:rsidRDefault="00795720" w:rsidP="00DE5F8D">
      <w:r>
        <w:separator/>
      </w:r>
    </w:p>
  </w:footnote>
  <w:footnote w:type="continuationSeparator" w:id="0">
    <w:p w14:paraId="6909CFB0" w14:textId="77777777" w:rsidR="00795720" w:rsidRDefault="00795720" w:rsidP="00DE5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FBD8" w14:textId="05AB609D" w:rsidR="00DE5F8D" w:rsidRDefault="00DE5F8D">
    <w:pPr>
      <w:pStyle w:val="ab"/>
    </w:pPr>
    <w:r>
      <w:t>Shiori MINABE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E56EC"/>
    <w:multiLevelType w:val="hybridMultilevel"/>
    <w:tmpl w:val="1C2041A8"/>
    <w:lvl w:ilvl="0" w:tplc="2ED4EE1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52451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222"/>
    <w:rsid w:val="00003768"/>
    <w:rsid w:val="00006EED"/>
    <w:rsid w:val="00030573"/>
    <w:rsid w:val="000774BE"/>
    <w:rsid w:val="0008534D"/>
    <w:rsid w:val="000A6B0F"/>
    <w:rsid w:val="000B5E5E"/>
    <w:rsid w:val="000D0C53"/>
    <w:rsid w:val="000F2E30"/>
    <w:rsid w:val="00110A95"/>
    <w:rsid w:val="001344CF"/>
    <w:rsid w:val="00134CA4"/>
    <w:rsid w:val="001D1750"/>
    <w:rsid w:val="001F1252"/>
    <w:rsid w:val="0020369E"/>
    <w:rsid w:val="002238FB"/>
    <w:rsid w:val="002811B6"/>
    <w:rsid w:val="002841F6"/>
    <w:rsid w:val="00284B85"/>
    <w:rsid w:val="002A4669"/>
    <w:rsid w:val="002B5BE8"/>
    <w:rsid w:val="002D52F9"/>
    <w:rsid w:val="002E55B1"/>
    <w:rsid w:val="00316D7A"/>
    <w:rsid w:val="00322F75"/>
    <w:rsid w:val="00324BF8"/>
    <w:rsid w:val="00326E5B"/>
    <w:rsid w:val="00347833"/>
    <w:rsid w:val="00361EC3"/>
    <w:rsid w:val="003650D3"/>
    <w:rsid w:val="003713C7"/>
    <w:rsid w:val="003753C2"/>
    <w:rsid w:val="00380705"/>
    <w:rsid w:val="00397EB4"/>
    <w:rsid w:val="003B55E5"/>
    <w:rsid w:val="003B5775"/>
    <w:rsid w:val="003C646B"/>
    <w:rsid w:val="003D1EC9"/>
    <w:rsid w:val="003E3004"/>
    <w:rsid w:val="003F41D1"/>
    <w:rsid w:val="00415027"/>
    <w:rsid w:val="00462A75"/>
    <w:rsid w:val="00470359"/>
    <w:rsid w:val="00474733"/>
    <w:rsid w:val="00484C48"/>
    <w:rsid w:val="00485969"/>
    <w:rsid w:val="004C2227"/>
    <w:rsid w:val="004C563E"/>
    <w:rsid w:val="004D3481"/>
    <w:rsid w:val="004D6D6F"/>
    <w:rsid w:val="004D75CD"/>
    <w:rsid w:val="004E1FCD"/>
    <w:rsid w:val="004F2B4E"/>
    <w:rsid w:val="004F37EF"/>
    <w:rsid w:val="004F4AB1"/>
    <w:rsid w:val="00527002"/>
    <w:rsid w:val="00547BD0"/>
    <w:rsid w:val="00580F29"/>
    <w:rsid w:val="00594F2E"/>
    <w:rsid w:val="005A40AC"/>
    <w:rsid w:val="005C0773"/>
    <w:rsid w:val="005D4AC4"/>
    <w:rsid w:val="005F7B8C"/>
    <w:rsid w:val="00602D0B"/>
    <w:rsid w:val="00604D12"/>
    <w:rsid w:val="00633C5C"/>
    <w:rsid w:val="006417AA"/>
    <w:rsid w:val="00651E80"/>
    <w:rsid w:val="0067287E"/>
    <w:rsid w:val="006B0C49"/>
    <w:rsid w:val="00711CBD"/>
    <w:rsid w:val="00713945"/>
    <w:rsid w:val="007626B3"/>
    <w:rsid w:val="00775A7E"/>
    <w:rsid w:val="0078271C"/>
    <w:rsid w:val="00795720"/>
    <w:rsid w:val="007B571A"/>
    <w:rsid w:val="007E43C7"/>
    <w:rsid w:val="0080564E"/>
    <w:rsid w:val="008645DC"/>
    <w:rsid w:val="008779F0"/>
    <w:rsid w:val="00892A45"/>
    <w:rsid w:val="008D4A81"/>
    <w:rsid w:val="008E742A"/>
    <w:rsid w:val="008F171A"/>
    <w:rsid w:val="008F1D45"/>
    <w:rsid w:val="00927FAE"/>
    <w:rsid w:val="00930B1A"/>
    <w:rsid w:val="009628A8"/>
    <w:rsid w:val="0096560D"/>
    <w:rsid w:val="00967630"/>
    <w:rsid w:val="00980185"/>
    <w:rsid w:val="0098287D"/>
    <w:rsid w:val="009A44AA"/>
    <w:rsid w:val="009F35F7"/>
    <w:rsid w:val="00A069AB"/>
    <w:rsid w:val="00A06E30"/>
    <w:rsid w:val="00A278A4"/>
    <w:rsid w:val="00A65D23"/>
    <w:rsid w:val="00A70355"/>
    <w:rsid w:val="00AC5E79"/>
    <w:rsid w:val="00AD1800"/>
    <w:rsid w:val="00AF45C9"/>
    <w:rsid w:val="00B14222"/>
    <w:rsid w:val="00B2174F"/>
    <w:rsid w:val="00B77426"/>
    <w:rsid w:val="00B814EB"/>
    <w:rsid w:val="00B870E1"/>
    <w:rsid w:val="00B952CD"/>
    <w:rsid w:val="00BA0817"/>
    <w:rsid w:val="00BA0DA7"/>
    <w:rsid w:val="00BB2E61"/>
    <w:rsid w:val="00BC73F1"/>
    <w:rsid w:val="00BF7324"/>
    <w:rsid w:val="00C43549"/>
    <w:rsid w:val="00C6139D"/>
    <w:rsid w:val="00C711B2"/>
    <w:rsid w:val="00C943AB"/>
    <w:rsid w:val="00CA215D"/>
    <w:rsid w:val="00CB5B46"/>
    <w:rsid w:val="00CE0DBD"/>
    <w:rsid w:val="00CE7158"/>
    <w:rsid w:val="00D1105C"/>
    <w:rsid w:val="00D15048"/>
    <w:rsid w:val="00D16BD7"/>
    <w:rsid w:val="00D2714B"/>
    <w:rsid w:val="00D34E42"/>
    <w:rsid w:val="00D437E1"/>
    <w:rsid w:val="00D55A4D"/>
    <w:rsid w:val="00D6143D"/>
    <w:rsid w:val="00D661DE"/>
    <w:rsid w:val="00D940AB"/>
    <w:rsid w:val="00D941C6"/>
    <w:rsid w:val="00D966E1"/>
    <w:rsid w:val="00DB2531"/>
    <w:rsid w:val="00DB647E"/>
    <w:rsid w:val="00DB7E4C"/>
    <w:rsid w:val="00DC1240"/>
    <w:rsid w:val="00DE5F8D"/>
    <w:rsid w:val="00DF0818"/>
    <w:rsid w:val="00DF3B64"/>
    <w:rsid w:val="00E16EFF"/>
    <w:rsid w:val="00E328B3"/>
    <w:rsid w:val="00E3321F"/>
    <w:rsid w:val="00E35FDA"/>
    <w:rsid w:val="00E671CD"/>
    <w:rsid w:val="00EC0561"/>
    <w:rsid w:val="00EC32DA"/>
    <w:rsid w:val="00EC560E"/>
    <w:rsid w:val="00F01894"/>
    <w:rsid w:val="00F107F2"/>
    <w:rsid w:val="00F11C25"/>
    <w:rsid w:val="00FB15BF"/>
    <w:rsid w:val="00FD17BC"/>
    <w:rsid w:val="00FD2B21"/>
    <w:rsid w:val="00FD3B40"/>
    <w:rsid w:val="00FE4CED"/>
    <w:rsid w:val="00FF5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F38065B"/>
  <w15:chartTrackingRefBased/>
  <w15:docId w15:val="{3F9C5C04-E1A2-1A4C-8CBD-8EC5FFBE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142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142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B142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B142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142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142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142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142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142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42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42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B142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B142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142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142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142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142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142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42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142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2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142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4222"/>
    <w:pPr>
      <w:spacing w:before="160" w:after="160"/>
      <w:jc w:val="center"/>
    </w:pPr>
    <w:rPr>
      <w:i/>
      <w:iCs/>
      <w:color w:val="404040" w:themeColor="text1" w:themeTint="BF"/>
    </w:rPr>
  </w:style>
  <w:style w:type="character" w:customStyle="1" w:styleId="a8">
    <w:name w:val="引用文 (文字)"/>
    <w:basedOn w:val="a0"/>
    <w:link w:val="a7"/>
    <w:uiPriority w:val="29"/>
    <w:rsid w:val="00B14222"/>
    <w:rPr>
      <w:i/>
      <w:iCs/>
      <w:color w:val="404040" w:themeColor="text1" w:themeTint="BF"/>
    </w:rPr>
  </w:style>
  <w:style w:type="paragraph" w:styleId="a9">
    <w:name w:val="List Paragraph"/>
    <w:basedOn w:val="a"/>
    <w:uiPriority w:val="34"/>
    <w:qFormat/>
    <w:rsid w:val="00B14222"/>
    <w:pPr>
      <w:ind w:left="720"/>
      <w:contextualSpacing/>
    </w:pPr>
  </w:style>
  <w:style w:type="character" w:styleId="21">
    <w:name w:val="Intense Emphasis"/>
    <w:basedOn w:val="a0"/>
    <w:uiPriority w:val="21"/>
    <w:qFormat/>
    <w:rsid w:val="00B14222"/>
    <w:rPr>
      <w:i/>
      <w:iCs/>
      <w:color w:val="2F5496" w:themeColor="accent1" w:themeShade="BF"/>
    </w:rPr>
  </w:style>
  <w:style w:type="paragraph" w:styleId="22">
    <w:name w:val="Intense Quote"/>
    <w:basedOn w:val="a"/>
    <w:next w:val="a"/>
    <w:link w:val="23"/>
    <w:uiPriority w:val="30"/>
    <w:qFormat/>
    <w:rsid w:val="00B14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14222"/>
    <w:rPr>
      <w:i/>
      <w:iCs/>
      <w:color w:val="2F5496" w:themeColor="accent1" w:themeShade="BF"/>
    </w:rPr>
  </w:style>
  <w:style w:type="character" w:styleId="24">
    <w:name w:val="Intense Reference"/>
    <w:basedOn w:val="a0"/>
    <w:uiPriority w:val="32"/>
    <w:qFormat/>
    <w:rsid w:val="00B14222"/>
    <w:rPr>
      <w:b/>
      <w:bCs/>
      <w:smallCaps/>
      <w:color w:val="2F5496" w:themeColor="accent1" w:themeShade="BF"/>
      <w:spacing w:val="5"/>
    </w:rPr>
  </w:style>
  <w:style w:type="character" w:styleId="aa">
    <w:name w:val="Strong"/>
    <w:basedOn w:val="a0"/>
    <w:uiPriority w:val="22"/>
    <w:qFormat/>
    <w:rsid w:val="00DE5F8D"/>
    <w:rPr>
      <w:b/>
      <w:bCs/>
    </w:rPr>
  </w:style>
  <w:style w:type="paragraph" w:styleId="ab">
    <w:name w:val="header"/>
    <w:basedOn w:val="a"/>
    <w:link w:val="ac"/>
    <w:uiPriority w:val="99"/>
    <w:unhideWhenUsed/>
    <w:rsid w:val="00DE5F8D"/>
    <w:pPr>
      <w:tabs>
        <w:tab w:val="center" w:pos="4252"/>
        <w:tab w:val="right" w:pos="8504"/>
      </w:tabs>
      <w:snapToGrid w:val="0"/>
    </w:pPr>
  </w:style>
  <w:style w:type="character" w:customStyle="1" w:styleId="ac">
    <w:name w:val="ヘッダー (文字)"/>
    <w:basedOn w:val="a0"/>
    <w:link w:val="ab"/>
    <w:uiPriority w:val="99"/>
    <w:rsid w:val="00DE5F8D"/>
  </w:style>
  <w:style w:type="paragraph" w:styleId="ad">
    <w:name w:val="footer"/>
    <w:basedOn w:val="a"/>
    <w:link w:val="ae"/>
    <w:uiPriority w:val="99"/>
    <w:unhideWhenUsed/>
    <w:rsid w:val="00DE5F8D"/>
    <w:pPr>
      <w:tabs>
        <w:tab w:val="center" w:pos="4252"/>
        <w:tab w:val="right" w:pos="8504"/>
      </w:tabs>
      <w:snapToGrid w:val="0"/>
    </w:pPr>
  </w:style>
  <w:style w:type="character" w:customStyle="1" w:styleId="ae">
    <w:name w:val="フッター (文字)"/>
    <w:basedOn w:val="a0"/>
    <w:link w:val="ad"/>
    <w:uiPriority w:val="99"/>
    <w:rsid w:val="00DE5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845200">
      <w:bodyDiv w:val="1"/>
      <w:marLeft w:val="0"/>
      <w:marRight w:val="0"/>
      <w:marTop w:val="0"/>
      <w:marBottom w:val="0"/>
      <w:divBdr>
        <w:top w:val="none" w:sz="0" w:space="0" w:color="auto"/>
        <w:left w:val="none" w:sz="0" w:space="0" w:color="auto"/>
        <w:bottom w:val="none" w:sz="0" w:space="0" w:color="auto"/>
        <w:right w:val="none" w:sz="0" w:space="0" w:color="auto"/>
      </w:divBdr>
    </w:div>
    <w:div w:id="1094548575">
      <w:bodyDiv w:val="1"/>
      <w:marLeft w:val="0"/>
      <w:marRight w:val="0"/>
      <w:marTop w:val="0"/>
      <w:marBottom w:val="0"/>
      <w:divBdr>
        <w:top w:val="none" w:sz="0" w:space="0" w:color="auto"/>
        <w:left w:val="none" w:sz="0" w:space="0" w:color="auto"/>
        <w:bottom w:val="none" w:sz="0" w:space="0" w:color="auto"/>
        <w:right w:val="none" w:sz="0" w:space="0" w:color="auto"/>
      </w:divBdr>
    </w:div>
    <w:div w:id="147413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1723</Words>
  <Characters>9827</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Shiori MINABE</dc:creator>
  <cp:keywords/>
  <dc:description/>
  <cp:lastModifiedBy>美辺 詩織</cp:lastModifiedBy>
  <cp:revision>6</cp:revision>
  <dcterms:created xsi:type="dcterms:W3CDTF">2025-04-24T23:49:00Z</dcterms:created>
  <dcterms:modified xsi:type="dcterms:W3CDTF">2025-05-12T14:35:00Z</dcterms:modified>
</cp:coreProperties>
</file>