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C67CCD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C67CCD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C67CCD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C67CCD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C67CCD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6C5E4602" w:rsidR="00C9152A" w:rsidRPr="00A95D8C" w:rsidRDefault="00222F7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21BB9534" w:rsidR="00C9152A" w:rsidRPr="00A95D8C" w:rsidRDefault="00222F7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2220DBDC" w:rsidR="00C9152A" w:rsidRPr="00A95D8C" w:rsidRDefault="0087051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835A89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2B3">
              <w:rPr>
                <w:szCs w:val="24"/>
              </w:rPr>
              <w:t>Where the trial protocol and</w:t>
            </w:r>
            <w:r w:rsidRPr="00835A89">
              <w:rPr>
                <w:szCs w:val="24"/>
              </w:rPr>
              <w:t xml:space="preserve">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7309413B" w:rsidR="00C9152A" w:rsidRPr="00A95D8C" w:rsidRDefault="00835A89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6B675593" w:rsidR="00C9152A" w:rsidRPr="00A95D8C" w:rsidRDefault="0087051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0E489FD" w:rsidR="00C9152A" w:rsidRPr="00A95D8C" w:rsidRDefault="0087051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564CA003" w:rsidR="00C9152A" w:rsidRPr="00A95D8C" w:rsidRDefault="0087051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5C6EC3B9" w:rsidR="00C9152A" w:rsidRPr="00A95D8C" w:rsidRDefault="0087051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9B5C30C" w:rsidR="00C9152A" w:rsidRPr="00A95D8C" w:rsidRDefault="0087051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439F6A3D" w:rsidR="00C9152A" w:rsidRPr="00A95D8C" w:rsidRDefault="0087051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2B3">
              <w:rPr>
                <w:szCs w:val="24"/>
              </w:rPr>
              <w:t>Description of trial design including type of trial (</w:t>
            </w:r>
            <w:proofErr w:type="spellStart"/>
            <w:r w:rsidRPr="009C52B3">
              <w:rPr>
                <w:szCs w:val="24"/>
              </w:rPr>
              <w:t>eg</w:t>
            </w:r>
            <w:proofErr w:type="spellEnd"/>
            <w:r w:rsidRPr="009C52B3">
              <w:rPr>
                <w:szCs w:val="24"/>
              </w:rPr>
              <w:t>, parallel group, crossover), allocation ratio, and framework (</w:t>
            </w:r>
            <w:proofErr w:type="spellStart"/>
            <w:r w:rsidRPr="009C52B3">
              <w:rPr>
                <w:szCs w:val="24"/>
              </w:rPr>
              <w:t>eg</w:t>
            </w:r>
            <w:proofErr w:type="spellEnd"/>
            <w:r w:rsidRPr="009C52B3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3F40F619" w:rsidR="00C9152A" w:rsidRPr="00A95D8C" w:rsidRDefault="00CC3944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C52B3">
              <w:rPr>
                <w:szCs w:val="24"/>
              </w:rPr>
              <w:t>-7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9C52B3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2B3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6A9B206F" w:rsidR="00C9152A" w:rsidRPr="00A95D8C" w:rsidRDefault="00F856FB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Not applicable. There </w:t>
            </w:r>
            <w:r w:rsidR="002D32F2">
              <w:rPr>
                <w:szCs w:val="24"/>
              </w:rPr>
              <w:t>are</w:t>
            </w:r>
            <w:r>
              <w:rPr>
                <w:szCs w:val="24"/>
              </w:rPr>
              <w:t xml:space="preserve"> n</w:t>
            </w:r>
            <w:r w:rsidR="00081A18" w:rsidRPr="00081A18">
              <w:rPr>
                <w:szCs w:val="24"/>
              </w:rPr>
              <w:t>o important changes to trial design, outcomes, or analyses were made after the trial commenced.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524F7922" w:rsidR="00C9152A" w:rsidRPr="00A95D8C" w:rsidRDefault="00CC3944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4DE6FDF8" w:rsidR="00C9152A" w:rsidRPr="00A95D8C" w:rsidRDefault="00CC3944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CC3944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C52B3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9C52B3">
              <w:rPr>
                <w:szCs w:val="24"/>
              </w:rPr>
              <w:t>eg</w:t>
            </w:r>
            <w:proofErr w:type="spellEnd"/>
            <w:r w:rsidRPr="009C52B3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91E497" w14:textId="77777777" w:rsidR="00AF6426" w:rsidRDefault="00CC3944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7 </w:t>
            </w:r>
          </w:p>
          <w:p w14:paraId="2EC926B9" w14:textId="3F549D37" w:rsidR="00C9152A" w:rsidRPr="00A95D8C" w:rsidRDefault="00AF6426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We selected tertiary hospitals that have the </w:t>
            </w:r>
            <w:r>
              <w:rPr>
                <w:szCs w:val="24"/>
              </w:rPr>
              <w:lastRenderedPageBreak/>
              <w:t xml:space="preserve">psychiatry, memory and geriatric clinics of the study sites. The nurses and OTs should </w:t>
            </w:r>
            <w:r w:rsidR="00F0718C">
              <w:rPr>
                <w:szCs w:val="24"/>
              </w:rPr>
              <w:t>be</w:t>
            </w:r>
            <w:r>
              <w:rPr>
                <w:szCs w:val="24"/>
              </w:rPr>
              <w:t xml:space="preserve"> experience</w:t>
            </w:r>
            <w:r w:rsidR="00F0718C">
              <w:rPr>
                <w:szCs w:val="24"/>
              </w:rPr>
              <w:t>d</w:t>
            </w:r>
            <w:r>
              <w:rPr>
                <w:szCs w:val="24"/>
              </w:rPr>
              <w:t xml:space="preserve"> on delivering the psychoeducational intervention. 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067E314B" w:rsidR="00C9152A" w:rsidRPr="00A95D8C" w:rsidRDefault="00BA126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C67CCD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244C579D" w:rsidR="00C9152A" w:rsidRPr="00A95D8C" w:rsidRDefault="00BA126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8-10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451CB2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1CB2">
              <w:rPr>
                <w:szCs w:val="24"/>
              </w:rPr>
              <w:t>How harms were defined and assessed (</w:t>
            </w:r>
            <w:proofErr w:type="spellStart"/>
            <w:r w:rsidRPr="00451CB2">
              <w:rPr>
                <w:szCs w:val="24"/>
              </w:rPr>
              <w:t>eg</w:t>
            </w:r>
            <w:proofErr w:type="spellEnd"/>
            <w:r w:rsidRPr="00451CB2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11E73F7A" w:rsidR="00C9152A" w:rsidRPr="00A95D8C" w:rsidRDefault="002D4C78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The risk and benefits of the intervention has been discussed under ethical consideration</w:t>
            </w:r>
            <w:r w:rsidR="007D2478">
              <w:rPr>
                <w:szCs w:val="24"/>
              </w:rPr>
              <w:t xml:space="preserve"> in page </w:t>
            </w:r>
            <w:r w:rsidR="0042222F">
              <w:rPr>
                <w:szCs w:val="24"/>
              </w:rPr>
              <w:t>20</w:t>
            </w:r>
            <w:r>
              <w:rPr>
                <w:szCs w:val="24"/>
              </w:rPr>
              <w:t xml:space="preserve">. </w:t>
            </w:r>
            <w:r w:rsidR="00B44795">
              <w:rPr>
                <w:szCs w:val="24"/>
              </w:rPr>
              <w:t>After the intervention, family caregiver’s anxiety was reduced significantly.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6CE7BECA" w:rsidR="00C9152A" w:rsidRPr="00A95D8C" w:rsidRDefault="00BA126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2C37E1AA" w:rsidR="00C9152A" w:rsidRPr="00A95D8C" w:rsidRDefault="00BA126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 &amp; 3</w:t>
            </w:r>
            <w:r w:rsidR="005C6F0C">
              <w:rPr>
                <w:szCs w:val="24"/>
              </w:rPr>
              <w:t>2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3C5941C7" w:rsidR="00C9152A" w:rsidRPr="00A95D8C" w:rsidRDefault="00014B12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73D4696" w:rsidR="00C9152A" w:rsidRPr="00A95D8C" w:rsidRDefault="00014B12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14C9B36C" w:rsidR="00C9152A" w:rsidRPr="00A95D8C" w:rsidRDefault="00014B12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2901E050" w:rsidR="00C9152A" w:rsidRPr="00A95D8C" w:rsidRDefault="00014B12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6C786F88" w:rsidR="00C9152A" w:rsidRPr="00A95D8C" w:rsidRDefault="00014B12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04C70B5A" w:rsidR="00C9152A" w:rsidRPr="00A95D8C" w:rsidRDefault="00C328E4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4460B427" w:rsidR="00C9152A" w:rsidRPr="00A95D8C" w:rsidRDefault="00881255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7DA78E76" w:rsidR="00C9152A" w:rsidRPr="00A95D8C" w:rsidRDefault="00B25057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 &amp; 37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365CB983" w:rsidR="00C9152A" w:rsidRPr="00A95D8C" w:rsidRDefault="00B25057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C67CCD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3038CAA0" w:rsidR="00C9152A" w:rsidRPr="00A95D8C" w:rsidRDefault="00B25057" w:rsidP="00C67CCD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167E5">
              <w:rPr>
                <w:szCs w:val="24"/>
              </w:rPr>
              <w:t>3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C67CCD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737CF78D" w:rsidR="00D86B53" w:rsidRPr="00A95D8C" w:rsidRDefault="00B2505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C6F0C">
              <w:rPr>
                <w:szCs w:val="24"/>
              </w:rPr>
              <w:t>2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C11D72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3B3BD9">
              <w:rPr>
                <w:szCs w:val="24"/>
              </w:rPr>
              <w:t xml:space="preserve">For each group, losses and exclusions after </w:t>
            </w:r>
            <w:proofErr w:type="spellStart"/>
            <w:r w:rsidRPr="003B3BD9">
              <w:rPr>
                <w:szCs w:val="24"/>
              </w:rPr>
              <w:t>randomisation</w:t>
            </w:r>
            <w:proofErr w:type="spellEnd"/>
            <w:r w:rsidRPr="003B3BD9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2BCADC70" w:rsidR="00D86B53" w:rsidRPr="00A95D8C" w:rsidRDefault="00451CB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There is no losses and exclusions after </w:t>
            </w:r>
            <w:proofErr w:type="spellStart"/>
            <w:r>
              <w:rPr>
                <w:szCs w:val="24"/>
              </w:rPr>
              <w:t>randomisation</w:t>
            </w:r>
            <w:proofErr w:type="spellEnd"/>
            <w:r>
              <w:rPr>
                <w:szCs w:val="24"/>
              </w:rPr>
              <w:t xml:space="preserve"> in this study. However, there are losses to follow up but we have adjusted with the sample size calculation. </w:t>
            </w:r>
            <w:r w:rsidR="00BA2FEF">
              <w:rPr>
                <w:szCs w:val="24"/>
              </w:rPr>
              <w:t>The reason loss to follow up has been describe in earlier publication and we refer the publication</w:t>
            </w:r>
            <w:r w:rsidR="003B3BD9">
              <w:rPr>
                <w:szCs w:val="24"/>
              </w:rPr>
              <w:t xml:space="preserve"> on the discussion section in page 1</w:t>
            </w:r>
            <w:r w:rsidR="00FA0B03">
              <w:rPr>
                <w:szCs w:val="24"/>
              </w:rPr>
              <w:t>5</w:t>
            </w:r>
            <w:r w:rsidR="003B3BD9">
              <w:rPr>
                <w:szCs w:val="24"/>
              </w:rPr>
              <w:t>, reference number 44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4D2596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2596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7E61C22" w:rsidR="00D86B53" w:rsidRPr="00A95D8C" w:rsidRDefault="0060136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We</w:t>
            </w:r>
            <w:r w:rsidR="003B3BD9">
              <w:rPr>
                <w:szCs w:val="24"/>
              </w:rPr>
              <w:t xml:space="preserve"> </w:t>
            </w:r>
            <w:r w:rsidR="004D2596">
              <w:rPr>
                <w:szCs w:val="24"/>
              </w:rPr>
              <w:t xml:space="preserve">have </w:t>
            </w:r>
            <w:r w:rsidR="00CD62AB">
              <w:rPr>
                <w:szCs w:val="24"/>
              </w:rPr>
              <w:t>reported</w:t>
            </w:r>
            <w:r>
              <w:rPr>
                <w:szCs w:val="24"/>
              </w:rPr>
              <w:t xml:space="preserve"> the </w:t>
            </w:r>
            <w:r w:rsidR="004D2596">
              <w:rPr>
                <w:szCs w:val="24"/>
              </w:rPr>
              <w:lastRenderedPageBreak/>
              <w:t xml:space="preserve">dates </w:t>
            </w:r>
            <w:r w:rsidR="00C11D72">
              <w:rPr>
                <w:szCs w:val="24"/>
              </w:rPr>
              <w:t xml:space="preserve">in </w:t>
            </w:r>
            <w:r w:rsidR="003B3BD9">
              <w:rPr>
                <w:szCs w:val="24"/>
              </w:rPr>
              <w:t xml:space="preserve">the </w:t>
            </w:r>
            <w:r w:rsidR="00C11D72">
              <w:rPr>
                <w:szCs w:val="24"/>
              </w:rPr>
              <w:t>method</w:t>
            </w:r>
            <w:r>
              <w:rPr>
                <w:szCs w:val="24"/>
              </w:rPr>
              <w:t xml:space="preserve"> section</w:t>
            </w:r>
            <w:r w:rsidR="00CD62AB">
              <w:rPr>
                <w:szCs w:val="24"/>
              </w:rPr>
              <w:t>s</w:t>
            </w:r>
            <w:r w:rsidR="00CC11F8">
              <w:rPr>
                <w:szCs w:val="24"/>
              </w:rPr>
              <w:t xml:space="preserve"> page 8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4D2596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2596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09B2BE25" w:rsidR="00D86B53" w:rsidRPr="00A95D8C" w:rsidRDefault="0060136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4D2596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2596">
              <w:rPr>
                <w:szCs w:val="24"/>
              </w:rPr>
              <w:t>Intervention and comparator as they were actually administered (</w:t>
            </w:r>
            <w:proofErr w:type="spellStart"/>
            <w:r w:rsidRPr="004D2596">
              <w:rPr>
                <w:szCs w:val="24"/>
              </w:rPr>
              <w:t>eg</w:t>
            </w:r>
            <w:proofErr w:type="spellEnd"/>
            <w:r w:rsidRPr="004D2596">
              <w:rPr>
                <w:szCs w:val="24"/>
              </w:rPr>
              <w:t>, where appropriate, who delivered the intervention/comparator, how participants adhered, whether they were delivered as intended (fidelity))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26614B36" w:rsidR="00D86B53" w:rsidRPr="00A95D8C" w:rsidRDefault="006249F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A0B03">
              <w:rPr>
                <w:szCs w:val="24"/>
              </w:rPr>
              <w:t>2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1CC6750A" w:rsidR="00D86B53" w:rsidRPr="00A95D8C" w:rsidRDefault="00FA4F6D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W</w:t>
            </w:r>
            <w:r w:rsidR="002D32F2">
              <w:rPr>
                <w:szCs w:val="24"/>
              </w:rPr>
              <w:t>e have reported in method section page 7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106BBDE7" w:rsidR="00D86B53" w:rsidRPr="00A95D8C" w:rsidRDefault="006249F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A0B03">
              <w:rPr>
                <w:szCs w:val="24"/>
              </w:rPr>
              <w:t xml:space="preserve">3 </w:t>
            </w:r>
            <w:r>
              <w:rPr>
                <w:szCs w:val="24"/>
              </w:rPr>
              <w:t>&amp; 3</w:t>
            </w:r>
            <w:r w:rsidR="00FA0B03">
              <w:rPr>
                <w:szCs w:val="24"/>
              </w:rPr>
              <w:t>3-34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56A4D" w14:textId="77777777" w:rsidR="00FA4F6D" w:rsidRPr="002D32F2" w:rsidRDefault="00FA4F6D" w:rsidP="00FA4F6D">
            <w:pPr>
              <w:rPr>
                <w:sz w:val="20"/>
                <w:szCs w:val="20"/>
              </w:rPr>
            </w:pPr>
          </w:p>
          <w:p w14:paraId="2DF81188" w14:textId="1C55F110" w:rsidR="002D32F2" w:rsidRPr="002D32F2" w:rsidRDefault="002D32F2" w:rsidP="00FA4F6D">
            <w:pPr>
              <w:rPr>
                <w:sz w:val="20"/>
                <w:szCs w:val="20"/>
              </w:rPr>
            </w:pPr>
            <w:r w:rsidRPr="002D32F2">
              <w:rPr>
                <w:sz w:val="20"/>
                <w:szCs w:val="20"/>
              </w:rPr>
              <w:t>1</w:t>
            </w:r>
            <w:r w:rsidR="00FA0B03">
              <w:rPr>
                <w:sz w:val="20"/>
                <w:szCs w:val="20"/>
              </w:rPr>
              <w:t>2-14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D839E4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9E4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2EEB1298" w:rsidR="00D86B53" w:rsidRPr="00A95D8C" w:rsidRDefault="00D839E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We have discussed in discussion sections</w:t>
            </w:r>
            <w:r w:rsidR="00B26B68">
              <w:rPr>
                <w:szCs w:val="24"/>
              </w:rPr>
              <w:t xml:space="preserve"> in page 17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7B141B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41B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7B141B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41B">
              <w:rPr>
                <w:szCs w:val="24"/>
              </w:rPr>
              <w:t>Any other analyses performed, including subgroup and sensitivity analyses, distinguishing pre-specified from post 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0E1C382D" w:rsidR="00D86B53" w:rsidRPr="00A95D8C" w:rsidRDefault="007E5B0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The study included </w:t>
            </w:r>
            <w:r w:rsidR="00774F34" w:rsidRPr="00774F34">
              <w:rPr>
                <w:szCs w:val="24"/>
              </w:rPr>
              <w:t xml:space="preserve">mixed ANOVA </w:t>
            </w:r>
            <w:r>
              <w:rPr>
                <w:szCs w:val="24"/>
              </w:rPr>
              <w:t>(</w:t>
            </w:r>
            <w:r w:rsidR="00774F34" w:rsidRPr="00774F34">
              <w:rPr>
                <w:szCs w:val="24"/>
              </w:rPr>
              <w:t xml:space="preserve">sample </w:t>
            </w:r>
            <w:r>
              <w:rPr>
                <w:szCs w:val="24"/>
              </w:rPr>
              <w:t xml:space="preserve">remained </w:t>
            </w:r>
            <w:r w:rsidR="00774F34" w:rsidRPr="00774F34">
              <w:rPr>
                <w:szCs w:val="24"/>
              </w:rPr>
              <w:t>after dropout</w:t>
            </w:r>
            <w:r>
              <w:rPr>
                <w:szCs w:val="24"/>
              </w:rPr>
              <w:t xml:space="preserve">) and </w:t>
            </w:r>
            <w:r w:rsidR="00774F34" w:rsidRPr="00774F34">
              <w:rPr>
                <w:szCs w:val="24"/>
              </w:rPr>
              <w:t xml:space="preserve">mixed model analysis </w:t>
            </w:r>
            <w:r>
              <w:rPr>
                <w:szCs w:val="24"/>
              </w:rPr>
              <w:t>(</w:t>
            </w:r>
            <w:r w:rsidR="00774F34" w:rsidRPr="00774F34">
              <w:rPr>
                <w:szCs w:val="24"/>
              </w:rPr>
              <w:t>full sample</w:t>
            </w:r>
            <w:r>
              <w:rPr>
                <w:szCs w:val="24"/>
              </w:rPr>
              <w:t>)</w:t>
            </w:r>
            <w:r w:rsidR="00774F34" w:rsidRPr="00774F34">
              <w:rPr>
                <w:szCs w:val="24"/>
              </w:rPr>
              <w:t xml:space="preserve">. Comparison of the two methods showed similar results. </w:t>
            </w:r>
            <w:r>
              <w:rPr>
                <w:szCs w:val="24"/>
              </w:rPr>
              <w:t xml:space="preserve">A comparative analysis has also been performed on the background characteristics </w:t>
            </w:r>
            <w:r>
              <w:rPr>
                <w:szCs w:val="24"/>
              </w:rPr>
              <w:lastRenderedPageBreak/>
              <w:t>between the sample</w:t>
            </w:r>
            <w:r w:rsidR="00271B8E">
              <w:rPr>
                <w:szCs w:val="24"/>
              </w:rPr>
              <w:t>s</w:t>
            </w:r>
            <w:r>
              <w:rPr>
                <w:szCs w:val="24"/>
              </w:rPr>
              <w:t xml:space="preserve"> of dropped</w:t>
            </w:r>
            <w:r w:rsidR="00271B8E">
              <w:rPr>
                <w:szCs w:val="24"/>
              </w:rPr>
              <w:t>-</w:t>
            </w:r>
            <w:r>
              <w:rPr>
                <w:szCs w:val="24"/>
              </w:rPr>
              <w:t>out and remained in the study</w:t>
            </w:r>
            <w:r w:rsidR="00271B8E">
              <w:rPr>
                <w:szCs w:val="24"/>
              </w:rPr>
              <w:t xml:space="preserve"> (</w:t>
            </w:r>
            <w:r w:rsidR="00774F34" w:rsidRPr="00774F34">
              <w:rPr>
                <w:szCs w:val="24"/>
              </w:rPr>
              <w:t>added as a supplementary file</w:t>
            </w:r>
            <w:r w:rsidR="00271B8E">
              <w:rPr>
                <w:szCs w:val="24"/>
              </w:rPr>
              <w:t>)</w:t>
            </w:r>
            <w:r w:rsidR="00774F34" w:rsidRPr="00774F34">
              <w:rPr>
                <w:szCs w:val="24"/>
              </w:rPr>
              <w:t>.</w:t>
            </w:r>
          </w:p>
        </w:tc>
      </w:tr>
      <w:tr w:rsidR="0048097A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5F997C" w14:textId="77777777" w:rsidR="0048097A" w:rsidRDefault="0048097A" w:rsidP="0048097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0B6A24AA" w14:textId="66165F4E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t>1</w:t>
            </w:r>
            <w:r w:rsidR="00B26B68">
              <w:t>5-17</w:t>
            </w:r>
          </w:p>
        </w:tc>
      </w:tr>
      <w:tr w:rsidR="0048097A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2EFF4F" w14:textId="77777777" w:rsidR="0048097A" w:rsidRDefault="0048097A" w:rsidP="0048097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51DCE8D9" w14:textId="2563BB0E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26B68">
              <w:rPr>
                <w:szCs w:val="24"/>
              </w:rPr>
              <w:t>7</w:t>
            </w:r>
          </w:p>
        </w:tc>
      </w:tr>
      <w:tr w:rsidR="0048097A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7777777" w:rsidR="0048097A" w:rsidRPr="00A95D8C" w:rsidRDefault="0048097A" w:rsidP="0048097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52A"/>
    <w:rsid w:val="00014B12"/>
    <w:rsid w:val="00081A18"/>
    <w:rsid w:val="00141134"/>
    <w:rsid w:val="001D66E4"/>
    <w:rsid w:val="00222F75"/>
    <w:rsid w:val="00271B8E"/>
    <w:rsid w:val="002D32F2"/>
    <w:rsid w:val="002D4C78"/>
    <w:rsid w:val="00304F07"/>
    <w:rsid w:val="003734CC"/>
    <w:rsid w:val="003B3BD9"/>
    <w:rsid w:val="0042222F"/>
    <w:rsid w:val="00451CB2"/>
    <w:rsid w:val="0048097A"/>
    <w:rsid w:val="004D2596"/>
    <w:rsid w:val="005C6F0C"/>
    <w:rsid w:val="00601365"/>
    <w:rsid w:val="006113B4"/>
    <w:rsid w:val="00614009"/>
    <w:rsid w:val="006249F7"/>
    <w:rsid w:val="00626DCF"/>
    <w:rsid w:val="00696344"/>
    <w:rsid w:val="00715DC2"/>
    <w:rsid w:val="00717D29"/>
    <w:rsid w:val="0076583E"/>
    <w:rsid w:val="00774F34"/>
    <w:rsid w:val="007B141B"/>
    <w:rsid w:val="007D2478"/>
    <w:rsid w:val="007D4228"/>
    <w:rsid w:val="007E5B00"/>
    <w:rsid w:val="00835A89"/>
    <w:rsid w:val="00870515"/>
    <w:rsid w:val="00881255"/>
    <w:rsid w:val="009B7ADA"/>
    <w:rsid w:val="009C52B3"/>
    <w:rsid w:val="009F7008"/>
    <w:rsid w:val="00A167E5"/>
    <w:rsid w:val="00AF6426"/>
    <w:rsid w:val="00B25057"/>
    <w:rsid w:val="00B26B68"/>
    <w:rsid w:val="00B44795"/>
    <w:rsid w:val="00BA126A"/>
    <w:rsid w:val="00BA2FEF"/>
    <w:rsid w:val="00C11D72"/>
    <w:rsid w:val="00C328E4"/>
    <w:rsid w:val="00C67CCD"/>
    <w:rsid w:val="00C9152A"/>
    <w:rsid w:val="00CC11F8"/>
    <w:rsid w:val="00CC3944"/>
    <w:rsid w:val="00CD2260"/>
    <w:rsid w:val="00CD62AB"/>
    <w:rsid w:val="00CF759C"/>
    <w:rsid w:val="00D839E4"/>
    <w:rsid w:val="00D86B53"/>
    <w:rsid w:val="00D92E43"/>
    <w:rsid w:val="00DB5D01"/>
    <w:rsid w:val="00DC3317"/>
    <w:rsid w:val="00DE4EAA"/>
    <w:rsid w:val="00E72327"/>
    <w:rsid w:val="00F0718C"/>
    <w:rsid w:val="00F3689F"/>
    <w:rsid w:val="00F856FB"/>
    <w:rsid w:val="00FA0B03"/>
    <w:rsid w:val="00FA4F6D"/>
    <w:rsid w:val="00F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docId w15:val="{B52626AC-A8CC-465F-8323-84B157D4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SYARIFAH AMIRAH BINTI SYED AHMAD</cp:lastModifiedBy>
  <cp:revision>3</cp:revision>
  <dcterms:created xsi:type="dcterms:W3CDTF">2025-03-15T22:59:00Z</dcterms:created>
  <dcterms:modified xsi:type="dcterms:W3CDTF">2025-08-20T08:03:00Z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