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BBD07" w14:textId="77777777" w:rsidR="00A25328" w:rsidRDefault="00A25328" w:rsidP="00A25328">
      <w:pPr>
        <w:spacing w:after="0" w:line="240" w:lineRule="auto"/>
        <w:rPr>
          <w:rFonts w:ascii="Times New Roman" w:hAnsi="Times New Roman" w:cs="Times New Roman"/>
          <w:b/>
          <w:bCs/>
          <w:sz w:val="28"/>
          <w:szCs w:val="28"/>
        </w:rPr>
      </w:pPr>
      <w:r w:rsidRPr="00A25328">
        <w:rPr>
          <w:rFonts w:ascii="Times New Roman" w:hAnsi="Times New Roman" w:cs="Times New Roman"/>
          <w:b/>
          <w:bCs/>
          <w:sz w:val="28"/>
          <w:szCs w:val="28"/>
        </w:rPr>
        <w:t>Overconsumption Gravely Threatens Water Security in the Binational Rio Grande-Bravo Basin</w:t>
      </w:r>
    </w:p>
    <w:p w14:paraId="13980E16" w14:textId="77777777" w:rsidR="00A25328" w:rsidRPr="00A25328" w:rsidRDefault="00A25328" w:rsidP="00A25328">
      <w:pPr>
        <w:spacing w:after="0" w:line="240" w:lineRule="auto"/>
        <w:rPr>
          <w:rFonts w:ascii="Times New Roman" w:hAnsi="Times New Roman" w:cs="Times New Roman"/>
          <w:b/>
          <w:bCs/>
          <w:sz w:val="28"/>
          <w:szCs w:val="28"/>
        </w:rPr>
      </w:pPr>
    </w:p>
    <w:p w14:paraId="374FBC76" w14:textId="1BFAB45E" w:rsidR="00DE31F6" w:rsidRPr="00A25328" w:rsidRDefault="00A25328" w:rsidP="00A25328">
      <w:pPr>
        <w:spacing w:after="0"/>
        <w:rPr>
          <w:rFonts w:ascii="Times New Roman" w:hAnsi="Times New Roman" w:cs="Times New Roman"/>
          <w:b/>
          <w:bCs/>
        </w:rPr>
      </w:pPr>
      <w:r w:rsidRPr="00A25328">
        <w:rPr>
          <w:rFonts w:ascii="Times New Roman" w:hAnsi="Times New Roman" w:cs="Times New Roman"/>
          <w:b/>
          <w:bCs/>
        </w:rPr>
        <w:t>Supplemental Information</w:t>
      </w:r>
    </w:p>
    <w:p w14:paraId="65B55772" w14:textId="77777777" w:rsidR="00A25328" w:rsidRDefault="00A25328" w:rsidP="00A25328">
      <w:pPr>
        <w:spacing w:after="0"/>
        <w:rPr>
          <w:rFonts w:ascii="Times New Roman" w:hAnsi="Times New Roman" w:cs="Times New Roman"/>
        </w:rPr>
      </w:pPr>
    </w:p>
    <w:p w14:paraId="0F96288D" w14:textId="07449E79" w:rsidR="00A25328" w:rsidRPr="00A25328" w:rsidRDefault="00A25328" w:rsidP="00A25328">
      <w:pPr>
        <w:spacing w:after="0"/>
        <w:rPr>
          <w:rFonts w:ascii="Times New Roman" w:hAnsi="Times New Roman" w:cs="Times New Roman"/>
        </w:rPr>
      </w:pPr>
      <w:r w:rsidRPr="00E572D3">
        <w:rPr>
          <w:rFonts w:ascii="Times New Roman" w:hAnsi="Times New Roman" w:cs="Times New Roman"/>
          <w:b/>
          <w:bCs/>
        </w:rPr>
        <w:t xml:space="preserve">Table </w:t>
      </w:r>
      <w:r>
        <w:rPr>
          <w:rFonts w:ascii="Times New Roman" w:hAnsi="Times New Roman" w:cs="Times New Roman"/>
          <w:b/>
          <w:bCs/>
        </w:rPr>
        <w:t>SI-</w:t>
      </w:r>
      <w:r w:rsidRPr="00E572D3">
        <w:rPr>
          <w:rFonts w:ascii="Times New Roman" w:hAnsi="Times New Roman" w:cs="Times New Roman"/>
          <w:b/>
          <w:bCs/>
        </w:rPr>
        <w:t xml:space="preserve">1. </w:t>
      </w:r>
      <w:r>
        <w:rPr>
          <w:rFonts w:ascii="Times New Roman" w:hAnsi="Times New Roman" w:cs="Times New Roman"/>
          <w:b/>
          <w:bCs/>
        </w:rPr>
        <w:t xml:space="preserve">Consumptive water uses by sub-basin. </w:t>
      </w:r>
      <w:r w:rsidRPr="00A25328">
        <w:rPr>
          <w:rFonts w:ascii="Times New Roman" w:hAnsi="Times New Roman" w:cs="Times New Roman"/>
        </w:rPr>
        <w:t>Summary of the average annual consumptive use volumes over recent decades for each sub-basin and the entire basin</w:t>
      </w:r>
      <w:r w:rsidR="00186D0C">
        <w:rPr>
          <w:rFonts w:ascii="Times New Roman" w:hAnsi="Times New Roman" w:cs="Times New Roman"/>
        </w:rPr>
        <w:t xml:space="preserve"> as shown in Figure 2</w:t>
      </w:r>
      <w:r w:rsidRPr="00A25328">
        <w:rPr>
          <w:rFonts w:ascii="Times New Roman" w:hAnsi="Times New Roman" w:cs="Times New Roman"/>
        </w:rPr>
        <w:t>, in acre-feet per year.</w:t>
      </w:r>
    </w:p>
    <w:p w14:paraId="3E9779DA" w14:textId="77777777" w:rsidR="006D2AF2" w:rsidRPr="00560EAE" w:rsidRDefault="006D2AF2" w:rsidP="006D2AF2">
      <w:pPr>
        <w:spacing w:line="240" w:lineRule="auto"/>
        <w:rPr>
          <w:rFonts w:ascii="Times New Roman" w:hAnsi="Times New Roman" w:cs="Times New Roman"/>
        </w:rPr>
      </w:pPr>
    </w:p>
    <w:p w14:paraId="542A63EE" w14:textId="69C2B916" w:rsidR="006D2AF2" w:rsidRDefault="00A72293" w:rsidP="006D2AF2">
      <w:pPr>
        <w:ind w:left="-720"/>
      </w:pPr>
      <w:r w:rsidRPr="00D64C34">
        <w:drawing>
          <wp:inline distT="0" distB="0" distL="0" distR="0" wp14:anchorId="6E4381DE" wp14:editId="23512881">
            <wp:extent cx="8919590" cy="2934032"/>
            <wp:effectExtent l="0" t="0" r="0" b="0"/>
            <wp:docPr id="65313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35689" name=""/>
                    <pic:cNvPicPr/>
                  </pic:nvPicPr>
                  <pic:blipFill>
                    <a:blip r:embed="rId5"/>
                    <a:stretch>
                      <a:fillRect/>
                    </a:stretch>
                  </pic:blipFill>
                  <pic:spPr>
                    <a:xfrm>
                      <a:off x="0" y="0"/>
                      <a:ext cx="8958060" cy="2946686"/>
                    </a:xfrm>
                    <a:prstGeom prst="rect">
                      <a:avLst/>
                    </a:prstGeom>
                  </pic:spPr>
                </pic:pic>
              </a:graphicData>
            </a:graphic>
          </wp:inline>
        </w:drawing>
      </w:r>
    </w:p>
    <w:p w14:paraId="79488317" w14:textId="487027D9" w:rsidR="006D2AF2" w:rsidRDefault="006D2AF2" w:rsidP="006D2AF2">
      <w:pPr>
        <w:ind w:left="-720"/>
      </w:pPr>
    </w:p>
    <w:p w14:paraId="6DD9FD31" w14:textId="11B578AA" w:rsidR="006D2AF2" w:rsidRDefault="006D2AF2" w:rsidP="00A72293"/>
    <w:p w14:paraId="5ED339F5" w14:textId="79E2DA83" w:rsidR="006D2AF2" w:rsidRPr="00D23550" w:rsidRDefault="006D2AF2" w:rsidP="006D2AF2">
      <w:pPr>
        <w:ind w:left="-720"/>
        <w:sectPr w:rsidR="006D2AF2" w:rsidRPr="00D23550" w:rsidSect="006D2AF2">
          <w:endnotePr>
            <w:numFmt w:val="decimal"/>
          </w:endnotePr>
          <w:pgSz w:w="15840" w:h="12240" w:orient="landscape"/>
          <w:pgMar w:top="1440" w:right="1440" w:bottom="1440" w:left="1440" w:header="720" w:footer="720" w:gutter="0"/>
          <w:cols w:space="720"/>
          <w:docGrid w:linePitch="360"/>
        </w:sectPr>
      </w:pPr>
    </w:p>
    <w:p w14:paraId="28CA8D3A" w14:textId="77777777" w:rsidR="00A25328" w:rsidRDefault="00A25328" w:rsidP="00A25328">
      <w:pPr>
        <w:spacing w:after="0"/>
        <w:rPr>
          <w:rFonts w:ascii="Times New Roman" w:hAnsi="Times New Roman" w:cs="Times New Roman"/>
        </w:rPr>
      </w:pPr>
    </w:p>
    <w:p w14:paraId="405ADC69" w14:textId="0337DBA2" w:rsidR="00A25328" w:rsidRDefault="00A25328" w:rsidP="00A25328">
      <w:pPr>
        <w:spacing w:after="0"/>
        <w:rPr>
          <w:rFonts w:ascii="Times New Roman" w:hAnsi="Times New Roman" w:cs="Times New Roman"/>
        </w:rPr>
      </w:pPr>
      <w:r w:rsidRPr="00A25328">
        <w:rPr>
          <w:rFonts w:ascii="Times New Roman" w:hAnsi="Times New Roman" w:cs="Times New Roman"/>
          <w:b/>
          <w:bCs/>
        </w:rPr>
        <w:t>Table SI-</w:t>
      </w:r>
      <w:r w:rsidR="009931F6">
        <w:rPr>
          <w:rFonts w:ascii="Times New Roman" w:hAnsi="Times New Roman" w:cs="Times New Roman"/>
          <w:b/>
          <w:bCs/>
        </w:rPr>
        <w:t>2</w:t>
      </w:r>
      <w:r w:rsidRPr="00A25328">
        <w:rPr>
          <w:rFonts w:ascii="Times New Roman" w:hAnsi="Times New Roman" w:cs="Times New Roman"/>
          <w:b/>
          <w:bCs/>
        </w:rPr>
        <w:t>. Reservoir evaporation</w:t>
      </w:r>
      <w:r>
        <w:rPr>
          <w:rFonts w:ascii="Times New Roman" w:hAnsi="Times New Roman" w:cs="Times New Roman"/>
        </w:rPr>
        <w:t xml:space="preserve">. Listing of </w:t>
      </w:r>
      <w:r w:rsidR="00BD1088">
        <w:rPr>
          <w:rFonts w:ascii="Times New Roman" w:hAnsi="Times New Roman" w:cs="Times New Roman"/>
        </w:rPr>
        <w:t xml:space="preserve">37 </w:t>
      </w:r>
      <w:r>
        <w:rPr>
          <w:rFonts w:ascii="Times New Roman" w:hAnsi="Times New Roman" w:cs="Times New Roman"/>
        </w:rPr>
        <w:t>reservoirs included in estimation of reservoir evaporation for each sub-basin.</w:t>
      </w:r>
    </w:p>
    <w:tbl>
      <w:tblPr>
        <w:tblW w:w="7140" w:type="dxa"/>
        <w:tblInd w:w="-30" w:type="dxa"/>
        <w:tblLayout w:type="fixed"/>
        <w:tblLook w:val="0000" w:firstRow="0" w:lastRow="0" w:firstColumn="0" w:lastColumn="0" w:noHBand="0" w:noVBand="0"/>
      </w:tblPr>
      <w:tblGrid>
        <w:gridCol w:w="3630"/>
        <w:gridCol w:w="3510"/>
      </w:tblGrid>
      <w:tr w:rsidR="00BD1088" w:rsidRPr="00A25328" w14:paraId="5C19F52F" w14:textId="77777777" w:rsidTr="00BD1088">
        <w:trPr>
          <w:trHeight w:val="675"/>
        </w:trPr>
        <w:tc>
          <w:tcPr>
            <w:tcW w:w="3630" w:type="dxa"/>
            <w:tcBorders>
              <w:top w:val="nil"/>
              <w:left w:val="nil"/>
              <w:bottom w:val="nil"/>
              <w:right w:val="nil"/>
            </w:tcBorders>
          </w:tcPr>
          <w:p w14:paraId="4F85B566" w14:textId="77777777" w:rsidR="00A25328" w:rsidRPr="00BD1088" w:rsidRDefault="00A25328">
            <w:pPr>
              <w:autoSpaceDE w:val="0"/>
              <w:autoSpaceDN w:val="0"/>
              <w:adjustRightInd w:val="0"/>
              <w:spacing w:after="0" w:line="240" w:lineRule="auto"/>
              <w:rPr>
                <w:rFonts w:ascii="Times New Roman" w:hAnsi="Times New Roman" w:cs="Times New Roman"/>
                <w:b/>
                <w:bCs/>
                <w:color w:val="000000"/>
                <w:kern w:val="0"/>
              </w:rPr>
            </w:pPr>
          </w:p>
          <w:p w14:paraId="60399AFB" w14:textId="1BCE203D" w:rsidR="00A25328" w:rsidRPr="00BD1088" w:rsidRDefault="00A25328" w:rsidP="00BD1088">
            <w:pPr>
              <w:autoSpaceDE w:val="0"/>
              <w:autoSpaceDN w:val="0"/>
              <w:adjustRightInd w:val="0"/>
              <w:spacing w:after="0" w:line="240" w:lineRule="auto"/>
              <w:ind w:right="69"/>
              <w:rPr>
                <w:rFonts w:ascii="Times New Roman" w:hAnsi="Times New Roman" w:cs="Times New Roman"/>
                <w:b/>
                <w:bCs/>
                <w:color w:val="000000"/>
                <w:kern w:val="0"/>
                <w:u w:val="single"/>
              </w:rPr>
            </w:pPr>
            <w:proofErr w:type="spellStart"/>
            <w:r w:rsidRPr="00BD1088">
              <w:rPr>
                <w:rFonts w:ascii="Times New Roman" w:hAnsi="Times New Roman" w:cs="Times New Roman"/>
                <w:b/>
                <w:bCs/>
                <w:color w:val="000000"/>
                <w:kern w:val="0"/>
                <w:u w:val="single"/>
              </w:rPr>
              <w:t>RGB_Subbasin</w:t>
            </w:r>
            <w:proofErr w:type="spellEnd"/>
          </w:p>
        </w:tc>
        <w:tc>
          <w:tcPr>
            <w:tcW w:w="3510" w:type="dxa"/>
            <w:tcBorders>
              <w:top w:val="nil"/>
              <w:left w:val="nil"/>
              <w:bottom w:val="nil"/>
              <w:right w:val="nil"/>
            </w:tcBorders>
          </w:tcPr>
          <w:p w14:paraId="62F2E0AF" w14:textId="77777777" w:rsidR="00BD1088" w:rsidRPr="00BD1088" w:rsidRDefault="00BD1088">
            <w:pPr>
              <w:autoSpaceDE w:val="0"/>
              <w:autoSpaceDN w:val="0"/>
              <w:adjustRightInd w:val="0"/>
              <w:spacing w:after="0" w:line="240" w:lineRule="auto"/>
              <w:rPr>
                <w:rFonts w:ascii="Times New Roman" w:hAnsi="Times New Roman" w:cs="Times New Roman"/>
                <w:b/>
                <w:bCs/>
                <w:color w:val="000000"/>
                <w:kern w:val="0"/>
                <w:u w:val="single"/>
              </w:rPr>
            </w:pPr>
          </w:p>
          <w:p w14:paraId="7660012C" w14:textId="60B38B46" w:rsidR="00A25328" w:rsidRPr="00BD1088" w:rsidRDefault="00A25328">
            <w:pPr>
              <w:autoSpaceDE w:val="0"/>
              <w:autoSpaceDN w:val="0"/>
              <w:adjustRightInd w:val="0"/>
              <w:spacing w:after="0" w:line="240" w:lineRule="auto"/>
              <w:rPr>
                <w:rFonts w:ascii="Times New Roman" w:hAnsi="Times New Roman" w:cs="Times New Roman"/>
                <w:b/>
                <w:bCs/>
                <w:color w:val="000000"/>
                <w:kern w:val="0"/>
                <w:u w:val="single"/>
              </w:rPr>
            </w:pPr>
            <w:proofErr w:type="spellStart"/>
            <w:r w:rsidRPr="00BD1088">
              <w:rPr>
                <w:rFonts w:ascii="Times New Roman" w:hAnsi="Times New Roman" w:cs="Times New Roman"/>
                <w:b/>
                <w:bCs/>
                <w:color w:val="000000"/>
                <w:kern w:val="0"/>
                <w:u w:val="single"/>
              </w:rPr>
              <w:t>Lake_name</w:t>
            </w:r>
            <w:proofErr w:type="spellEnd"/>
          </w:p>
        </w:tc>
      </w:tr>
      <w:tr w:rsidR="00EF1766" w:rsidRPr="00A25328" w14:paraId="21588031" w14:textId="77777777" w:rsidTr="00BD1088">
        <w:trPr>
          <w:trHeight w:val="300"/>
        </w:trPr>
        <w:tc>
          <w:tcPr>
            <w:tcW w:w="3630" w:type="dxa"/>
            <w:tcBorders>
              <w:top w:val="nil"/>
              <w:left w:val="nil"/>
              <w:bottom w:val="nil"/>
              <w:right w:val="nil"/>
            </w:tcBorders>
          </w:tcPr>
          <w:p w14:paraId="3E756BFF" w14:textId="03274992"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Colorado</w:t>
            </w:r>
          </w:p>
        </w:tc>
        <w:tc>
          <w:tcPr>
            <w:tcW w:w="3510" w:type="dxa"/>
            <w:tcBorders>
              <w:top w:val="nil"/>
              <w:left w:val="nil"/>
              <w:bottom w:val="nil"/>
              <w:right w:val="nil"/>
            </w:tcBorders>
          </w:tcPr>
          <w:p w14:paraId="39BCF6E5" w14:textId="153E1F10"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Continental</w:t>
            </w:r>
            <w:r>
              <w:rPr>
                <w:rFonts w:ascii="Times New Roman" w:hAnsi="Times New Roman" w:cs="Times New Roman"/>
                <w:color w:val="000000"/>
                <w:kern w:val="0"/>
              </w:rPr>
              <w:t xml:space="preserve"> Reservoir</w:t>
            </w:r>
          </w:p>
        </w:tc>
      </w:tr>
      <w:tr w:rsidR="00EF1766" w:rsidRPr="00A25328" w14:paraId="0D41DA87" w14:textId="77777777" w:rsidTr="00BD1088">
        <w:trPr>
          <w:trHeight w:val="300"/>
        </w:trPr>
        <w:tc>
          <w:tcPr>
            <w:tcW w:w="3630" w:type="dxa"/>
            <w:tcBorders>
              <w:top w:val="nil"/>
              <w:left w:val="nil"/>
              <w:bottom w:val="nil"/>
              <w:right w:val="nil"/>
            </w:tcBorders>
          </w:tcPr>
          <w:p w14:paraId="746130D4" w14:textId="0B3A6510"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Colorado</w:t>
            </w:r>
          </w:p>
        </w:tc>
        <w:tc>
          <w:tcPr>
            <w:tcW w:w="3510" w:type="dxa"/>
            <w:tcBorders>
              <w:top w:val="nil"/>
              <w:left w:val="nil"/>
              <w:bottom w:val="nil"/>
              <w:right w:val="nil"/>
            </w:tcBorders>
          </w:tcPr>
          <w:p w14:paraId="4F9B20B0" w14:textId="5A43BC6D"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Santa Maria</w:t>
            </w:r>
            <w:r>
              <w:rPr>
                <w:rFonts w:ascii="Times New Roman" w:hAnsi="Times New Roman" w:cs="Times New Roman"/>
                <w:color w:val="000000"/>
                <w:kern w:val="0"/>
              </w:rPr>
              <w:t xml:space="preserve"> Reservoir</w:t>
            </w:r>
          </w:p>
        </w:tc>
      </w:tr>
      <w:tr w:rsidR="00EF1766" w:rsidRPr="00A25328" w14:paraId="5F81535F" w14:textId="77777777" w:rsidTr="00BD1088">
        <w:trPr>
          <w:trHeight w:val="300"/>
        </w:trPr>
        <w:tc>
          <w:tcPr>
            <w:tcW w:w="3630" w:type="dxa"/>
            <w:tcBorders>
              <w:top w:val="nil"/>
              <w:left w:val="nil"/>
              <w:bottom w:val="nil"/>
              <w:right w:val="nil"/>
            </w:tcBorders>
          </w:tcPr>
          <w:p w14:paraId="7E9A1683" w14:textId="73A0827A"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Colorado</w:t>
            </w:r>
          </w:p>
        </w:tc>
        <w:tc>
          <w:tcPr>
            <w:tcW w:w="3510" w:type="dxa"/>
            <w:tcBorders>
              <w:top w:val="nil"/>
              <w:left w:val="nil"/>
              <w:bottom w:val="nil"/>
              <w:right w:val="nil"/>
            </w:tcBorders>
          </w:tcPr>
          <w:p w14:paraId="785E94D9" w14:textId="6FBA7D33"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Farmers Union</w:t>
            </w:r>
            <w:r>
              <w:rPr>
                <w:rFonts w:ascii="Times New Roman" w:hAnsi="Times New Roman" w:cs="Times New Roman"/>
                <w:color w:val="000000"/>
                <w:kern w:val="0"/>
              </w:rPr>
              <w:t xml:space="preserve"> Reservoir</w:t>
            </w:r>
          </w:p>
        </w:tc>
      </w:tr>
      <w:tr w:rsidR="00EF1766" w:rsidRPr="00A25328" w14:paraId="348E16CC" w14:textId="77777777" w:rsidTr="00BD1088">
        <w:trPr>
          <w:trHeight w:val="300"/>
        </w:trPr>
        <w:tc>
          <w:tcPr>
            <w:tcW w:w="3630" w:type="dxa"/>
            <w:tcBorders>
              <w:top w:val="nil"/>
              <w:left w:val="nil"/>
              <w:bottom w:val="nil"/>
              <w:right w:val="nil"/>
            </w:tcBorders>
          </w:tcPr>
          <w:p w14:paraId="089756A7" w14:textId="60620988"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Colorado</w:t>
            </w:r>
          </w:p>
        </w:tc>
        <w:tc>
          <w:tcPr>
            <w:tcW w:w="3510" w:type="dxa"/>
            <w:tcBorders>
              <w:top w:val="nil"/>
              <w:left w:val="nil"/>
              <w:bottom w:val="nil"/>
              <w:right w:val="nil"/>
            </w:tcBorders>
          </w:tcPr>
          <w:p w14:paraId="30E3F72C" w14:textId="2C1497ED"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proofErr w:type="spellStart"/>
            <w:r w:rsidRPr="00A25328">
              <w:rPr>
                <w:rFonts w:ascii="Times New Roman" w:hAnsi="Times New Roman" w:cs="Times New Roman"/>
                <w:color w:val="000000"/>
                <w:kern w:val="0"/>
              </w:rPr>
              <w:t>Platoro</w:t>
            </w:r>
            <w:proofErr w:type="spellEnd"/>
            <w:r w:rsidRPr="00A25328">
              <w:rPr>
                <w:rFonts w:ascii="Times New Roman" w:hAnsi="Times New Roman" w:cs="Times New Roman"/>
                <w:color w:val="000000"/>
                <w:kern w:val="0"/>
              </w:rPr>
              <w:t xml:space="preserve"> Reservoir</w:t>
            </w:r>
          </w:p>
        </w:tc>
      </w:tr>
      <w:tr w:rsidR="00EF1766" w:rsidRPr="00A25328" w14:paraId="52DF91ED" w14:textId="77777777" w:rsidTr="00BD1088">
        <w:trPr>
          <w:trHeight w:val="300"/>
        </w:trPr>
        <w:tc>
          <w:tcPr>
            <w:tcW w:w="3630" w:type="dxa"/>
            <w:tcBorders>
              <w:top w:val="nil"/>
              <w:left w:val="nil"/>
              <w:bottom w:val="nil"/>
              <w:right w:val="nil"/>
            </w:tcBorders>
          </w:tcPr>
          <w:p w14:paraId="7C3DD81B" w14:textId="2D1519B1"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Colorado</w:t>
            </w:r>
          </w:p>
        </w:tc>
        <w:tc>
          <w:tcPr>
            <w:tcW w:w="3510" w:type="dxa"/>
            <w:tcBorders>
              <w:top w:val="nil"/>
              <w:left w:val="nil"/>
              <w:bottom w:val="nil"/>
              <w:right w:val="nil"/>
            </w:tcBorders>
          </w:tcPr>
          <w:p w14:paraId="6B987579" w14:textId="1D8776CA"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La Jara </w:t>
            </w:r>
            <w:r>
              <w:rPr>
                <w:rFonts w:ascii="Times New Roman" w:hAnsi="Times New Roman" w:cs="Times New Roman"/>
                <w:color w:val="000000"/>
                <w:kern w:val="0"/>
              </w:rPr>
              <w:t>Reservoir</w:t>
            </w:r>
          </w:p>
        </w:tc>
      </w:tr>
      <w:tr w:rsidR="00EF1766" w:rsidRPr="00A25328" w14:paraId="1BD9B8B9" w14:textId="77777777" w:rsidTr="00BD1088">
        <w:trPr>
          <w:trHeight w:val="300"/>
        </w:trPr>
        <w:tc>
          <w:tcPr>
            <w:tcW w:w="3630" w:type="dxa"/>
            <w:tcBorders>
              <w:top w:val="nil"/>
              <w:left w:val="nil"/>
              <w:bottom w:val="nil"/>
              <w:right w:val="nil"/>
            </w:tcBorders>
          </w:tcPr>
          <w:p w14:paraId="0A84CEA9" w14:textId="70E4F4E7"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Colorado</w:t>
            </w:r>
          </w:p>
        </w:tc>
        <w:tc>
          <w:tcPr>
            <w:tcW w:w="3510" w:type="dxa"/>
            <w:tcBorders>
              <w:top w:val="nil"/>
              <w:left w:val="nil"/>
              <w:bottom w:val="nil"/>
              <w:right w:val="nil"/>
            </w:tcBorders>
          </w:tcPr>
          <w:p w14:paraId="23F8D395" w14:textId="1A9433BD"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Sanchez</w:t>
            </w:r>
            <w:r>
              <w:rPr>
                <w:rFonts w:ascii="Times New Roman" w:hAnsi="Times New Roman" w:cs="Times New Roman"/>
                <w:color w:val="000000"/>
                <w:kern w:val="0"/>
              </w:rPr>
              <w:t xml:space="preserve"> Reservoir</w:t>
            </w:r>
          </w:p>
        </w:tc>
      </w:tr>
      <w:tr w:rsidR="00EF1766" w:rsidRPr="00A25328" w14:paraId="3863B6DF" w14:textId="77777777" w:rsidTr="00BD1088">
        <w:trPr>
          <w:trHeight w:val="300"/>
        </w:trPr>
        <w:tc>
          <w:tcPr>
            <w:tcW w:w="3630" w:type="dxa"/>
            <w:tcBorders>
              <w:top w:val="nil"/>
              <w:left w:val="nil"/>
              <w:bottom w:val="nil"/>
              <w:right w:val="nil"/>
            </w:tcBorders>
          </w:tcPr>
          <w:p w14:paraId="5CD60800" w14:textId="429189D7"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Colorado</w:t>
            </w:r>
          </w:p>
        </w:tc>
        <w:tc>
          <w:tcPr>
            <w:tcW w:w="3510" w:type="dxa"/>
            <w:tcBorders>
              <w:top w:val="nil"/>
              <w:left w:val="nil"/>
              <w:bottom w:val="nil"/>
              <w:right w:val="nil"/>
            </w:tcBorders>
          </w:tcPr>
          <w:p w14:paraId="19FDCB0F" w14:textId="6461CF13"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Mountain Home</w:t>
            </w:r>
            <w:r>
              <w:rPr>
                <w:rFonts w:ascii="Times New Roman" w:hAnsi="Times New Roman" w:cs="Times New Roman"/>
                <w:color w:val="000000"/>
                <w:kern w:val="0"/>
              </w:rPr>
              <w:t xml:space="preserve"> Reservoir</w:t>
            </w:r>
          </w:p>
        </w:tc>
      </w:tr>
      <w:tr w:rsidR="00EF1766" w:rsidRPr="00A25328" w14:paraId="0EC4F951" w14:textId="77777777" w:rsidTr="00BD1088">
        <w:trPr>
          <w:trHeight w:val="300"/>
        </w:trPr>
        <w:tc>
          <w:tcPr>
            <w:tcW w:w="3630" w:type="dxa"/>
            <w:tcBorders>
              <w:top w:val="nil"/>
              <w:left w:val="nil"/>
              <w:bottom w:val="nil"/>
              <w:right w:val="nil"/>
            </w:tcBorders>
          </w:tcPr>
          <w:p w14:paraId="6F248A9C" w14:textId="1752012B"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Colorado</w:t>
            </w:r>
          </w:p>
        </w:tc>
        <w:tc>
          <w:tcPr>
            <w:tcW w:w="3510" w:type="dxa"/>
            <w:tcBorders>
              <w:top w:val="nil"/>
              <w:left w:val="nil"/>
              <w:bottom w:val="nil"/>
              <w:right w:val="nil"/>
            </w:tcBorders>
          </w:tcPr>
          <w:p w14:paraId="67E6728A" w14:textId="40038C5D"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Terrace</w:t>
            </w:r>
            <w:r w:rsidRPr="00A25328">
              <w:rPr>
                <w:rFonts w:ascii="Times New Roman" w:hAnsi="Times New Roman" w:cs="Times New Roman"/>
                <w:color w:val="000000"/>
                <w:kern w:val="0"/>
              </w:rPr>
              <w:t xml:space="preserve"> Reservoir</w:t>
            </w:r>
          </w:p>
        </w:tc>
      </w:tr>
      <w:tr w:rsidR="00EF1766" w:rsidRPr="00A25328" w14:paraId="12C6715C" w14:textId="77777777" w:rsidTr="00BD1088">
        <w:trPr>
          <w:trHeight w:val="300"/>
        </w:trPr>
        <w:tc>
          <w:tcPr>
            <w:tcW w:w="3630" w:type="dxa"/>
            <w:tcBorders>
              <w:top w:val="nil"/>
              <w:left w:val="nil"/>
              <w:bottom w:val="nil"/>
              <w:right w:val="nil"/>
            </w:tcBorders>
          </w:tcPr>
          <w:p w14:paraId="5C823155" w14:textId="41787A4D"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Rio Grande </w:t>
            </w:r>
            <w:r>
              <w:rPr>
                <w:rFonts w:ascii="Times New Roman" w:hAnsi="Times New Roman" w:cs="Times New Roman"/>
                <w:color w:val="000000"/>
                <w:kern w:val="0"/>
              </w:rPr>
              <w:t>Northern</w:t>
            </w:r>
            <w:r w:rsidRPr="00A25328">
              <w:rPr>
                <w:rFonts w:ascii="Times New Roman" w:hAnsi="Times New Roman" w:cs="Times New Roman"/>
                <w:color w:val="000000"/>
                <w:kern w:val="0"/>
              </w:rPr>
              <w:t xml:space="preserve"> New Mexico</w:t>
            </w:r>
          </w:p>
        </w:tc>
        <w:tc>
          <w:tcPr>
            <w:tcW w:w="3510" w:type="dxa"/>
            <w:tcBorders>
              <w:top w:val="nil"/>
              <w:left w:val="nil"/>
              <w:bottom w:val="nil"/>
              <w:right w:val="nil"/>
            </w:tcBorders>
          </w:tcPr>
          <w:p w14:paraId="09AB7C26" w14:textId="45F8C000"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Heron</w:t>
            </w:r>
            <w:r>
              <w:rPr>
                <w:rFonts w:ascii="Times New Roman" w:hAnsi="Times New Roman" w:cs="Times New Roman"/>
                <w:color w:val="000000"/>
                <w:kern w:val="0"/>
              </w:rPr>
              <w:t xml:space="preserve"> Lake</w:t>
            </w:r>
          </w:p>
        </w:tc>
      </w:tr>
      <w:tr w:rsidR="00EF1766" w:rsidRPr="00A25328" w14:paraId="099CD784" w14:textId="77777777" w:rsidTr="00BD1088">
        <w:trPr>
          <w:trHeight w:val="300"/>
        </w:trPr>
        <w:tc>
          <w:tcPr>
            <w:tcW w:w="3630" w:type="dxa"/>
            <w:tcBorders>
              <w:top w:val="nil"/>
              <w:left w:val="nil"/>
              <w:bottom w:val="nil"/>
              <w:right w:val="nil"/>
            </w:tcBorders>
          </w:tcPr>
          <w:p w14:paraId="7E320235" w14:textId="72EAACA5"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Rio Grande </w:t>
            </w:r>
            <w:r>
              <w:rPr>
                <w:rFonts w:ascii="Times New Roman" w:hAnsi="Times New Roman" w:cs="Times New Roman"/>
                <w:color w:val="000000"/>
                <w:kern w:val="0"/>
              </w:rPr>
              <w:t>Northern</w:t>
            </w:r>
            <w:r w:rsidRPr="00A25328">
              <w:rPr>
                <w:rFonts w:ascii="Times New Roman" w:hAnsi="Times New Roman" w:cs="Times New Roman"/>
                <w:color w:val="000000"/>
                <w:kern w:val="0"/>
              </w:rPr>
              <w:t xml:space="preserve"> New Mexico</w:t>
            </w:r>
          </w:p>
        </w:tc>
        <w:tc>
          <w:tcPr>
            <w:tcW w:w="3510" w:type="dxa"/>
            <w:tcBorders>
              <w:top w:val="nil"/>
              <w:left w:val="nil"/>
              <w:bottom w:val="nil"/>
              <w:right w:val="nil"/>
            </w:tcBorders>
          </w:tcPr>
          <w:p w14:paraId="5F8B99EC" w14:textId="2FEE1E51"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El Vado </w:t>
            </w:r>
            <w:r>
              <w:rPr>
                <w:rFonts w:ascii="Times New Roman" w:hAnsi="Times New Roman" w:cs="Times New Roman"/>
                <w:color w:val="000000"/>
                <w:kern w:val="0"/>
              </w:rPr>
              <w:t>Reservoir</w:t>
            </w:r>
          </w:p>
        </w:tc>
      </w:tr>
      <w:tr w:rsidR="00EF1766" w:rsidRPr="00A25328" w14:paraId="12FD7570" w14:textId="77777777" w:rsidTr="00BD1088">
        <w:trPr>
          <w:trHeight w:val="300"/>
        </w:trPr>
        <w:tc>
          <w:tcPr>
            <w:tcW w:w="3630" w:type="dxa"/>
            <w:tcBorders>
              <w:top w:val="nil"/>
              <w:left w:val="nil"/>
              <w:bottom w:val="nil"/>
              <w:right w:val="nil"/>
            </w:tcBorders>
          </w:tcPr>
          <w:p w14:paraId="68BED013" w14:textId="5D0DE450"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Rio Grande </w:t>
            </w:r>
            <w:r>
              <w:rPr>
                <w:rFonts w:ascii="Times New Roman" w:hAnsi="Times New Roman" w:cs="Times New Roman"/>
                <w:color w:val="000000"/>
                <w:kern w:val="0"/>
              </w:rPr>
              <w:t>Northern</w:t>
            </w:r>
            <w:r w:rsidRPr="00A25328">
              <w:rPr>
                <w:rFonts w:ascii="Times New Roman" w:hAnsi="Times New Roman" w:cs="Times New Roman"/>
                <w:color w:val="000000"/>
                <w:kern w:val="0"/>
              </w:rPr>
              <w:t xml:space="preserve"> New Mexico</w:t>
            </w:r>
          </w:p>
        </w:tc>
        <w:tc>
          <w:tcPr>
            <w:tcW w:w="3510" w:type="dxa"/>
            <w:tcBorders>
              <w:top w:val="nil"/>
              <w:left w:val="nil"/>
              <w:bottom w:val="nil"/>
              <w:right w:val="nil"/>
            </w:tcBorders>
          </w:tcPr>
          <w:p w14:paraId="7B414B94" w14:textId="78FCB790"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Abiquiu Reservoir</w:t>
            </w:r>
          </w:p>
        </w:tc>
      </w:tr>
      <w:tr w:rsidR="00EF1766" w:rsidRPr="00A25328" w14:paraId="0BB37F08" w14:textId="77777777" w:rsidTr="00BD1088">
        <w:trPr>
          <w:trHeight w:val="300"/>
        </w:trPr>
        <w:tc>
          <w:tcPr>
            <w:tcW w:w="3630" w:type="dxa"/>
            <w:tcBorders>
              <w:top w:val="nil"/>
              <w:left w:val="nil"/>
              <w:bottom w:val="nil"/>
              <w:right w:val="nil"/>
            </w:tcBorders>
          </w:tcPr>
          <w:p w14:paraId="1759835C" w14:textId="121AFBBD"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Rio Grande </w:t>
            </w:r>
            <w:r>
              <w:rPr>
                <w:rFonts w:ascii="Times New Roman" w:hAnsi="Times New Roman" w:cs="Times New Roman"/>
                <w:color w:val="000000"/>
                <w:kern w:val="0"/>
              </w:rPr>
              <w:t>Northern</w:t>
            </w:r>
            <w:r w:rsidRPr="00A25328">
              <w:rPr>
                <w:rFonts w:ascii="Times New Roman" w:hAnsi="Times New Roman" w:cs="Times New Roman"/>
                <w:color w:val="000000"/>
                <w:kern w:val="0"/>
              </w:rPr>
              <w:t xml:space="preserve"> New Mexico</w:t>
            </w:r>
          </w:p>
        </w:tc>
        <w:tc>
          <w:tcPr>
            <w:tcW w:w="3510" w:type="dxa"/>
            <w:tcBorders>
              <w:top w:val="nil"/>
              <w:left w:val="nil"/>
              <w:bottom w:val="nil"/>
              <w:right w:val="nil"/>
            </w:tcBorders>
          </w:tcPr>
          <w:p w14:paraId="60111DDD" w14:textId="30382ED8"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Costilla </w:t>
            </w:r>
            <w:r>
              <w:rPr>
                <w:rFonts w:ascii="Times New Roman" w:hAnsi="Times New Roman" w:cs="Times New Roman"/>
                <w:color w:val="000000"/>
                <w:kern w:val="0"/>
              </w:rPr>
              <w:t>Reservoir</w:t>
            </w:r>
          </w:p>
        </w:tc>
      </w:tr>
      <w:tr w:rsidR="00EF1766" w:rsidRPr="00A25328" w14:paraId="0016956C" w14:textId="77777777" w:rsidTr="00BD1088">
        <w:trPr>
          <w:trHeight w:val="300"/>
        </w:trPr>
        <w:tc>
          <w:tcPr>
            <w:tcW w:w="3630" w:type="dxa"/>
            <w:tcBorders>
              <w:top w:val="nil"/>
              <w:left w:val="nil"/>
              <w:bottom w:val="nil"/>
              <w:right w:val="nil"/>
            </w:tcBorders>
          </w:tcPr>
          <w:p w14:paraId="5E96FB8C" w14:textId="7669DC3F"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Rio Grande </w:t>
            </w:r>
            <w:r>
              <w:rPr>
                <w:rFonts w:ascii="Times New Roman" w:hAnsi="Times New Roman" w:cs="Times New Roman"/>
                <w:color w:val="000000"/>
                <w:kern w:val="0"/>
              </w:rPr>
              <w:t xml:space="preserve">Northern </w:t>
            </w:r>
            <w:r w:rsidRPr="00A25328">
              <w:rPr>
                <w:rFonts w:ascii="Times New Roman" w:hAnsi="Times New Roman" w:cs="Times New Roman"/>
                <w:color w:val="000000"/>
                <w:kern w:val="0"/>
              </w:rPr>
              <w:t>New Mexico</w:t>
            </w:r>
          </w:p>
        </w:tc>
        <w:tc>
          <w:tcPr>
            <w:tcW w:w="3510" w:type="dxa"/>
            <w:tcBorders>
              <w:top w:val="nil"/>
              <w:left w:val="nil"/>
              <w:bottom w:val="nil"/>
              <w:right w:val="nil"/>
            </w:tcBorders>
          </w:tcPr>
          <w:p w14:paraId="613D19E0" w14:textId="56335D8A"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Stone Lake</w:t>
            </w:r>
          </w:p>
        </w:tc>
      </w:tr>
      <w:tr w:rsidR="00EF1766" w:rsidRPr="00A25328" w14:paraId="25568B06" w14:textId="77777777" w:rsidTr="00BD1088">
        <w:trPr>
          <w:trHeight w:val="300"/>
        </w:trPr>
        <w:tc>
          <w:tcPr>
            <w:tcW w:w="3630" w:type="dxa"/>
            <w:tcBorders>
              <w:top w:val="nil"/>
              <w:left w:val="nil"/>
              <w:bottom w:val="nil"/>
              <w:right w:val="nil"/>
            </w:tcBorders>
          </w:tcPr>
          <w:p w14:paraId="6843294E" w14:textId="3E574A55"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Middle New Mexico</w:t>
            </w:r>
          </w:p>
        </w:tc>
        <w:tc>
          <w:tcPr>
            <w:tcW w:w="3510" w:type="dxa"/>
            <w:tcBorders>
              <w:top w:val="nil"/>
              <w:left w:val="nil"/>
              <w:bottom w:val="nil"/>
              <w:right w:val="nil"/>
            </w:tcBorders>
          </w:tcPr>
          <w:p w14:paraId="73948F9E" w14:textId="35CB65FD"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Cochiti Lake</w:t>
            </w:r>
          </w:p>
        </w:tc>
      </w:tr>
      <w:tr w:rsidR="00EF1766" w:rsidRPr="00A25328" w14:paraId="62C14DE3" w14:textId="77777777" w:rsidTr="00BD1088">
        <w:trPr>
          <w:trHeight w:val="300"/>
        </w:trPr>
        <w:tc>
          <w:tcPr>
            <w:tcW w:w="3630" w:type="dxa"/>
            <w:tcBorders>
              <w:top w:val="nil"/>
              <w:left w:val="nil"/>
              <w:bottom w:val="nil"/>
              <w:right w:val="nil"/>
            </w:tcBorders>
          </w:tcPr>
          <w:p w14:paraId="0DB0DE1B" w14:textId="57145CD9"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Grande Middle New Mexico</w:t>
            </w:r>
          </w:p>
        </w:tc>
        <w:tc>
          <w:tcPr>
            <w:tcW w:w="3510" w:type="dxa"/>
            <w:tcBorders>
              <w:top w:val="nil"/>
              <w:left w:val="nil"/>
              <w:bottom w:val="nil"/>
              <w:right w:val="nil"/>
            </w:tcBorders>
          </w:tcPr>
          <w:p w14:paraId="5545685B" w14:textId="433AC4AD"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Jemez Canyon Reservoir</w:t>
            </w:r>
          </w:p>
        </w:tc>
      </w:tr>
      <w:tr w:rsidR="00EF1766" w:rsidRPr="00A25328" w14:paraId="632502B5" w14:textId="77777777" w:rsidTr="00BD1088">
        <w:trPr>
          <w:trHeight w:val="300"/>
        </w:trPr>
        <w:tc>
          <w:tcPr>
            <w:tcW w:w="3630" w:type="dxa"/>
            <w:tcBorders>
              <w:top w:val="nil"/>
              <w:left w:val="nil"/>
              <w:bottom w:val="nil"/>
              <w:right w:val="nil"/>
            </w:tcBorders>
          </w:tcPr>
          <w:p w14:paraId="5F1EDC6C" w14:textId="72A90FF5"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Rio Grande </w:t>
            </w:r>
            <w:r>
              <w:rPr>
                <w:rFonts w:ascii="Times New Roman" w:hAnsi="Times New Roman" w:cs="Times New Roman"/>
                <w:color w:val="000000"/>
                <w:kern w:val="0"/>
              </w:rPr>
              <w:t>Southern</w:t>
            </w:r>
            <w:r w:rsidRPr="00A25328">
              <w:rPr>
                <w:rFonts w:ascii="Times New Roman" w:hAnsi="Times New Roman" w:cs="Times New Roman"/>
                <w:color w:val="000000"/>
                <w:kern w:val="0"/>
              </w:rPr>
              <w:t xml:space="preserve"> New Mexico</w:t>
            </w:r>
          </w:p>
        </w:tc>
        <w:tc>
          <w:tcPr>
            <w:tcW w:w="3510" w:type="dxa"/>
            <w:tcBorders>
              <w:top w:val="nil"/>
              <w:left w:val="nil"/>
              <w:bottom w:val="nil"/>
              <w:right w:val="nil"/>
            </w:tcBorders>
          </w:tcPr>
          <w:p w14:paraId="3DFB0CC0" w14:textId="5AD618F9"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Elephant Butte Reservoir</w:t>
            </w:r>
          </w:p>
        </w:tc>
      </w:tr>
      <w:tr w:rsidR="00EF1766" w:rsidRPr="00A25328" w14:paraId="73403BD4" w14:textId="77777777" w:rsidTr="00BD1088">
        <w:trPr>
          <w:trHeight w:val="300"/>
        </w:trPr>
        <w:tc>
          <w:tcPr>
            <w:tcW w:w="3630" w:type="dxa"/>
            <w:tcBorders>
              <w:top w:val="nil"/>
              <w:left w:val="nil"/>
              <w:bottom w:val="nil"/>
              <w:right w:val="nil"/>
            </w:tcBorders>
          </w:tcPr>
          <w:p w14:paraId="2F667115" w14:textId="6288E2BE"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Rio Grande </w:t>
            </w:r>
            <w:r>
              <w:rPr>
                <w:rFonts w:ascii="Times New Roman" w:hAnsi="Times New Roman" w:cs="Times New Roman"/>
                <w:color w:val="000000"/>
                <w:kern w:val="0"/>
              </w:rPr>
              <w:t xml:space="preserve">Southern </w:t>
            </w:r>
            <w:r w:rsidRPr="00A25328">
              <w:rPr>
                <w:rFonts w:ascii="Times New Roman" w:hAnsi="Times New Roman" w:cs="Times New Roman"/>
                <w:color w:val="000000"/>
                <w:kern w:val="0"/>
              </w:rPr>
              <w:t>New Mexico</w:t>
            </w:r>
          </w:p>
        </w:tc>
        <w:tc>
          <w:tcPr>
            <w:tcW w:w="3510" w:type="dxa"/>
            <w:tcBorders>
              <w:top w:val="nil"/>
              <w:left w:val="nil"/>
              <w:bottom w:val="nil"/>
              <w:right w:val="nil"/>
            </w:tcBorders>
          </w:tcPr>
          <w:p w14:paraId="080CEF2D" w14:textId="386F8E82" w:rsidR="00EF1766" w:rsidRPr="00A25328" w:rsidRDefault="00EF1766" w:rsidP="00EF1766">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Caballo</w:t>
            </w:r>
            <w:r>
              <w:rPr>
                <w:rFonts w:ascii="Times New Roman" w:hAnsi="Times New Roman" w:cs="Times New Roman"/>
                <w:color w:val="000000"/>
                <w:kern w:val="0"/>
              </w:rPr>
              <w:t xml:space="preserve"> Reservoir</w:t>
            </w:r>
          </w:p>
        </w:tc>
      </w:tr>
      <w:tr w:rsidR="00C736CA" w:rsidRPr="00A25328" w14:paraId="28BCE9FD" w14:textId="77777777" w:rsidTr="00BD1088">
        <w:trPr>
          <w:trHeight w:val="300"/>
        </w:trPr>
        <w:tc>
          <w:tcPr>
            <w:tcW w:w="3630" w:type="dxa"/>
            <w:tcBorders>
              <w:top w:val="nil"/>
              <w:left w:val="nil"/>
              <w:bottom w:val="nil"/>
              <w:right w:val="nil"/>
            </w:tcBorders>
          </w:tcPr>
          <w:p w14:paraId="53476DEF" w14:textId="448D588A"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RGB El Paso to Fort Quitman</w:t>
            </w:r>
          </w:p>
        </w:tc>
        <w:tc>
          <w:tcPr>
            <w:tcW w:w="3510" w:type="dxa"/>
            <w:tcBorders>
              <w:top w:val="nil"/>
              <w:left w:val="nil"/>
              <w:bottom w:val="nil"/>
              <w:right w:val="nil"/>
            </w:tcBorders>
          </w:tcPr>
          <w:p w14:paraId="765151D2" w14:textId="7D8A88E3" w:rsidR="00C736CA"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Hudspeth Reservoir</w:t>
            </w:r>
          </w:p>
        </w:tc>
      </w:tr>
      <w:tr w:rsidR="00C736CA" w:rsidRPr="00A25328" w14:paraId="3053BBDF" w14:textId="77777777" w:rsidTr="00BD1088">
        <w:trPr>
          <w:trHeight w:val="300"/>
        </w:trPr>
        <w:tc>
          <w:tcPr>
            <w:tcW w:w="3630" w:type="dxa"/>
            <w:tcBorders>
              <w:top w:val="nil"/>
              <w:left w:val="nil"/>
              <w:bottom w:val="nil"/>
              <w:right w:val="nil"/>
            </w:tcBorders>
          </w:tcPr>
          <w:p w14:paraId="5E56D364" w14:textId="457E662F"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Conchos</w:t>
            </w:r>
          </w:p>
        </w:tc>
        <w:tc>
          <w:tcPr>
            <w:tcW w:w="3510" w:type="dxa"/>
            <w:tcBorders>
              <w:top w:val="nil"/>
              <w:left w:val="nil"/>
              <w:bottom w:val="nil"/>
              <w:right w:val="nil"/>
            </w:tcBorders>
          </w:tcPr>
          <w:p w14:paraId="43F886AF" w14:textId="61A913B8"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Presa </w:t>
            </w:r>
            <w:r w:rsidRPr="00A25328">
              <w:rPr>
                <w:rFonts w:ascii="Times New Roman" w:hAnsi="Times New Roman" w:cs="Times New Roman"/>
                <w:color w:val="000000"/>
                <w:kern w:val="0"/>
              </w:rPr>
              <w:t>Luis L. Leon</w:t>
            </w:r>
          </w:p>
        </w:tc>
      </w:tr>
      <w:tr w:rsidR="00C736CA" w:rsidRPr="00A25328" w14:paraId="0F6C8510" w14:textId="77777777" w:rsidTr="00BD1088">
        <w:trPr>
          <w:trHeight w:val="300"/>
        </w:trPr>
        <w:tc>
          <w:tcPr>
            <w:tcW w:w="3630" w:type="dxa"/>
            <w:tcBorders>
              <w:top w:val="nil"/>
              <w:left w:val="nil"/>
              <w:bottom w:val="nil"/>
              <w:right w:val="nil"/>
            </w:tcBorders>
          </w:tcPr>
          <w:p w14:paraId="2539A3AB" w14:textId="618B8424"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Conchos</w:t>
            </w:r>
          </w:p>
        </w:tc>
        <w:tc>
          <w:tcPr>
            <w:tcW w:w="3510" w:type="dxa"/>
            <w:tcBorders>
              <w:top w:val="nil"/>
              <w:left w:val="nil"/>
              <w:bottom w:val="nil"/>
              <w:right w:val="nil"/>
            </w:tcBorders>
          </w:tcPr>
          <w:p w14:paraId="2F489AEF" w14:textId="69C88F14"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Lago </w:t>
            </w:r>
            <w:r w:rsidRPr="00A25328">
              <w:rPr>
                <w:rFonts w:ascii="Times New Roman" w:hAnsi="Times New Roman" w:cs="Times New Roman"/>
                <w:color w:val="000000"/>
                <w:kern w:val="0"/>
              </w:rPr>
              <w:t>Las Virgenes</w:t>
            </w:r>
          </w:p>
        </w:tc>
      </w:tr>
      <w:tr w:rsidR="00C736CA" w:rsidRPr="00A25328" w14:paraId="51EA560B" w14:textId="77777777" w:rsidTr="00BD1088">
        <w:trPr>
          <w:trHeight w:val="300"/>
        </w:trPr>
        <w:tc>
          <w:tcPr>
            <w:tcW w:w="3630" w:type="dxa"/>
            <w:tcBorders>
              <w:top w:val="nil"/>
              <w:left w:val="nil"/>
              <w:bottom w:val="nil"/>
              <w:right w:val="nil"/>
            </w:tcBorders>
          </w:tcPr>
          <w:p w14:paraId="57AA9902" w14:textId="3E2D778E"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Conchos</w:t>
            </w:r>
          </w:p>
        </w:tc>
        <w:tc>
          <w:tcPr>
            <w:tcW w:w="3510" w:type="dxa"/>
            <w:tcBorders>
              <w:top w:val="nil"/>
              <w:left w:val="nil"/>
              <w:bottom w:val="nil"/>
              <w:right w:val="nil"/>
            </w:tcBorders>
          </w:tcPr>
          <w:p w14:paraId="46BCBEA3" w14:textId="45BE5616"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Presa </w:t>
            </w:r>
            <w:r w:rsidRPr="00A25328">
              <w:rPr>
                <w:rFonts w:ascii="Times New Roman" w:hAnsi="Times New Roman" w:cs="Times New Roman"/>
                <w:color w:val="000000"/>
                <w:kern w:val="0"/>
              </w:rPr>
              <w:t>La Boquilla</w:t>
            </w:r>
          </w:p>
        </w:tc>
      </w:tr>
      <w:tr w:rsidR="00C736CA" w:rsidRPr="00A25328" w14:paraId="214EEFBE" w14:textId="77777777" w:rsidTr="00BD1088">
        <w:trPr>
          <w:trHeight w:val="300"/>
        </w:trPr>
        <w:tc>
          <w:tcPr>
            <w:tcW w:w="3630" w:type="dxa"/>
            <w:tcBorders>
              <w:top w:val="nil"/>
              <w:left w:val="nil"/>
              <w:bottom w:val="nil"/>
              <w:right w:val="nil"/>
            </w:tcBorders>
          </w:tcPr>
          <w:p w14:paraId="32434535" w14:textId="3083EF77"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Conchos</w:t>
            </w:r>
          </w:p>
        </w:tc>
        <w:tc>
          <w:tcPr>
            <w:tcW w:w="3510" w:type="dxa"/>
            <w:tcBorders>
              <w:top w:val="nil"/>
              <w:left w:val="nil"/>
              <w:bottom w:val="nil"/>
              <w:right w:val="nil"/>
            </w:tcBorders>
          </w:tcPr>
          <w:p w14:paraId="59C2CD68" w14:textId="0956CD0A"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Presa </w:t>
            </w:r>
            <w:r w:rsidRPr="00A25328">
              <w:rPr>
                <w:rFonts w:ascii="Times New Roman" w:hAnsi="Times New Roman" w:cs="Times New Roman"/>
                <w:color w:val="000000"/>
                <w:kern w:val="0"/>
              </w:rPr>
              <w:t>Chihuahu</w:t>
            </w:r>
            <w:r>
              <w:rPr>
                <w:rFonts w:ascii="Times New Roman" w:hAnsi="Times New Roman" w:cs="Times New Roman"/>
                <w:color w:val="000000"/>
                <w:kern w:val="0"/>
              </w:rPr>
              <w:t>a</w:t>
            </w:r>
          </w:p>
        </w:tc>
      </w:tr>
      <w:tr w:rsidR="00C736CA" w:rsidRPr="00A25328" w14:paraId="7F42E850" w14:textId="77777777" w:rsidTr="00BD1088">
        <w:trPr>
          <w:trHeight w:val="300"/>
        </w:trPr>
        <w:tc>
          <w:tcPr>
            <w:tcW w:w="3630" w:type="dxa"/>
            <w:tcBorders>
              <w:top w:val="nil"/>
              <w:left w:val="nil"/>
              <w:bottom w:val="nil"/>
              <w:right w:val="nil"/>
            </w:tcBorders>
          </w:tcPr>
          <w:p w14:paraId="0AD2C1F9" w14:textId="4FCEE586"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Conchos</w:t>
            </w:r>
          </w:p>
        </w:tc>
        <w:tc>
          <w:tcPr>
            <w:tcW w:w="3510" w:type="dxa"/>
            <w:tcBorders>
              <w:top w:val="nil"/>
              <w:left w:val="nil"/>
              <w:bottom w:val="nil"/>
              <w:right w:val="nil"/>
            </w:tcBorders>
          </w:tcPr>
          <w:p w14:paraId="52681D8F" w14:textId="03C6CF7B"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Presa </w:t>
            </w:r>
            <w:r w:rsidRPr="00A25328">
              <w:rPr>
                <w:rFonts w:ascii="Times New Roman" w:hAnsi="Times New Roman" w:cs="Times New Roman"/>
                <w:color w:val="000000"/>
                <w:kern w:val="0"/>
              </w:rPr>
              <w:t>Pico de Aguila</w:t>
            </w:r>
          </w:p>
        </w:tc>
      </w:tr>
      <w:tr w:rsidR="00C736CA" w:rsidRPr="00A25328" w14:paraId="4045A8A3" w14:textId="77777777" w:rsidTr="00BD1088">
        <w:trPr>
          <w:trHeight w:val="300"/>
        </w:trPr>
        <w:tc>
          <w:tcPr>
            <w:tcW w:w="3630" w:type="dxa"/>
            <w:tcBorders>
              <w:top w:val="nil"/>
              <w:left w:val="nil"/>
              <w:bottom w:val="nil"/>
              <w:right w:val="nil"/>
            </w:tcBorders>
          </w:tcPr>
          <w:p w14:paraId="1FB17F37" w14:textId="20A29850"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Conchos</w:t>
            </w:r>
          </w:p>
        </w:tc>
        <w:tc>
          <w:tcPr>
            <w:tcW w:w="3510" w:type="dxa"/>
            <w:tcBorders>
              <w:top w:val="nil"/>
              <w:left w:val="nil"/>
              <w:bottom w:val="nil"/>
              <w:right w:val="nil"/>
            </w:tcBorders>
          </w:tcPr>
          <w:p w14:paraId="776A3379" w14:textId="18B9FD39"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Presa </w:t>
            </w:r>
            <w:proofErr w:type="spellStart"/>
            <w:r w:rsidRPr="00A25328">
              <w:rPr>
                <w:rFonts w:ascii="Times New Roman" w:hAnsi="Times New Roman" w:cs="Times New Roman"/>
                <w:color w:val="000000"/>
                <w:kern w:val="0"/>
              </w:rPr>
              <w:t>Federalismo</w:t>
            </w:r>
            <w:proofErr w:type="spellEnd"/>
            <w:r w:rsidRPr="00A25328">
              <w:rPr>
                <w:rFonts w:ascii="Times New Roman" w:hAnsi="Times New Roman" w:cs="Times New Roman"/>
                <w:color w:val="000000"/>
                <w:kern w:val="0"/>
              </w:rPr>
              <w:t xml:space="preserve"> Mexicano</w:t>
            </w:r>
          </w:p>
        </w:tc>
      </w:tr>
      <w:tr w:rsidR="00C736CA" w:rsidRPr="00A25328" w14:paraId="6E25D79D" w14:textId="77777777" w:rsidTr="00BD1088">
        <w:trPr>
          <w:trHeight w:val="300"/>
        </w:trPr>
        <w:tc>
          <w:tcPr>
            <w:tcW w:w="3630" w:type="dxa"/>
            <w:tcBorders>
              <w:top w:val="nil"/>
              <w:left w:val="nil"/>
              <w:bottom w:val="nil"/>
              <w:right w:val="nil"/>
            </w:tcBorders>
          </w:tcPr>
          <w:p w14:paraId="45665FFB" w14:textId="3234241D"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Conchos</w:t>
            </w:r>
          </w:p>
        </w:tc>
        <w:tc>
          <w:tcPr>
            <w:tcW w:w="3510" w:type="dxa"/>
            <w:tcBorders>
              <w:top w:val="nil"/>
              <w:left w:val="nil"/>
              <w:bottom w:val="nil"/>
              <w:right w:val="nil"/>
            </w:tcBorders>
          </w:tcPr>
          <w:p w14:paraId="037D0497" w14:textId="2460F5E2"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Lago </w:t>
            </w:r>
            <w:proofErr w:type="spellStart"/>
            <w:r w:rsidRPr="00A25328">
              <w:rPr>
                <w:rFonts w:ascii="Times New Roman" w:hAnsi="Times New Roman" w:cs="Times New Roman"/>
                <w:color w:val="000000"/>
                <w:kern w:val="0"/>
              </w:rPr>
              <w:t>Rosetilla</w:t>
            </w:r>
            <w:proofErr w:type="spellEnd"/>
          </w:p>
        </w:tc>
      </w:tr>
      <w:tr w:rsidR="00C736CA" w:rsidRPr="00A25328" w14:paraId="04781B18" w14:textId="77777777" w:rsidTr="00BD1088">
        <w:trPr>
          <w:trHeight w:val="300"/>
        </w:trPr>
        <w:tc>
          <w:tcPr>
            <w:tcW w:w="3630" w:type="dxa"/>
            <w:tcBorders>
              <w:top w:val="nil"/>
              <w:left w:val="nil"/>
              <w:bottom w:val="nil"/>
              <w:right w:val="nil"/>
            </w:tcBorders>
          </w:tcPr>
          <w:p w14:paraId="6AE0042F" w14:textId="1E01485E"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Pecos </w:t>
            </w:r>
            <w:r>
              <w:rPr>
                <w:rFonts w:ascii="Times New Roman" w:hAnsi="Times New Roman" w:cs="Times New Roman"/>
                <w:color w:val="000000"/>
                <w:kern w:val="0"/>
              </w:rPr>
              <w:t>R</w:t>
            </w:r>
            <w:r w:rsidRPr="00A25328">
              <w:rPr>
                <w:rFonts w:ascii="Times New Roman" w:hAnsi="Times New Roman" w:cs="Times New Roman"/>
                <w:color w:val="000000"/>
                <w:kern w:val="0"/>
              </w:rPr>
              <w:t>iver New Mexico</w:t>
            </w:r>
          </w:p>
        </w:tc>
        <w:tc>
          <w:tcPr>
            <w:tcW w:w="3510" w:type="dxa"/>
            <w:tcBorders>
              <w:top w:val="nil"/>
              <w:left w:val="nil"/>
              <w:bottom w:val="nil"/>
              <w:right w:val="nil"/>
            </w:tcBorders>
          </w:tcPr>
          <w:p w14:paraId="2F12EF6E" w14:textId="77777777"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Santa Rosa Lake</w:t>
            </w:r>
          </w:p>
        </w:tc>
      </w:tr>
      <w:tr w:rsidR="00C736CA" w:rsidRPr="00A25328" w14:paraId="19FE248A" w14:textId="77777777" w:rsidTr="00BD1088">
        <w:trPr>
          <w:trHeight w:val="300"/>
        </w:trPr>
        <w:tc>
          <w:tcPr>
            <w:tcW w:w="3630" w:type="dxa"/>
            <w:tcBorders>
              <w:top w:val="nil"/>
              <w:left w:val="nil"/>
              <w:bottom w:val="nil"/>
              <w:right w:val="nil"/>
            </w:tcBorders>
          </w:tcPr>
          <w:p w14:paraId="0EB409D1" w14:textId="29187F31"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Pecos </w:t>
            </w:r>
            <w:r>
              <w:rPr>
                <w:rFonts w:ascii="Times New Roman" w:hAnsi="Times New Roman" w:cs="Times New Roman"/>
                <w:color w:val="000000"/>
                <w:kern w:val="0"/>
              </w:rPr>
              <w:t>R</w:t>
            </w:r>
            <w:r w:rsidRPr="00A25328">
              <w:rPr>
                <w:rFonts w:ascii="Times New Roman" w:hAnsi="Times New Roman" w:cs="Times New Roman"/>
                <w:color w:val="000000"/>
                <w:kern w:val="0"/>
              </w:rPr>
              <w:t>iver New Mexico</w:t>
            </w:r>
          </w:p>
        </w:tc>
        <w:tc>
          <w:tcPr>
            <w:tcW w:w="3510" w:type="dxa"/>
            <w:tcBorders>
              <w:top w:val="nil"/>
              <w:left w:val="nil"/>
              <w:bottom w:val="nil"/>
              <w:right w:val="nil"/>
            </w:tcBorders>
          </w:tcPr>
          <w:p w14:paraId="2DCFDA80" w14:textId="6645DDF6"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Storrie </w:t>
            </w:r>
            <w:r>
              <w:rPr>
                <w:rFonts w:ascii="Times New Roman" w:hAnsi="Times New Roman" w:cs="Times New Roman"/>
                <w:color w:val="000000"/>
                <w:kern w:val="0"/>
              </w:rPr>
              <w:t>Lake</w:t>
            </w:r>
          </w:p>
        </w:tc>
      </w:tr>
      <w:tr w:rsidR="00C736CA" w:rsidRPr="00A25328" w14:paraId="37E62059" w14:textId="77777777" w:rsidTr="00BD1088">
        <w:trPr>
          <w:trHeight w:val="300"/>
        </w:trPr>
        <w:tc>
          <w:tcPr>
            <w:tcW w:w="3630" w:type="dxa"/>
            <w:tcBorders>
              <w:top w:val="nil"/>
              <w:left w:val="nil"/>
              <w:bottom w:val="nil"/>
              <w:right w:val="nil"/>
            </w:tcBorders>
          </w:tcPr>
          <w:p w14:paraId="45CC72E9" w14:textId="0A21FBE0"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Pecos </w:t>
            </w:r>
            <w:r>
              <w:rPr>
                <w:rFonts w:ascii="Times New Roman" w:hAnsi="Times New Roman" w:cs="Times New Roman"/>
                <w:color w:val="000000"/>
                <w:kern w:val="0"/>
              </w:rPr>
              <w:t>R</w:t>
            </w:r>
            <w:r w:rsidRPr="00A25328">
              <w:rPr>
                <w:rFonts w:ascii="Times New Roman" w:hAnsi="Times New Roman" w:cs="Times New Roman"/>
                <w:color w:val="000000"/>
                <w:kern w:val="0"/>
              </w:rPr>
              <w:t>iver New Mexico</w:t>
            </w:r>
          </w:p>
        </w:tc>
        <w:tc>
          <w:tcPr>
            <w:tcW w:w="3510" w:type="dxa"/>
            <w:tcBorders>
              <w:top w:val="nil"/>
              <w:left w:val="nil"/>
              <w:bottom w:val="nil"/>
              <w:right w:val="nil"/>
            </w:tcBorders>
          </w:tcPr>
          <w:p w14:paraId="5FAE2C4B" w14:textId="77777777"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Lake Sumner</w:t>
            </w:r>
          </w:p>
        </w:tc>
      </w:tr>
      <w:tr w:rsidR="00C736CA" w:rsidRPr="00A25328" w14:paraId="67CCA60B" w14:textId="77777777" w:rsidTr="00BD1088">
        <w:trPr>
          <w:trHeight w:val="300"/>
        </w:trPr>
        <w:tc>
          <w:tcPr>
            <w:tcW w:w="3630" w:type="dxa"/>
            <w:tcBorders>
              <w:top w:val="nil"/>
              <w:left w:val="nil"/>
              <w:bottom w:val="nil"/>
              <w:right w:val="nil"/>
            </w:tcBorders>
          </w:tcPr>
          <w:p w14:paraId="1273CDC7" w14:textId="2BB1E59B"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Pecos </w:t>
            </w:r>
            <w:r>
              <w:rPr>
                <w:rFonts w:ascii="Times New Roman" w:hAnsi="Times New Roman" w:cs="Times New Roman"/>
                <w:color w:val="000000"/>
                <w:kern w:val="0"/>
              </w:rPr>
              <w:t>R</w:t>
            </w:r>
            <w:r w:rsidRPr="00A25328">
              <w:rPr>
                <w:rFonts w:ascii="Times New Roman" w:hAnsi="Times New Roman" w:cs="Times New Roman"/>
                <w:color w:val="000000"/>
                <w:kern w:val="0"/>
              </w:rPr>
              <w:t>iver New Mexico</w:t>
            </w:r>
          </w:p>
        </w:tc>
        <w:tc>
          <w:tcPr>
            <w:tcW w:w="3510" w:type="dxa"/>
            <w:tcBorders>
              <w:top w:val="nil"/>
              <w:left w:val="nil"/>
              <w:bottom w:val="nil"/>
              <w:right w:val="nil"/>
            </w:tcBorders>
          </w:tcPr>
          <w:p w14:paraId="377A3EEC" w14:textId="3BA4BD81"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Brantley</w:t>
            </w:r>
            <w:r>
              <w:rPr>
                <w:rFonts w:ascii="Times New Roman" w:hAnsi="Times New Roman" w:cs="Times New Roman"/>
                <w:color w:val="000000"/>
                <w:kern w:val="0"/>
              </w:rPr>
              <w:t xml:space="preserve"> Lake</w:t>
            </w:r>
          </w:p>
        </w:tc>
      </w:tr>
      <w:tr w:rsidR="00C736CA" w:rsidRPr="00A25328" w14:paraId="61590ED8" w14:textId="77777777" w:rsidTr="00BD1088">
        <w:trPr>
          <w:trHeight w:val="300"/>
        </w:trPr>
        <w:tc>
          <w:tcPr>
            <w:tcW w:w="3630" w:type="dxa"/>
            <w:tcBorders>
              <w:top w:val="nil"/>
              <w:left w:val="nil"/>
              <w:bottom w:val="nil"/>
              <w:right w:val="nil"/>
            </w:tcBorders>
          </w:tcPr>
          <w:p w14:paraId="310AEAAF" w14:textId="51091E4E"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Pecos </w:t>
            </w:r>
            <w:r>
              <w:rPr>
                <w:rFonts w:ascii="Times New Roman" w:hAnsi="Times New Roman" w:cs="Times New Roman"/>
                <w:color w:val="000000"/>
                <w:kern w:val="0"/>
              </w:rPr>
              <w:t>R</w:t>
            </w:r>
            <w:r w:rsidRPr="00A25328">
              <w:rPr>
                <w:rFonts w:ascii="Times New Roman" w:hAnsi="Times New Roman" w:cs="Times New Roman"/>
                <w:color w:val="000000"/>
                <w:kern w:val="0"/>
              </w:rPr>
              <w:t>iver Texas</w:t>
            </w:r>
          </w:p>
        </w:tc>
        <w:tc>
          <w:tcPr>
            <w:tcW w:w="3510" w:type="dxa"/>
            <w:tcBorders>
              <w:top w:val="nil"/>
              <w:left w:val="nil"/>
              <w:bottom w:val="nil"/>
              <w:right w:val="nil"/>
            </w:tcBorders>
          </w:tcPr>
          <w:p w14:paraId="69D667CD" w14:textId="28A1DCCE"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Red Bluff </w:t>
            </w:r>
            <w:r>
              <w:rPr>
                <w:rFonts w:ascii="Times New Roman" w:hAnsi="Times New Roman" w:cs="Times New Roman"/>
                <w:color w:val="000000"/>
                <w:kern w:val="0"/>
              </w:rPr>
              <w:t>Reservoir</w:t>
            </w:r>
          </w:p>
        </w:tc>
      </w:tr>
      <w:tr w:rsidR="00C736CA" w:rsidRPr="00A25328" w14:paraId="48EB295B" w14:textId="77777777" w:rsidTr="00BD1088">
        <w:trPr>
          <w:trHeight w:val="300"/>
        </w:trPr>
        <w:tc>
          <w:tcPr>
            <w:tcW w:w="3630" w:type="dxa"/>
            <w:tcBorders>
              <w:top w:val="nil"/>
              <w:left w:val="nil"/>
              <w:bottom w:val="nil"/>
              <w:right w:val="nil"/>
            </w:tcBorders>
          </w:tcPr>
          <w:p w14:paraId="309B5979" w14:textId="6B97DAD3"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RGB Amistad </w:t>
            </w:r>
            <w:r>
              <w:rPr>
                <w:rFonts w:ascii="Times New Roman" w:hAnsi="Times New Roman" w:cs="Times New Roman"/>
                <w:color w:val="000000"/>
                <w:kern w:val="0"/>
              </w:rPr>
              <w:t>D</w:t>
            </w:r>
            <w:r w:rsidRPr="00A25328">
              <w:rPr>
                <w:rFonts w:ascii="Times New Roman" w:hAnsi="Times New Roman" w:cs="Times New Roman"/>
                <w:color w:val="000000"/>
                <w:kern w:val="0"/>
              </w:rPr>
              <w:t>am to Gulf</w:t>
            </w:r>
          </w:p>
        </w:tc>
        <w:tc>
          <w:tcPr>
            <w:tcW w:w="3510" w:type="dxa"/>
            <w:tcBorders>
              <w:top w:val="nil"/>
              <w:left w:val="nil"/>
              <w:bottom w:val="nil"/>
              <w:right w:val="nil"/>
            </w:tcBorders>
          </w:tcPr>
          <w:p w14:paraId="4F81FD9C" w14:textId="77777777"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Amistad Reservoir</w:t>
            </w:r>
          </w:p>
        </w:tc>
      </w:tr>
      <w:tr w:rsidR="00C736CA" w:rsidRPr="00A25328" w14:paraId="4277ABE5" w14:textId="77777777" w:rsidTr="00BD1088">
        <w:trPr>
          <w:trHeight w:val="300"/>
        </w:trPr>
        <w:tc>
          <w:tcPr>
            <w:tcW w:w="3630" w:type="dxa"/>
            <w:tcBorders>
              <w:top w:val="nil"/>
              <w:left w:val="nil"/>
              <w:bottom w:val="nil"/>
              <w:right w:val="nil"/>
            </w:tcBorders>
          </w:tcPr>
          <w:p w14:paraId="009E602E" w14:textId="64AF95D9"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RGB Amistad </w:t>
            </w:r>
            <w:r w:rsidR="00E46E55">
              <w:rPr>
                <w:rFonts w:ascii="Times New Roman" w:hAnsi="Times New Roman" w:cs="Times New Roman"/>
                <w:color w:val="000000"/>
                <w:kern w:val="0"/>
              </w:rPr>
              <w:t>D</w:t>
            </w:r>
            <w:r w:rsidRPr="00A25328">
              <w:rPr>
                <w:rFonts w:ascii="Times New Roman" w:hAnsi="Times New Roman" w:cs="Times New Roman"/>
                <w:color w:val="000000"/>
                <w:kern w:val="0"/>
              </w:rPr>
              <w:t>am to Gulf</w:t>
            </w:r>
          </w:p>
        </w:tc>
        <w:tc>
          <w:tcPr>
            <w:tcW w:w="3510" w:type="dxa"/>
            <w:tcBorders>
              <w:top w:val="nil"/>
              <w:left w:val="nil"/>
              <w:bottom w:val="nil"/>
              <w:right w:val="nil"/>
            </w:tcBorders>
          </w:tcPr>
          <w:p w14:paraId="60BCB4F9" w14:textId="77777777"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Falcon Reservoir</w:t>
            </w:r>
          </w:p>
        </w:tc>
      </w:tr>
      <w:tr w:rsidR="00C736CA" w:rsidRPr="00A25328" w14:paraId="47DC5D7F" w14:textId="77777777" w:rsidTr="00BD1088">
        <w:trPr>
          <w:trHeight w:val="300"/>
        </w:trPr>
        <w:tc>
          <w:tcPr>
            <w:tcW w:w="3630" w:type="dxa"/>
            <w:tcBorders>
              <w:top w:val="nil"/>
              <w:left w:val="nil"/>
              <w:bottom w:val="nil"/>
              <w:right w:val="nil"/>
            </w:tcBorders>
          </w:tcPr>
          <w:p w14:paraId="040A3834" w14:textId="15A2BF69"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 xml:space="preserve">RGB Amistad </w:t>
            </w:r>
            <w:r w:rsidR="00E46E55">
              <w:rPr>
                <w:rFonts w:ascii="Times New Roman" w:hAnsi="Times New Roman" w:cs="Times New Roman"/>
                <w:color w:val="000000"/>
                <w:kern w:val="0"/>
              </w:rPr>
              <w:t>D</w:t>
            </w:r>
            <w:r w:rsidRPr="00A25328">
              <w:rPr>
                <w:rFonts w:ascii="Times New Roman" w:hAnsi="Times New Roman" w:cs="Times New Roman"/>
                <w:color w:val="000000"/>
                <w:kern w:val="0"/>
              </w:rPr>
              <w:t>am to Gulf</w:t>
            </w:r>
          </w:p>
        </w:tc>
        <w:tc>
          <w:tcPr>
            <w:tcW w:w="3510" w:type="dxa"/>
            <w:tcBorders>
              <w:top w:val="nil"/>
              <w:left w:val="nil"/>
              <w:bottom w:val="nil"/>
              <w:right w:val="nil"/>
            </w:tcBorders>
          </w:tcPr>
          <w:p w14:paraId="7912232D" w14:textId="381F84C8"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Lake Casa Blanca</w:t>
            </w:r>
          </w:p>
        </w:tc>
      </w:tr>
      <w:tr w:rsidR="00C736CA" w:rsidRPr="00A25328" w14:paraId="59D8FD8E" w14:textId="77777777" w:rsidTr="00BD1088">
        <w:trPr>
          <w:trHeight w:val="300"/>
        </w:trPr>
        <w:tc>
          <w:tcPr>
            <w:tcW w:w="3630" w:type="dxa"/>
            <w:tcBorders>
              <w:top w:val="nil"/>
              <w:left w:val="nil"/>
              <w:bottom w:val="nil"/>
              <w:right w:val="nil"/>
            </w:tcBorders>
          </w:tcPr>
          <w:p w14:paraId="5F1AACFC" w14:textId="5F2C041B"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Salado M</w:t>
            </w:r>
            <w:r>
              <w:rPr>
                <w:rFonts w:ascii="Times New Roman" w:hAnsi="Times New Roman" w:cs="Times New Roman"/>
                <w:color w:val="000000"/>
                <w:kern w:val="0"/>
              </w:rPr>
              <w:t>X</w:t>
            </w:r>
          </w:p>
        </w:tc>
        <w:tc>
          <w:tcPr>
            <w:tcW w:w="3510" w:type="dxa"/>
            <w:tcBorders>
              <w:top w:val="nil"/>
              <w:left w:val="nil"/>
              <w:bottom w:val="nil"/>
              <w:right w:val="nil"/>
            </w:tcBorders>
          </w:tcPr>
          <w:p w14:paraId="355A075B" w14:textId="2A1FD76C"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Presa </w:t>
            </w:r>
            <w:r w:rsidRPr="00A25328">
              <w:rPr>
                <w:rFonts w:ascii="Times New Roman" w:hAnsi="Times New Roman" w:cs="Times New Roman"/>
                <w:color w:val="000000"/>
                <w:kern w:val="0"/>
              </w:rPr>
              <w:t>Venustiano Carranza</w:t>
            </w:r>
          </w:p>
        </w:tc>
      </w:tr>
      <w:tr w:rsidR="00C736CA" w:rsidRPr="00A25328" w14:paraId="39C0126C" w14:textId="77777777" w:rsidTr="00BD1088">
        <w:trPr>
          <w:trHeight w:val="300"/>
        </w:trPr>
        <w:tc>
          <w:tcPr>
            <w:tcW w:w="3630" w:type="dxa"/>
            <w:tcBorders>
              <w:top w:val="nil"/>
              <w:left w:val="nil"/>
              <w:bottom w:val="nil"/>
              <w:right w:val="nil"/>
            </w:tcBorders>
          </w:tcPr>
          <w:p w14:paraId="74842612" w14:textId="088FFF98"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San Juan M</w:t>
            </w:r>
            <w:r>
              <w:rPr>
                <w:rFonts w:ascii="Times New Roman" w:hAnsi="Times New Roman" w:cs="Times New Roman"/>
                <w:color w:val="000000"/>
                <w:kern w:val="0"/>
              </w:rPr>
              <w:t>X</w:t>
            </w:r>
          </w:p>
        </w:tc>
        <w:tc>
          <w:tcPr>
            <w:tcW w:w="3510" w:type="dxa"/>
            <w:tcBorders>
              <w:top w:val="nil"/>
              <w:left w:val="nil"/>
              <w:bottom w:val="nil"/>
              <w:right w:val="nil"/>
            </w:tcBorders>
          </w:tcPr>
          <w:p w14:paraId="2904D730" w14:textId="7A409E1A"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Presa </w:t>
            </w:r>
            <w:r w:rsidRPr="00A25328">
              <w:rPr>
                <w:rFonts w:ascii="Times New Roman" w:hAnsi="Times New Roman" w:cs="Times New Roman"/>
                <w:color w:val="000000"/>
                <w:kern w:val="0"/>
              </w:rPr>
              <w:t xml:space="preserve">Marte </w:t>
            </w:r>
            <w:proofErr w:type="spellStart"/>
            <w:r w:rsidRPr="00A25328">
              <w:rPr>
                <w:rFonts w:ascii="Times New Roman" w:hAnsi="Times New Roman" w:cs="Times New Roman"/>
                <w:color w:val="000000"/>
                <w:kern w:val="0"/>
              </w:rPr>
              <w:t>R.Gomez</w:t>
            </w:r>
            <w:proofErr w:type="spellEnd"/>
          </w:p>
        </w:tc>
      </w:tr>
      <w:tr w:rsidR="00C736CA" w:rsidRPr="00A25328" w14:paraId="4D7B2EE1" w14:textId="77777777" w:rsidTr="00BD1088">
        <w:trPr>
          <w:trHeight w:val="300"/>
        </w:trPr>
        <w:tc>
          <w:tcPr>
            <w:tcW w:w="3630" w:type="dxa"/>
            <w:tcBorders>
              <w:top w:val="nil"/>
              <w:left w:val="nil"/>
              <w:bottom w:val="nil"/>
              <w:right w:val="nil"/>
            </w:tcBorders>
          </w:tcPr>
          <w:p w14:paraId="188F85BD" w14:textId="54ABE8F4"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San Juan M</w:t>
            </w:r>
            <w:r>
              <w:rPr>
                <w:rFonts w:ascii="Times New Roman" w:hAnsi="Times New Roman" w:cs="Times New Roman"/>
                <w:color w:val="000000"/>
                <w:kern w:val="0"/>
              </w:rPr>
              <w:t>X</w:t>
            </w:r>
          </w:p>
        </w:tc>
        <w:tc>
          <w:tcPr>
            <w:tcW w:w="3510" w:type="dxa"/>
            <w:tcBorders>
              <w:top w:val="nil"/>
              <w:left w:val="nil"/>
              <w:bottom w:val="nil"/>
              <w:right w:val="nil"/>
            </w:tcBorders>
          </w:tcPr>
          <w:p w14:paraId="0B5B6D42" w14:textId="4BDC5B6A"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Lago </w:t>
            </w:r>
            <w:r w:rsidRPr="00A25328">
              <w:rPr>
                <w:rFonts w:ascii="Times New Roman" w:hAnsi="Times New Roman" w:cs="Times New Roman"/>
                <w:color w:val="000000"/>
                <w:kern w:val="0"/>
              </w:rPr>
              <w:t xml:space="preserve">El </w:t>
            </w:r>
            <w:proofErr w:type="spellStart"/>
            <w:r w:rsidRPr="00A25328">
              <w:rPr>
                <w:rFonts w:ascii="Times New Roman" w:hAnsi="Times New Roman" w:cs="Times New Roman"/>
                <w:color w:val="000000"/>
                <w:kern w:val="0"/>
              </w:rPr>
              <w:t>Cuchillo</w:t>
            </w:r>
            <w:proofErr w:type="spellEnd"/>
          </w:p>
        </w:tc>
      </w:tr>
      <w:tr w:rsidR="00C736CA" w:rsidRPr="00A25328" w14:paraId="0FB3DEBB" w14:textId="77777777" w:rsidTr="00BD1088">
        <w:trPr>
          <w:trHeight w:val="300"/>
        </w:trPr>
        <w:tc>
          <w:tcPr>
            <w:tcW w:w="3630" w:type="dxa"/>
            <w:tcBorders>
              <w:top w:val="nil"/>
              <w:left w:val="nil"/>
              <w:bottom w:val="nil"/>
              <w:right w:val="nil"/>
            </w:tcBorders>
          </w:tcPr>
          <w:p w14:paraId="09C24688" w14:textId="4C48E234"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sidRPr="00A25328">
              <w:rPr>
                <w:rFonts w:ascii="Times New Roman" w:hAnsi="Times New Roman" w:cs="Times New Roman"/>
                <w:color w:val="000000"/>
                <w:kern w:val="0"/>
              </w:rPr>
              <w:t>Rio San Juan M</w:t>
            </w:r>
            <w:r>
              <w:rPr>
                <w:rFonts w:ascii="Times New Roman" w:hAnsi="Times New Roman" w:cs="Times New Roman"/>
                <w:color w:val="000000"/>
                <w:kern w:val="0"/>
              </w:rPr>
              <w:t>X</w:t>
            </w:r>
          </w:p>
        </w:tc>
        <w:tc>
          <w:tcPr>
            <w:tcW w:w="3510" w:type="dxa"/>
            <w:tcBorders>
              <w:top w:val="nil"/>
              <w:left w:val="nil"/>
              <w:bottom w:val="nil"/>
              <w:right w:val="nil"/>
            </w:tcBorders>
          </w:tcPr>
          <w:p w14:paraId="31C9399C" w14:textId="4B360B93" w:rsidR="00C736CA" w:rsidRPr="00A25328" w:rsidRDefault="00C736CA" w:rsidP="00C736CA">
            <w:pPr>
              <w:autoSpaceDE w:val="0"/>
              <w:autoSpaceDN w:val="0"/>
              <w:adjustRightInd w:val="0"/>
              <w:spacing w:after="0" w:line="240" w:lineRule="auto"/>
              <w:rPr>
                <w:rFonts w:ascii="Times New Roman" w:hAnsi="Times New Roman" w:cs="Times New Roman"/>
                <w:color w:val="000000"/>
                <w:kern w:val="0"/>
              </w:rPr>
            </w:pPr>
            <w:r>
              <w:rPr>
                <w:rFonts w:ascii="Times New Roman" w:hAnsi="Times New Roman" w:cs="Times New Roman"/>
                <w:color w:val="000000"/>
                <w:kern w:val="0"/>
              </w:rPr>
              <w:t xml:space="preserve">Presa </w:t>
            </w:r>
            <w:r w:rsidRPr="00A25328">
              <w:rPr>
                <w:rFonts w:ascii="Times New Roman" w:hAnsi="Times New Roman" w:cs="Times New Roman"/>
                <w:color w:val="000000"/>
                <w:kern w:val="0"/>
              </w:rPr>
              <w:t>Rodrigo Gomez</w:t>
            </w:r>
          </w:p>
        </w:tc>
      </w:tr>
    </w:tbl>
    <w:p w14:paraId="0EC74E25" w14:textId="10F1867C" w:rsidR="006D2AF2" w:rsidRDefault="006D2AF2" w:rsidP="009931F6">
      <w:pPr>
        <w:rPr>
          <w:rFonts w:ascii="Times New Roman" w:hAnsi="Times New Roman" w:cs="Times New Roman"/>
        </w:rPr>
        <w:sectPr w:rsidR="006D2AF2">
          <w:pgSz w:w="12240" w:h="15840"/>
          <w:pgMar w:top="1440" w:right="1440" w:bottom="1440" w:left="1440" w:header="720" w:footer="720" w:gutter="0"/>
          <w:cols w:space="720"/>
          <w:docGrid w:linePitch="360"/>
        </w:sectPr>
      </w:pPr>
      <w:r>
        <w:rPr>
          <w:rFonts w:ascii="Times New Roman" w:hAnsi="Times New Roman" w:cs="Times New Roman"/>
        </w:rPr>
        <w:br w:type="page"/>
      </w:r>
      <w:r w:rsidRPr="006D2AF2">
        <w:rPr>
          <w:rFonts w:ascii="Times New Roman" w:hAnsi="Times New Roman" w:cs="Times New Roman"/>
          <w:b/>
          <w:bCs/>
        </w:rPr>
        <w:lastRenderedPageBreak/>
        <w:t>Figure SI-1</w:t>
      </w:r>
      <w:r>
        <w:rPr>
          <w:rFonts w:ascii="Times New Roman" w:hAnsi="Times New Roman" w:cs="Times New Roman"/>
          <w:b/>
          <w:bCs/>
        </w:rPr>
        <w:t xml:space="preserve">. Crop </w:t>
      </w:r>
      <w:r w:rsidR="00651C86">
        <w:rPr>
          <w:rFonts w:ascii="Times New Roman" w:hAnsi="Times New Roman" w:cs="Times New Roman"/>
          <w:b/>
          <w:bCs/>
        </w:rPr>
        <w:t xml:space="preserve">Water </w:t>
      </w:r>
      <w:r w:rsidRPr="00146BAD">
        <w:rPr>
          <w:rFonts w:ascii="Times New Roman" w:hAnsi="Times New Roman" w:cs="Times New Roman"/>
          <w:b/>
          <w:bCs/>
        </w:rPr>
        <w:t>Trends</w:t>
      </w:r>
      <w:r w:rsidR="00146BAD" w:rsidRPr="00146BAD">
        <w:rPr>
          <w:rFonts w:ascii="Times New Roman" w:hAnsi="Times New Roman" w:cs="Times New Roman"/>
          <w:b/>
          <w:bCs/>
        </w:rPr>
        <w:t xml:space="preserve"> and Averages</w:t>
      </w:r>
    </w:p>
    <w:p w14:paraId="70D485D9" w14:textId="77777777" w:rsidR="006D2AF2" w:rsidRDefault="006D2AF2" w:rsidP="00A25328">
      <w:pPr>
        <w:spacing w:after="0"/>
        <w:rPr>
          <w:rFonts w:ascii="Times New Roman" w:hAnsi="Times New Roman" w:cs="Times New Roman"/>
        </w:rPr>
        <w:sectPr w:rsidR="006D2AF2" w:rsidSect="006D2AF2">
          <w:type w:val="continuous"/>
          <w:pgSz w:w="12240" w:h="15840"/>
          <w:pgMar w:top="1440" w:right="1440" w:bottom="1440" w:left="1440" w:header="720" w:footer="720" w:gutter="0"/>
          <w:cols w:space="720"/>
          <w:docGrid w:linePitch="360"/>
        </w:sectPr>
      </w:pPr>
    </w:p>
    <w:p w14:paraId="0BC91442" w14:textId="5A972A51" w:rsidR="006D2AF2" w:rsidRDefault="006D2AF2" w:rsidP="00A25328">
      <w:pPr>
        <w:spacing w:after="0"/>
        <w:rPr>
          <w:rFonts w:ascii="Times New Roman" w:hAnsi="Times New Roman" w:cs="Times New Roman"/>
        </w:rPr>
      </w:pPr>
      <w:r w:rsidRPr="006D2AF2">
        <w:rPr>
          <w:rFonts w:ascii="Times New Roman" w:hAnsi="Times New Roman" w:cs="Times New Roman"/>
          <w:noProof/>
        </w:rPr>
        <w:drawing>
          <wp:inline distT="0" distB="0" distL="0" distR="0" wp14:anchorId="743F537E" wp14:editId="5D010D29">
            <wp:extent cx="5495443" cy="3344333"/>
            <wp:effectExtent l="0" t="0" r="3810" b="0"/>
            <wp:docPr id="163078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84330" name=""/>
                    <pic:cNvPicPr/>
                  </pic:nvPicPr>
                  <pic:blipFill>
                    <a:blip r:embed="rId6"/>
                    <a:stretch>
                      <a:fillRect/>
                    </a:stretch>
                  </pic:blipFill>
                  <pic:spPr>
                    <a:xfrm>
                      <a:off x="0" y="0"/>
                      <a:ext cx="5562171" cy="3384941"/>
                    </a:xfrm>
                    <a:prstGeom prst="rect">
                      <a:avLst/>
                    </a:prstGeom>
                  </pic:spPr>
                </pic:pic>
              </a:graphicData>
            </a:graphic>
          </wp:inline>
        </w:drawing>
      </w:r>
    </w:p>
    <w:p w14:paraId="6922DB9D" w14:textId="0F810916" w:rsidR="006D2AF2" w:rsidRDefault="006D2AF2" w:rsidP="00A25328">
      <w:pPr>
        <w:spacing w:after="0"/>
        <w:rPr>
          <w:rFonts w:ascii="Times New Roman" w:hAnsi="Times New Roman" w:cs="Times New Roman"/>
        </w:rPr>
      </w:pPr>
      <w:r w:rsidRPr="006D2AF2">
        <w:rPr>
          <w:rFonts w:ascii="Times New Roman" w:hAnsi="Times New Roman" w:cs="Times New Roman"/>
          <w:noProof/>
        </w:rPr>
        <w:drawing>
          <wp:inline distT="0" distB="0" distL="0" distR="0" wp14:anchorId="644650FB" wp14:editId="24D3A4F5">
            <wp:extent cx="5495290" cy="3238771"/>
            <wp:effectExtent l="0" t="0" r="3810" b="0"/>
            <wp:docPr id="466348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48774" name=""/>
                    <pic:cNvPicPr/>
                  </pic:nvPicPr>
                  <pic:blipFill>
                    <a:blip r:embed="rId7"/>
                    <a:stretch>
                      <a:fillRect/>
                    </a:stretch>
                  </pic:blipFill>
                  <pic:spPr>
                    <a:xfrm>
                      <a:off x="0" y="0"/>
                      <a:ext cx="5506147" cy="3245170"/>
                    </a:xfrm>
                    <a:prstGeom prst="rect">
                      <a:avLst/>
                    </a:prstGeom>
                  </pic:spPr>
                </pic:pic>
              </a:graphicData>
            </a:graphic>
          </wp:inline>
        </w:drawing>
      </w:r>
    </w:p>
    <w:p w14:paraId="54B6D2B0" w14:textId="31320482" w:rsidR="006D2AF2" w:rsidRDefault="006D2AF2" w:rsidP="00A25328">
      <w:pPr>
        <w:spacing w:after="0"/>
        <w:rPr>
          <w:rFonts w:ascii="Times New Roman" w:hAnsi="Times New Roman" w:cs="Times New Roman"/>
        </w:rPr>
      </w:pPr>
      <w:r w:rsidRPr="006D2AF2">
        <w:rPr>
          <w:rFonts w:ascii="Times New Roman" w:hAnsi="Times New Roman" w:cs="Times New Roman"/>
          <w:noProof/>
        </w:rPr>
        <w:lastRenderedPageBreak/>
        <w:drawing>
          <wp:inline distT="0" distB="0" distL="0" distR="0" wp14:anchorId="66E3AB3E" wp14:editId="75F7EEC9">
            <wp:extent cx="5452453" cy="2709333"/>
            <wp:effectExtent l="0" t="0" r="0" b="0"/>
            <wp:docPr id="19548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8812" name=""/>
                    <pic:cNvPicPr/>
                  </pic:nvPicPr>
                  <pic:blipFill>
                    <a:blip r:embed="rId8"/>
                    <a:stretch>
                      <a:fillRect/>
                    </a:stretch>
                  </pic:blipFill>
                  <pic:spPr>
                    <a:xfrm>
                      <a:off x="0" y="0"/>
                      <a:ext cx="5523865" cy="2744818"/>
                    </a:xfrm>
                    <a:prstGeom prst="rect">
                      <a:avLst/>
                    </a:prstGeom>
                  </pic:spPr>
                </pic:pic>
              </a:graphicData>
            </a:graphic>
          </wp:inline>
        </w:drawing>
      </w:r>
    </w:p>
    <w:p w14:paraId="38499E54" w14:textId="6EF49A04" w:rsidR="006D2AF2" w:rsidRDefault="006D2AF2" w:rsidP="00A25328">
      <w:pPr>
        <w:spacing w:after="0"/>
        <w:rPr>
          <w:rFonts w:ascii="Times New Roman" w:hAnsi="Times New Roman" w:cs="Times New Roman"/>
        </w:rPr>
      </w:pPr>
      <w:r w:rsidRPr="006D2AF2">
        <w:rPr>
          <w:rFonts w:ascii="Times New Roman" w:hAnsi="Times New Roman" w:cs="Times New Roman"/>
          <w:noProof/>
        </w:rPr>
        <w:drawing>
          <wp:inline distT="0" distB="0" distL="0" distR="0" wp14:anchorId="38C58417" wp14:editId="45DA2645">
            <wp:extent cx="5452110" cy="3219564"/>
            <wp:effectExtent l="0" t="0" r="0" b="6350"/>
            <wp:docPr id="204986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60763" name=""/>
                    <pic:cNvPicPr/>
                  </pic:nvPicPr>
                  <pic:blipFill>
                    <a:blip r:embed="rId9"/>
                    <a:stretch>
                      <a:fillRect/>
                    </a:stretch>
                  </pic:blipFill>
                  <pic:spPr>
                    <a:xfrm>
                      <a:off x="0" y="0"/>
                      <a:ext cx="5474766" cy="3232942"/>
                    </a:xfrm>
                    <a:prstGeom prst="rect">
                      <a:avLst/>
                    </a:prstGeom>
                  </pic:spPr>
                </pic:pic>
              </a:graphicData>
            </a:graphic>
          </wp:inline>
        </w:drawing>
      </w:r>
    </w:p>
    <w:p w14:paraId="2815CDC6" w14:textId="3E8625D2" w:rsidR="00651C86" w:rsidRDefault="00020A94" w:rsidP="00A25328">
      <w:pPr>
        <w:spacing w:after="0"/>
        <w:rPr>
          <w:rFonts w:ascii="Times New Roman" w:hAnsi="Times New Roman" w:cs="Times New Roman"/>
        </w:rPr>
      </w:pPr>
      <w:r w:rsidRPr="00020A94">
        <w:rPr>
          <w:rFonts w:ascii="Times New Roman" w:hAnsi="Times New Roman" w:cs="Times New Roman"/>
          <w:noProof/>
        </w:rPr>
        <w:lastRenderedPageBreak/>
        <w:drawing>
          <wp:inline distT="0" distB="0" distL="0" distR="0" wp14:anchorId="3B65D1E4" wp14:editId="50FCCAD5">
            <wp:extent cx="5472296" cy="3234267"/>
            <wp:effectExtent l="0" t="0" r="1905" b="4445"/>
            <wp:docPr id="689114581" name="Picture 1" descr="A chart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14581" name="Picture 1" descr="A chart of different colored bars&#10;&#10;AI-generated content may be incorrect."/>
                    <pic:cNvPicPr/>
                  </pic:nvPicPr>
                  <pic:blipFill>
                    <a:blip r:embed="rId10"/>
                    <a:stretch>
                      <a:fillRect/>
                    </a:stretch>
                  </pic:blipFill>
                  <pic:spPr>
                    <a:xfrm>
                      <a:off x="0" y="0"/>
                      <a:ext cx="5490907" cy="3245266"/>
                    </a:xfrm>
                    <a:prstGeom prst="rect">
                      <a:avLst/>
                    </a:prstGeom>
                  </pic:spPr>
                </pic:pic>
              </a:graphicData>
            </a:graphic>
          </wp:inline>
        </w:drawing>
      </w:r>
    </w:p>
    <w:p w14:paraId="150C3989" w14:textId="2E2854E6" w:rsidR="00651C86" w:rsidRDefault="00020A94" w:rsidP="00A25328">
      <w:pPr>
        <w:spacing w:after="0"/>
        <w:rPr>
          <w:rFonts w:ascii="Times New Roman" w:hAnsi="Times New Roman" w:cs="Times New Roman"/>
        </w:rPr>
      </w:pPr>
      <w:r w:rsidRPr="00020A94">
        <w:rPr>
          <w:rFonts w:ascii="Times New Roman" w:hAnsi="Times New Roman" w:cs="Times New Roman"/>
          <w:noProof/>
        </w:rPr>
        <w:drawing>
          <wp:inline distT="0" distB="0" distL="0" distR="0" wp14:anchorId="5C4DB540" wp14:editId="45D11BC4">
            <wp:extent cx="5176362" cy="2734734"/>
            <wp:effectExtent l="0" t="0" r="5715" b="0"/>
            <wp:docPr id="141734145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1450" name="Picture 1" descr="A graph of different colored bars&#10;&#10;AI-generated content may be incorrect."/>
                    <pic:cNvPicPr/>
                  </pic:nvPicPr>
                  <pic:blipFill>
                    <a:blip r:embed="rId11"/>
                    <a:stretch>
                      <a:fillRect/>
                    </a:stretch>
                  </pic:blipFill>
                  <pic:spPr>
                    <a:xfrm>
                      <a:off x="0" y="0"/>
                      <a:ext cx="5229466" cy="2762789"/>
                    </a:xfrm>
                    <a:prstGeom prst="rect">
                      <a:avLst/>
                    </a:prstGeom>
                  </pic:spPr>
                </pic:pic>
              </a:graphicData>
            </a:graphic>
          </wp:inline>
        </w:drawing>
      </w:r>
    </w:p>
    <w:p w14:paraId="762A385D" w14:textId="47FB5B85" w:rsidR="00AF17B3" w:rsidRDefault="00AF17B3" w:rsidP="00A25328">
      <w:pPr>
        <w:spacing w:after="0"/>
        <w:rPr>
          <w:rFonts w:ascii="Times New Roman" w:hAnsi="Times New Roman" w:cs="Times New Roman"/>
        </w:rPr>
      </w:pPr>
      <w:r w:rsidRPr="00AF17B3">
        <w:rPr>
          <w:rFonts w:ascii="Times New Roman" w:hAnsi="Times New Roman" w:cs="Times New Roman"/>
          <w:noProof/>
        </w:rPr>
        <w:lastRenderedPageBreak/>
        <w:drawing>
          <wp:inline distT="0" distB="0" distL="0" distR="0" wp14:anchorId="10F2C6AD" wp14:editId="3E1C6BC4">
            <wp:extent cx="4494737" cy="2226365"/>
            <wp:effectExtent l="0" t="0" r="1270" b="0"/>
            <wp:docPr id="1599518914" name="Picture 1" descr="A graph showing the price of a blue water foot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18914" name="Picture 1" descr="A graph showing the price of a blue water footprint&#10;&#10;AI-generated content may be incorrect."/>
                    <pic:cNvPicPr/>
                  </pic:nvPicPr>
                  <pic:blipFill>
                    <a:blip r:embed="rId12"/>
                    <a:stretch>
                      <a:fillRect/>
                    </a:stretch>
                  </pic:blipFill>
                  <pic:spPr>
                    <a:xfrm>
                      <a:off x="0" y="0"/>
                      <a:ext cx="4520637" cy="2239194"/>
                    </a:xfrm>
                    <a:prstGeom prst="rect">
                      <a:avLst/>
                    </a:prstGeom>
                  </pic:spPr>
                </pic:pic>
              </a:graphicData>
            </a:graphic>
          </wp:inline>
        </w:drawing>
      </w:r>
    </w:p>
    <w:p w14:paraId="31EDF92D" w14:textId="06808256" w:rsidR="00AF17B3" w:rsidRDefault="00AF17B3" w:rsidP="00A25328">
      <w:pPr>
        <w:spacing w:after="0"/>
        <w:rPr>
          <w:rFonts w:ascii="Times New Roman" w:hAnsi="Times New Roman" w:cs="Times New Roman"/>
        </w:rPr>
      </w:pPr>
      <w:r w:rsidRPr="00AF17B3">
        <w:rPr>
          <w:rFonts w:ascii="Times New Roman" w:hAnsi="Times New Roman" w:cs="Times New Roman"/>
          <w:noProof/>
        </w:rPr>
        <w:drawing>
          <wp:inline distT="0" distB="0" distL="0" distR="0" wp14:anchorId="0B14D91D" wp14:editId="775A9918">
            <wp:extent cx="4559300" cy="2540000"/>
            <wp:effectExtent l="0" t="0" r="0" b="0"/>
            <wp:docPr id="664664028" name="Picture 1" descr="A graph of growth in the us vs mexic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64028" name="Picture 1" descr="A graph of growth in the us vs mexico&#10;&#10;AI-generated content may be incorrect."/>
                    <pic:cNvPicPr/>
                  </pic:nvPicPr>
                  <pic:blipFill>
                    <a:blip r:embed="rId13"/>
                    <a:stretch>
                      <a:fillRect/>
                    </a:stretch>
                  </pic:blipFill>
                  <pic:spPr>
                    <a:xfrm>
                      <a:off x="0" y="0"/>
                      <a:ext cx="4559300" cy="2540000"/>
                    </a:xfrm>
                    <a:prstGeom prst="rect">
                      <a:avLst/>
                    </a:prstGeom>
                  </pic:spPr>
                </pic:pic>
              </a:graphicData>
            </a:graphic>
          </wp:inline>
        </w:drawing>
      </w:r>
    </w:p>
    <w:p w14:paraId="2F9F2789" w14:textId="10730CE1" w:rsidR="006D2AF2" w:rsidRDefault="00146BAD" w:rsidP="00A25328">
      <w:pPr>
        <w:spacing w:after="0"/>
        <w:rPr>
          <w:rFonts w:ascii="Times New Roman" w:hAnsi="Times New Roman" w:cs="Times New Roman"/>
        </w:rPr>
      </w:pPr>
      <w:r w:rsidRPr="00146BAD">
        <w:rPr>
          <w:rFonts w:ascii="Times New Roman" w:hAnsi="Times New Roman" w:cs="Times New Roman"/>
          <w:noProof/>
        </w:rPr>
        <w:drawing>
          <wp:inline distT="0" distB="0" distL="0" distR="0" wp14:anchorId="28C1BD2D" wp14:editId="64729D77">
            <wp:extent cx="5535632" cy="3212327"/>
            <wp:effectExtent l="0" t="0" r="1905" b="1270"/>
            <wp:docPr id="175292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22537" name=""/>
                    <pic:cNvPicPr/>
                  </pic:nvPicPr>
                  <pic:blipFill>
                    <a:blip r:embed="rId14"/>
                    <a:stretch>
                      <a:fillRect/>
                    </a:stretch>
                  </pic:blipFill>
                  <pic:spPr>
                    <a:xfrm>
                      <a:off x="0" y="0"/>
                      <a:ext cx="5582606" cy="3239586"/>
                    </a:xfrm>
                    <a:prstGeom prst="rect">
                      <a:avLst/>
                    </a:prstGeom>
                  </pic:spPr>
                </pic:pic>
              </a:graphicData>
            </a:graphic>
          </wp:inline>
        </w:drawing>
      </w:r>
    </w:p>
    <w:p w14:paraId="36CA9F7F" w14:textId="77777777" w:rsidR="00FA0276" w:rsidRDefault="00FA0276" w:rsidP="00A25328">
      <w:pPr>
        <w:spacing w:after="0"/>
        <w:rPr>
          <w:rFonts w:ascii="Times New Roman" w:hAnsi="Times New Roman" w:cs="Times New Roman"/>
        </w:rPr>
      </w:pPr>
    </w:p>
    <w:p w14:paraId="032E7E96" w14:textId="658583DB" w:rsidR="00FA0276" w:rsidRDefault="00FA0276" w:rsidP="00C84698">
      <w:pPr>
        <w:rPr>
          <w:rFonts w:ascii="Times New Roman" w:hAnsi="Times New Roman" w:cs="Times New Roman"/>
        </w:rPr>
      </w:pPr>
      <w:r w:rsidRPr="00FA0276">
        <w:rPr>
          <w:rFonts w:ascii="Times New Roman" w:hAnsi="Times New Roman" w:cs="Times New Roman"/>
          <w:b/>
          <w:bCs/>
        </w:rPr>
        <w:t xml:space="preserve">Figure SI-2. Changes in water storage during 2002-2024. </w:t>
      </w:r>
      <w:r>
        <w:rPr>
          <w:rFonts w:ascii="Times New Roman" w:hAnsi="Times New Roman" w:cs="Times New Roman"/>
        </w:rPr>
        <w:t>TWS = total water storage; GWS = ground water storage; SWRS = surface water storage</w:t>
      </w:r>
      <w:r w:rsidR="00D77862">
        <w:rPr>
          <w:rFonts w:ascii="Times New Roman" w:hAnsi="Times New Roman" w:cs="Times New Roman"/>
        </w:rPr>
        <w:t xml:space="preserve"> (reservoirs)</w:t>
      </w:r>
      <w:r>
        <w:rPr>
          <w:rFonts w:ascii="Times New Roman" w:hAnsi="Times New Roman" w:cs="Times New Roman"/>
        </w:rPr>
        <w:t>; SMS = soil moisture storage.</w:t>
      </w:r>
    </w:p>
    <w:p w14:paraId="1D0B8E8A" w14:textId="57ECA65A" w:rsidR="00FA0276" w:rsidRDefault="00FA0276" w:rsidP="00A25328">
      <w:pPr>
        <w:spacing w:after="0"/>
        <w:rPr>
          <w:rFonts w:ascii="Times New Roman" w:hAnsi="Times New Roman" w:cs="Times New Roman"/>
        </w:rPr>
      </w:pPr>
      <w:r w:rsidRPr="00FA0276">
        <w:rPr>
          <w:rFonts w:ascii="Times New Roman" w:hAnsi="Times New Roman" w:cs="Times New Roman"/>
          <w:noProof/>
        </w:rPr>
        <w:drawing>
          <wp:inline distT="0" distB="0" distL="0" distR="0" wp14:anchorId="2CB69F97" wp14:editId="7275F999">
            <wp:extent cx="5200650" cy="2311400"/>
            <wp:effectExtent l="0" t="0" r="6350" b="0"/>
            <wp:docPr id="1597281681"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1681" name="Picture 1" descr="A graph with different colored lines&#10;&#10;AI-generated content may be incorrect."/>
                    <pic:cNvPicPr/>
                  </pic:nvPicPr>
                  <pic:blipFill>
                    <a:blip r:embed="rId15"/>
                    <a:stretch>
                      <a:fillRect/>
                    </a:stretch>
                  </pic:blipFill>
                  <pic:spPr>
                    <a:xfrm>
                      <a:off x="0" y="0"/>
                      <a:ext cx="5219494" cy="2319775"/>
                    </a:xfrm>
                    <a:prstGeom prst="rect">
                      <a:avLst/>
                    </a:prstGeom>
                  </pic:spPr>
                </pic:pic>
              </a:graphicData>
            </a:graphic>
          </wp:inline>
        </w:drawing>
      </w:r>
    </w:p>
    <w:p w14:paraId="529BC155" w14:textId="31ED373F" w:rsidR="00FA0276" w:rsidRDefault="00FA0276" w:rsidP="00A25328">
      <w:pPr>
        <w:spacing w:after="0"/>
        <w:rPr>
          <w:rFonts w:ascii="Times New Roman" w:hAnsi="Times New Roman" w:cs="Times New Roman"/>
        </w:rPr>
      </w:pPr>
      <w:r w:rsidRPr="00FA0276">
        <w:rPr>
          <w:rFonts w:ascii="Times New Roman" w:hAnsi="Times New Roman" w:cs="Times New Roman"/>
          <w:noProof/>
        </w:rPr>
        <w:drawing>
          <wp:inline distT="0" distB="0" distL="0" distR="0" wp14:anchorId="746D3E3B" wp14:editId="177D1CD0">
            <wp:extent cx="5200650" cy="2311400"/>
            <wp:effectExtent l="0" t="0" r="6350" b="0"/>
            <wp:docPr id="2019395744"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95744" name="Picture 1" descr="A graph with different colored lines&#10;&#10;AI-generated content may be incorrect."/>
                    <pic:cNvPicPr/>
                  </pic:nvPicPr>
                  <pic:blipFill>
                    <a:blip r:embed="rId16"/>
                    <a:stretch>
                      <a:fillRect/>
                    </a:stretch>
                  </pic:blipFill>
                  <pic:spPr>
                    <a:xfrm>
                      <a:off x="0" y="0"/>
                      <a:ext cx="5304380" cy="2357502"/>
                    </a:xfrm>
                    <a:prstGeom prst="rect">
                      <a:avLst/>
                    </a:prstGeom>
                  </pic:spPr>
                </pic:pic>
              </a:graphicData>
            </a:graphic>
          </wp:inline>
        </w:drawing>
      </w:r>
    </w:p>
    <w:p w14:paraId="5B22C056" w14:textId="0A97F8C2" w:rsidR="00FA0276" w:rsidRDefault="00FA0276" w:rsidP="00A25328">
      <w:pPr>
        <w:spacing w:after="0"/>
        <w:rPr>
          <w:rFonts w:ascii="Times New Roman" w:hAnsi="Times New Roman" w:cs="Times New Roman"/>
        </w:rPr>
      </w:pPr>
      <w:r w:rsidRPr="00FA0276">
        <w:rPr>
          <w:rFonts w:ascii="Times New Roman" w:hAnsi="Times New Roman" w:cs="Times New Roman"/>
          <w:noProof/>
        </w:rPr>
        <w:drawing>
          <wp:inline distT="0" distB="0" distL="0" distR="0" wp14:anchorId="032ED531" wp14:editId="7944133D">
            <wp:extent cx="5274733" cy="2344326"/>
            <wp:effectExtent l="0" t="0" r="0" b="5715"/>
            <wp:docPr id="1055002598"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02598" name="Picture 1" descr="A graph with different colored lines&#10;&#10;AI-generated content may be incorrect."/>
                    <pic:cNvPicPr/>
                  </pic:nvPicPr>
                  <pic:blipFill>
                    <a:blip r:embed="rId17"/>
                    <a:stretch>
                      <a:fillRect/>
                    </a:stretch>
                  </pic:blipFill>
                  <pic:spPr>
                    <a:xfrm>
                      <a:off x="0" y="0"/>
                      <a:ext cx="5326639" cy="2367395"/>
                    </a:xfrm>
                    <a:prstGeom prst="rect">
                      <a:avLst/>
                    </a:prstGeom>
                  </pic:spPr>
                </pic:pic>
              </a:graphicData>
            </a:graphic>
          </wp:inline>
        </w:drawing>
      </w:r>
    </w:p>
    <w:p w14:paraId="3761FEBC" w14:textId="760ECA17" w:rsidR="00FA0276" w:rsidRDefault="00FA0276" w:rsidP="00A25328">
      <w:pPr>
        <w:spacing w:after="0"/>
        <w:rPr>
          <w:rFonts w:ascii="Times New Roman" w:hAnsi="Times New Roman" w:cs="Times New Roman"/>
        </w:rPr>
      </w:pPr>
      <w:r w:rsidRPr="00FA0276">
        <w:rPr>
          <w:rFonts w:ascii="Times New Roman" w:hAnsi="Times New Roman" w:cs="Times New Roman"/>
          <w:noProof/>
        </w:rPr>
        <w:lastRenderedPageBreak/>
        <w:drawing>
          <wp:inline distT="0" distB="0" distL="0" distR="0" wp14:anchorId="306BD54F" wp14:editId="5014C1F4">
            <wp:extent cx="5257800" cy="2336800"/>
            <wp:effectExtent l="0" t="0" r="0" b="0"/>
            <wp:docPr id="2078697350" name="Picture 1"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97350" name="Picture 1" descr="A graph with different colored lines&#10;&#10;AI-generated content may be incorrect."/>
                    <pic:cNvPicPr/>
                  </pic:nvPicPr>
                  <pic:blipFill>
                    <a:blip r:embed="rId18"/>
                    <a:stretch>
                      <a:fillRect/>
                    </a:stretch>
                  </pic:blipFill>
                  <pic:spPr>
                    <a:xfrm>
                      <a:off x="0" y="0"/>
                      <a:ext cx="5276016" cy="2344896"/>
                    </a:xfrm>
                    <a:prstGeom prst="rect">
                      <a:avLst/>
                    </a:prstGeom>
                  </pic:spPr>
                </pic:pic>
              </a:graphicData>
            </a:graphic>
          </wp:inline>
        </w:drawing>
      </w:r>
    </w:p>
    <w:p w14:paraId="624DDC9B" w14:textId="24EF94FB" w:rsidR="00FA0276" w:rsidRDefault="00FA0276" w:rsidP="00A25328">
      <w:pPr>
        <w:spacing w:after="0"/>
        <w:rPr>
          <w:rFonts w:ascii="Times New Roman" w:hAnsi="Times New Roman" w:cs="Times New Roman"/>
        </w:rPr>
      </w:pPr>
      <w:r w:rsidRPr="00FA0276">
        <w:rPr>
          <w:rFonts w:ascii="Times New Roman" w:hAnsi="Times New Roman" w:cs="Times New Roman"/>
          <w:noProof/>
        </w:rPr>
        <w:drawing>
          <wp:inline distT="0" distB="0" distL="0" distR="0" wp14:anchorId="163322C0" wp14:editId="1064D7C7">
            <wp:extent cx="5257800" cy="2336800"/>
            <wp:effectExtent l="0" t="0" r="0" b="0"/>
            <wp:docPr id="48297867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78670" name="Picture 1" descr="A graph of different colored lines&#10;&#10;AI-generated content may be incorrect."/>
                    <pic:cNvPicPr/>
                  </pic:nvPicPr>
                  <pic:blipFill>
                    <a:blip r:embed="rId19"/>
                    <a:stretch>
                      <a:fillRect/>
                    </a:stretch>
                  </pic:blipFill>
                  <pic:spPr>
                    <a:xfrm>
                      <a:off x="0" y="0"/>
                      <a:ext cx="5285048" cy="2348910"/>
                    </a:xfrm>
                    <a:prstGeom prst="rect">
                      <a:avLst/>
                    </a:prstGeom>
                  </pic:spPr>
                </pic:pic>
              </a:graphicData>
            </a:graphic>
          </wp:inline>
        </w:drawing>
      </w:r>
    </w:p>
    <w:p w14:paraId="05C4F245" w14:textId="77777777" w:rsidR="00FA0276" w:rsidRDefault="00FA0276" w:rsidP="00A25328">
      <w:pPr>
        <w:spacing w:after="0"/>
        <w:rPr>
          <w:rFonts w:ascii="Times New Roman" w:hAnsi="Times New Roman" w:cs="Times New Roman"/>
        </w:rPr>
      </w:pPr>
    </w:p>
    <w:p w14:paraId="7A2B0010" w14:textId="77777777" w:rsidR="00C84698" w:rsidRDefault="00C84698">
      <w:pPr>
        <w:rPr>
          <w:rFonts w:ascii="Times New Roman" w:hAnsi="Times New Roman" w:cs="Times New Roman"/>
          <w:b/>
          <w:bCs/>
        </w:rPr>
      </w:pPr>
      <w:r>
        <w:rPr>
          <w:rFonts w:ascii="Times New Roman" w:hAnsi="Times New Roman" w:cs="Times New Roman"/>
          <w:b/>
          <w:bCs/>
        </w:rPr>
        <w:br w:type="page"/>
      </w:r>
    </w:p>
    <w:p w14:paraId="7A630FA2" w14:textId="6EA6CAA0" w:rsidR="000D6DA7" w:rsidRDefault="000D6DA7" w:rsidP="000D6DA7">
      <w:pPr>
        <w:spacing w:after="0" w:line="240" w:lineRule="auto"/>
        <w:rPr>
          <w:rFonts w:ascii="Times New Roman" w:hAnsi="Times New Roman" w:cs="Times New Roman"/>
          <w:b/>
          <w:bCs/>
          <w:u w:val="single"/>
        </w:rPr>
      </w:pPr>
      <w:r w:rsidRPr="000D6DA7">
        <w:rPr>
          <w:rFonts w:ascii="Times New Roman" w:hAnsi="Times New Roman" w:cs="Times New Roman"/>
          <w:b/>
          <w:bCs/>
          <w:u w:val="single"/>
        </w:rPr>
        <w:lastRenderedPageBreak/>
        <w:t>Fire Impacts on Water Availability in the Rio Grande-Bravo basin</w:t>
      </w:r>
    </w:p>
    <w:p w14:paraId="2A771ADA" w14:textId="77777777" w:rsidR="000D6DA7" w:rsidRPr="000D6DA7" w:rsidRDefault="000D6DA7" w:rsidP="000D6DA7">
      <w:pPr>
        <w:spacing w:after="0" w:line="240" w:lineRule="auto"/>
        <w:rPr>
          <w:rFonts w:ascii="Times New Roman" w:hAnsi="Times New Roman" w:cs="Times New Roman"/>
          <w:b/>
          <w:bCs/>
          <w:u w:val="single"/>
        </w:rPr>
      </w:pPr>
    </w:p>
    <w:p w14:paraId="327E1537" w14:textId="4AE28D63" w:rsidR="000D6DA7" w:rsidRPr="000D6DA7" w:rsidRDefault="000D6DA7" w:rsidP="000D6DA7">
      <w:pPr>
        <w:spacing w:after="0" w:line="240" w:lineRule="auto"/>
        <w:rPr>
          <w:rFonts w:ascii="Times New Roman" w:hAnsi="Times New Roman" w:cs="Times New Roman"/>
        </w:rPr>
      </w:pPr>
      <w:r>
        <w:rPr>
          <w:rFonts w:ascii="Times New Roman" w:hAnsi="Times New Roman" w:cs="Times New Roman"/>
        </w:rPr>
        <w:t>In this paper we have</w:t>
      </w:r>
      <w:r w:rsidRPr="000D6DA7">
        <w:rPr>
          <w:rFonts w:ascii="Times New Roman" w:hAnsi="Times New Roman" w:cs="Times New Roman"/>
        </w:rPr>
        <w:t xml:space="preserve"> present</w:t>
      </w:r>
      <w:r>
        <w:rPr>
          <w:rFonts w:ascii="Times New Roman" w:hAnsi="Times New Roman" w:cs="Times New Roman"/>
        </w:rPr>
        <w:t>ed</w:t>
      </w:r>
      <w:r w:rsidRPr="000D6DA7">
        <w:rPr>
          <w:rFonts w:ascii="Times New Roman" w:hAnsi="Times New Roman" w:cs="Times New Roman"/>
        </w:rPr>
        <w:t xml:space="preserve"> findings on the historical water budget of the RGB. However, we must also recognize the uncertainty faced by basin inhabitants and how elements of the water budget may change in the future. Fires across Intermountain West, including the headwater areas of the RGB, are becoming more frequent and larger in size (Iglesias, et al., 2022). The burn scars left b</w:t>
      </w:r>
      <w:r>
        <w:rPr>
          <w:rFonts w:ascii="Times New Roman" w:hAnsi="Times New Roman" w:cs="Times New Roman"/>
        </w:rPr>
        <w:t>y</w:t>
      </w:r>
      <w:r w:rsidRPr="000D6DA7">
        <w:rPr>
          <w:rFonts w:ascii="Times New Roman" w:hAnsi="Times New Roman" w:cs="Times New Roman"/>
        </w:rPr>
        <w:t xml:space="preserve"> these fires affect the water budget in a multitude of ways. Studies in New Mexico and Colorado have found that snowpacks in burned areas hold less </w:t>
      </w:r>
      <w:r>
        <w:rPr>
          <w:rFonts w:ascii="Times New Roman" w:hAnsi="Times New Roman" w:cs="Times New Roman"/>
        </w:rPr>
        <w:t>water</w:t>
      </w:r>
      <w:r w:rsidRPr="000D6DA7">
        <w:rPr>
          <w:rFonts w:ascii="Times New Roman" w:hAnsi="Times New Roman" w:cs="Times New Roman"/>
        </w:rPr>
        <w:t xml:space="preserve">, melt earlier, and melt faster (Harpold et al. 2014, Kampf et al., 2022). Confounding the impacts that fires may have on snowpacks, increased dust emissions from land use disturbances can lead to the accumulation of dust-on-snow (Neff et al., 2008). Studies have found aeolian deposition of dust on snowpacks in the San Jaun </w:t>
      </w:r>
      <w:r>
        <w:rPr>
          <w:rFonts w:ascii="Times New Roman" w:hAnsi="Times New Roman" w:cs="Times New Roman"/>
        </w:rPr>
        <w:t>M</w:t>
      </w:r>
      <w:r w:rsidRPr="000D6DA7">
        <w:rPr>
          <w:rFonts w:ascii="Times New Roman" w:hAnsi="Times New Roman" w:cs="Times New Roman"/>
        </w:rPr>
        <w:t xml:space="preserve">ountains and Wasatch </w:t>
      </w:r>
      <w:r>
        <w:rPr>
          <w:rFonts w:ascii="Times New Roman" w:hAnsi="Times New Roman" w:cs="Times New Roman"/>
        </w:rPr>
        <w:t>V</w:t>
      </w:r>
      <w:r w:rsidRPr="000D6DA7">
        <w:rPr>
          <w:rFonts w:ascii="Times New Roman" w:hAnsi="Times New Roman" w:cs="Times New Roman"/>
        </w:rPr>
        <w:t xml:space="preserve">alley to be a contributor to earlier and quicker snowpack melting </w:t>
      </w:r>
      <w:r>
        <w:rPr>
          <w:rFonts w:ascii="Times New Roman" w:hAnsi="Times New Roman" w:cs="Times New Roman"/>
        </w:rPr>
        <w:t xml:space="preserve">due </w:t>
      </w:r>
      <w:r w:rsidRPr="000D6DA7">
        <w:rPr>
          <w:rFonts w:ascii="Times New Roman" w:hAnsi="Times New Roman" w:cs="Times New Roman"/>
        </w:rPr>
        <w:t>to increased energy absorption (Reynolds et al., 2020). Fire further complicates the future RGB water budget by forcing changes to evapotranspiration. A study of ET changes pre- and post-fire found an increase in post-fire ET across ten NM fire location</w:t>
      </w:r>
      <w:r>
        <w:rPr>
          <w:rFonts w:ascii="Times New Roman" w:hAnsi="Times New Roman" w:cs="Times New Roman"/>
        </w:rPr>
        <w:t>s</w:t>
      </w:r>
      <w:r w:rsidRPr="000D6DA7">
        <w:rPr>
          <w:rFonts w:ascii="Times New Roman" w:hAnsi="Times New Roman" w:cs="Times New Roman"/>
        </w:rPr>
        <w:t xml:space="preserve"> (Joshi et al., 2024). While the Joshi et al. (2024) study notes that other studies have found a decrease in post-fire ET compared to pre-fire ET, other regional pre-, post-fire ET studies have found increase</w:t>
      </w:r>
      <w:r>
        <w:rPr>
          <w:rFonts w:ascii="Times New Roman" w:hAnsi="Times New Roman" w:cs="Times New Roman"/>
        </w:rPr>
        <w:t>s</w:t>
      </w:r>
      <w:r w:rsidRPr="000D6DA7">
        <w:rPr>
          <w:rFonts w:ascii="Times New Roman" w:hAnsi="Times New Roman" w:cs="Times New Roman"/>
        </w:rPr>
        <w:t xml:space="preserve"> in ET post-fire (Poulos et al, 2021). Further, while streamflow may increase post-fire, accompanying water quality issues present new challenges to utilize the temporary increase in streamflow (Williams et al., 2022). Increased fire risk in the RGB is not constrained to the headwaters in southern Colorado and northern New Mexico.  Galván and Magaña (2020) identified fire risk hotspot areas in northeastern Mexico in the RGB. With the increased frequency of fire in the RGB, future water governance strategies must tightly couple with wildfire planning and governance (Morgan et al., 2023)</w:t>
      </w:r>
    </w:p>
    <w:p w14:paraId="2A00B2C1" w14:textId="77777777" w:rsidR="000D6DA7" w:rsidRPr="000D6DA7" w:rsidRDefault="000D6DA7" w:rsidP="000D6DA7">
      <w:pPr>
        <w:spacing w:after="0" w:line="240" w:lineRule="auto"/>
        <w:rPr>
          <w:rFonts w:ascii="Times New Roman" w:hAnsi="Times New Roman" w:cs="Times New Roman"/>
        </w:rPr>
      </w:pPr>
    </w:p>
    <w:p w14:paraId="77D64C6F" w14:textId="67351645" w:rsidR="000D6DA7" w:rsidRPr="000D6DA7" w:rsidRDefault="000D6DA7" w:rsidP="000D6DA7">
      <w:pPr>
        <w:spacing w:after="0" w:line="240" w:lineRule="auto"/>
        <w:rPr>
          <w:rFonts w:ascii="Times New Roman" w:hAnsi="Times New Roman" w:cs="Times New Roman"/>
          <w:b/>
          <w:bCs/>
          <w:i/>
          <w:iCs/>
        </w:rPr>
      </w:pPr>
      <w:r w:rsidRPr="000D6DA7">
        <w:rPr>
          <w:rFonts w:ascii="Times New Roman" w:hAnsi="Times New Roman" w:cs="Times New Roman"/>
          <w:b/>
          <w:bCs/>
          <w:i/>
          <w:iCs/>
        </w:rPr>
        <w:t>References Cited</w:t>
      </w:r>
    </w:p>
    <w:p w14:paraId="09C1D3C6" w14:textId="77777777" w:rsidR="000D6DA7" w:rsidRDefault="000D6DA7" w:rsidP="000D6DA7">
      <w:pPr>
        <w:spacing w:after="0" w:line="240" w:lineRule="auto"/>
        <w:rPr>
          <w:rFonts w:ascii="Times New Roman" w:hAnsi="Times New Roman" w:cs="Times New Roman"/>
        </w:rPr>
      </w:pPr>
    </w:p>
    <w:p w14:paraId="733F329C" w14:textId="7AA43CEA"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Iglesias, V., Balch, J. K., &amp; Travis, W. R. (2022). US fires became larger, more frequent, and more widespread in the 2000s. </w:t>
      </w:r>
      <w:r w:rsidRPr="000D6DA7">
        <w:rPr>
          <w:rFonts w:ascii="Times New Roman" w:hAnsi="Times New Roman" w:cs="Times New Roman"/>
          <w:i/>
          <w:iCs/>
        </w:rPr>
        <w:t>Science advances</w:t>
      </w:r>
      <w:r w:rsidRPr="000D6DA7">
        <w:rPr>
          <w:rFonts w:ascii="Times New Roman" w:hAnsi="Times New Roman" w:cs="Times New Roman"/>
        </w:rPr>
        <w:t>, </w:t>
      </w:r>
      <w:r w:rsidRPr="000D6DA7">
        <w:rPr>
          <w:rFonts w:ascii="Times New Roman" w:hAnsi="Times New Roman" w:cs="Times New Roman"/>
          <w:i/>
          <w:iCs/>
        </w:rPr>
        <w:t>8</w:t>
      </w:r>
      <w:r w:rsidRPr="000D6DA7">
        <w:rPr>
          <w:rFonts w:ascii="Times New Roman" w:hAnsi="Times New Roman" w:cs="Times New Roman"/>
        </w:rPr>
        <w:t>(11), eabc0020.</w:t>
      </w:r>
    </w:p>
    <w:p w14:paraId="52366C9C" w14:textId="77777777" w:rsidR="000D6DA7" w:rsidRPr="000D6DA7" w:rsidRDefault="000D6DA7" w:rsidP="000D6DA7">
      <w:pPr>
        <w:spacing w:after="0" w:line="240" w:lineRule="auto"/>
        <w:rPr>
          <w:rFonts w:ascii="Times New Roman" w:hAnsi="Times New Roman" w:cs="Times New Roman"/>
        </w:rPr>
      </w:pPr>
    </w:p>
    <w:p w14:paraId="5A858747" w14:textId="77777777"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 xml:space="preserve">Harpold, A. A., Biederman, J. A., Condon, K., Merino, M., </w:t>
      </w:r>
      <w:proofErr w:type="spellStart"/>
      <w:r w:rsidRPr="000D6DA7">
        <w:rPr>
          <w:rFonts w:ascii="Times New Roman" w:hAnsi="Times New Roman" w:cs="Times New Roman"/>
        </w:rPr>
        <w:t>Korgaonkar</w:t>
      </w:r>
      <w:proofErr w:type="spellEnd"/>
      <w:r w:rsidRPr="000D6DA7">
        <w:rPr>
          <w:rFonts w:ascii="Times New Roman" w:hAnsi="Times New Roman" w:cs="Times New Roman"/>
        </w:rPr>
        <w:t>, Y., Nan, T., ... &amp; Brooks, P. D. (2014). Changes in snow accumulation and ablation following the Las Conchas Forest Fire, New Mexico, USA. </w:t>
      </w:r>
      <w:r w:rsidRPr="000D6DA7">
        <w:rPr>
          <w:rFonts w:ascii="Times New Roman" w:hAnsi="Times New Roman" w:cs="Times New Roman"/>
          <w:i/>
          <w:iCs/>
        </w:rPr>
        <w:t>Ecohydrology</w:t>
      </w:r>
      <w:r w:rsidRPr="000D6DA7">
        <w:rPr>
          <w:rFonts w:ascii="Times New Roman" w:hAnsi="Times New Roman" w:cs="Times New Roman"/>
        </w:rPr>
        <w:t>, </w:t>
      </w:r>
      <w:r w:rsidRPr="000D6DA7">
        <w:rPr>
          <w:rFonts w:ascii="Times New Roman" w:hAnsi="Times New Roman" w:cs="Times New Roman"/>
          <w:i/>
          <w:iCs/>
        </w:rPr>
        <w:t>7</w:t>
      </w:r>
      <w:r w:rsidRPr="000D6DA7">
        <w:rPr>
          <w:rFonts w:ascii="Times New Roman" w:hAnsi="Times New Roman" w:cs="Times New Roman"/>
        </w:rPr>
        <w:t>(2), 440-452.</w:t>
      </w:r>
    </w:p>
    <w:p w14:paraId="26F78A48" w14:textId="77777777" w:rsidR="000D6DA7" w:rsidRPr="000D6DA7" w:rsidRDefault="000D6DA7" w:rsidP="000D6DA7">
      <w:pPr>
        <w:spacing w:after="0" w:line="240" w:lineRule="auto"/>
        <w:rPr>
          <w:rFonts w:ascii="Times New Roman" w:hAnsi="Times New Roman" w:cs="Times New Roman"/>
        </w:rPr>
      </w:pPr>
    </w:p>
    <w:p w14:paraId="4FA38B54" w14:textId="77777777"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Kampf, S. K., McGrath, D., Sears, M. G., Fassnacht, S. R., Kiewiet, L., &amp; Hammond, J. C. (2022). Increasing wildfire impacts on snowpack in the western US. </w:t>
      </w:r>
      <w:r w:rsidRPr="000D6DA7">
        <w:rPr>
          <w:rFonts w:ascii="Times New Roman" w:hAnsi="Times New Roman" w:cs="Times New Roman"/>
          <w:i/>
          <w:iCs/>
        </w:rPr>
        <w:t>Proceedings of the National Academy of Sciences</w:t>
      </w:r>
      <w:r w:rsidRPr="000D6DA7">
        <w:rPr>
          <w:rFonts w:ascii="Times New Roman" w:hAnsi="Times New Roman" w:cs="Times New Roman"/>
        </w:rPr>
        <w:t>, </w:t>
      </w:r>
      <w:r w:rsidRPr="000D6DA7">
        <w:rPr>
          <w:rFonts w:ascii="Times New Roman" w:hAnsi="Times New Roman" w:cs="Times New Roman"/>
          <w:i/>
          <w:iCs/>
        </w:rPr>
        <w:t>119</w:t>
      </w:r>
      <w:r w:rsidRPr="000D6DA7">
        <w:rPr>
          <w:rFonts w:ascii="Times New Roman" w:hAnsi="Times New Roman" w:cs="Times New Roman"/>
        </w:rPr>
        <w:t>(39), e2200333119.</w:t>
      </w:r>
    </w:p>
    <w:p w14:paraId="7200DBEB" w14:textId="77777777" w:rsidR="000D6DA7" w:rsidRPr="000D6DA7" w:rsidRDefault="000D6DA7" w:rsidP="000D6DA7">
      <w:pPr>
        <w:spacing w:after="0" w:line="240" w:lineRule="auto"/>
        <w:rPr>
          <w:rFonts w:ascii="Times New Roman" w:hAnsi="Times New Roman" w:cs="Times New Roman"/>
        </w:rPr>
      </w:pPr>
    </w:p>
    <w:p w14:paraId="5024FBDE" w14:textId="77777777"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Reynolds, R. L., Goldstein, H. L., Moskowitz, B. M., Kokaly, R. F., Munson, S. M., Solheid, P., ... &amp; Derry, J. (2020). Dust deposited on snow cover in the San Juan Mountains, Colorado, 2011–2016: Compositional variability bearing on snow‐melt effects. </w:t>
      </w:r>
      <w:r w:rsidRPr="000D6DA7">
        <w:rPr>
          <w:rFonts w:ascii="Times New Roman" w:hAnsi="Times New Roman" w:cs="Times New Roman"/>
          <w:i/>
          <w:iCs/>
        </w:rPr>
        <w:t>Journal of Geophysical Research: Atmospheres</w:t>
      </w:r>
      <w:r w:rsidRPr="000D6DA7">
        <w:rPr>
          <w:rFonts w:ascii="Times New Roman" w:hAnsi="Times New Roman" w:cs="Times New Roman"/>
        </w:rPr>
        <w:t>, </w:t>
      </w:r>
      <w:r w:rsidRPr="000D6DA7">
        <w:rPr>
          <w:rFonts w:ascii="Times New Roman" w:hAnsi="Times New Roman" w:cs="Times New Roman"/>
          <w:i/>
          <w:iCs/>
        </w:rPr>
        <w:t>125</w:t>
      </w:r>
      <w:r w:rsidRPr="000D6DA7">
        <w:rPr>
          <w:rFonts w:ascii="Times New Roman" w:hAnsi="Times New Roman" w:cs="Times New Roman"/>
        </w:rPr>
        <w:t>(7), e2019JD032210.</w:t>
      </w:r>
    </w:p>
    <w:p w14:paraId="297CF192" w14:textId="77777777" w:rsidR="000D6DA7" w:rsidRPr="000D6DA7" w:rsidRDefault="000D6DA7" w:rsidP="000D6DA7">
      <w:pPr>
        <w:spacing w:after="0" w:line="240" w:lineRule="auto"/>
        <w:rPr>
          <w:rFonts w:ascii="Times New Roman" w:hAnsi="Times New Roman" w:cs="Times New Roman"/>
        </w:rPr>
      </w:pPr>
    </w:p>
    <w:p w14:paraId="35DF5222" w14:textId="77777777"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Neff, J. C., et al. (2008), Increasing eolian dust deposition in the western United States linked to human activity, </w:t>
      </w:r>
      <w:r w:rsidRPr="000D6DA7">
        <w:rPr>
          <w:rFonts w:ascii="Times New Roman" w:hAnsi="Times New Roman" w:cs="Times New Roman"/>
          <w:i/>
          <w:iCs/>
        </w:rPr>
        <w:t xml:space="preserve">Nat. </w:t>
      </w:r>
      <w:proofErr w:type="spellStart"/>
      <w:r w:rsidRPr="000D6DA7">
        <w:rPr>
          <w:rFonts w:ascii="Times New Roman" w:hAnsi="Times New Roman" w:cs="Times New Roman"/>
          <w:i/>
          <w:iCs/>
        </w:rPr>
        <w:t>Geosci</w:t>
      </w:r>
      <w:proofErr w:type="spellEnd"/>
      <w:r w:rsidRPr="000D6DA7">
        <w:rPr>
          <w:rFonts w:ascii="Times New Roman" w:hAnsi="Times New Roman" w:cs="Times New Roman"/>
          <w:i/>
          <w:iCs/>
        </w:rPr>
        <w:t>.</w:t>
      </w:r>
      <w:r w:rsidRPr="000D6DA7">
        <w:rPr>
          <w:rFonts w:ascii="Times New Roman" w:hAnsi="Times New Roman" w:cs="Times New Roman"/>
        </w:rPr>
        <w:t>, </w:t>
      </w:r>
      <w:r w:rsidRPr="000D6DA7">
        <w:rPr>
          <w:rFonts w:ascii="Times New Roman" w:hAnsi="Times New Roman" w:cs="Times New Roman"/>
          <w:b/>
          <w:bCs/>
        </w:rPr>
        <w:t>1</w:t>
      </w:r>
      <w:r w:rsidRPr="000D6DA7">
        <w:rPr>
          <w:rFonts w:ascii="Times New Roman" w:hAnsi="Times New Roman" w:cs="Times New Roman"/>
        </w:rPr>
        <w:t>(3), 189–195, doi:</w:t>
      </w:r>
      <w:hyperlink r:id="rId20" w:tgtFrame="_blank" w:tooltip="Link to external resource: 10.1038/ngeo133" w:history="1">
        <w:r w:rsidRPr="000D6DA7">
          <w:rPr>
            <w:rStyle w:val="Hyperlink"/>
            <w:rFonts w:ascii="Times New Roman" w:hAnsi="Times New Roman" w:cs="Times New Roman"/>
          </w:rPr>
          <w:t>10.1038/ngeo133</w:t>
        </w:r>
      </w:hyperlink>
      <w:r w:rsidRPr="000D6DA7">
        <w:rPr>
          <w:rFonts w:ascii="Times New Roman" w:hAnsi="Times New Roman" w:cs="Times New Roman"/>
        </w:rPr>
        <w:t>.</w:t>
      </w:r>
    </w:p>
    <w:p w14:paraId="3B019BDB" w14:textId="77777777" w:rsidR="000D6DA7" w:rsidRPr="000D6DA7" w:rsidRDefault="000D6DA7" w:rsidP="000D6DA7">
      <w:pPr>
        <w:spacing w:after="0" w:line="240" w:lineRule="auto"/>
        <w:rPr>
          <w:rFonts w:ascii="Times New Roman" w:hAnsi="Times New Roman" w:cs="Times New Roman"/>
        </w:rPr>
      </w:pPr>
    </w:p>
    <w:p w14:paraId="535EBE10" w14:textId="77777777"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lastRenderedPageBreak/>
        <w:t xml:space="preserve">Joshi, R. C., Jensen, A., </w:t>
      </w:r>
      <w:proofErr w:type="spellStart"/>
      <w:r w:rsidRPr="000D6DA7">
        <w:rPr>
          <w:rFonts w:ascii="Times New Roman" w:hAnsi="Times New Roman" w:cs="Times New Roman"/>
        </w:rPr>
        <w:t>Pascolini</w:t>
      </w:r>
      <w:proofErr w:type="spellEnd"/>
      <w:r w:rsidRPr="000D6DA7">
        <w:rPr>
          <w:rFonts w:ascii="Times New Roman" w:hAnsi="Times New Roman" w:cs="Times New Roman"/>
        </w:rPr>
        <w:t>-Campbell, M., &amp; Fisher, J. B. (2024). Coupling between evapotranspiration, water use efficiency, and evaporative stress index strengthens after wildfires in New Mexico, USA. </w:t>
      </w:r>
      <w:r w:rsidRPr="000D6DA7">
        <w:rPr>
          <w:rFonts w:ascii="Times New Roman" w:hAnsi="Times New Roman" w:cs="Times New Roman"/>
          <w:i/>
          <w:iCs/>
        </w:rPr>
        <w:t>International Journal of Applied Earth Observation and Geoinformation</w:t>
      </w:r>
      <w:r w:rsidRPr="000D6DA7">
        <w:rPr>
          <w:rFonts w:ascii="Times New Roman" w:hAnsi="Times New Roman" w:cs="Times New Roman"/>
        </w:rPr>
        <w:t>, </w:t>
      </w:r>
      <w:r w:rsidRPr="000D6DA7">
        <w:rPr>
          <w:rFonts w:ascii="Times New Roman" w:hAnsi="Times New Roman" w:cs="Times New Roman"/>
          <w:i/>
          <w:iCs/>
        </w:rPr>
        <w:t>135</w:t>
      </w:r>
      <w:r w:rsidRPr="000D6DA7">
        <w:rPr>
          <w:rFonts w:ascii="Times New Roman" w:hAnsi="Times New Roman" w:cs="Times New Roman"/>
        </w:rPr>
        <w:t>, 104238.</w:t>
      </w:r>
    </w:p>
    <w:p w14:paraId="6959DD26" w14:textId="77777777" w:rsidR="000D6DA7" w:rsidRPr="000D6DA7" w:rsidRDefault="000D6DA7" w:rsidP="000D6DA7">
      <w:pPr>
        <w:spacing w:after="0" w:line="240" w:lineRule="auto"/>
        <w:rPr>
          <w:rFonts w:ascii="Times New Roman" w:hAnsi="Times New Roman" w:cs="Times New Roman"/>
        </w:rPr>
      </w:pPr>
    </w:p>
    <w:p w14:paraId="74AE523D" w14:textId="77777777"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Poulos, H. M., Barton, A. M., Koch, G. W., Kolb, T. E., &amp; Thode, A. E. (2021). Wildfire severity and vegetation recovery drive post‐fire evapotranspiration in a southwestern pine‐oak forest, Arizona, USA. </w:t>
      </w:r>
      <w:r w:rsidRPr="000D6DA7">
        <w:rPr>
          <w:rFonts w:ascii="Times New Roman" w:hAnsi="Times New Roman" w:cs="Times New Roman"/>
          <w:i/>
          <w:iCs/>
        </w:rPr>
        <w:t>Remote Sensing in Ecology and Conservation</w:t>
      </w:r>
      <w:r w:rsidRPr="000D6DA7">
        <w:rPr>
          <w:rFonts w:ascii="Times New Roman" w:hAnsi="Times New Roman" w:cs="Times New Roman"/>
        </w:rPr>
        <w:t>, </w:t>
      </w:r>
      <w:r w:rsidRPr="000D6DA7">
        <w:rPr>
          <w:rFonts w:ascii="Times New Roman" w:hAnsi="Times New Roman" w:cs="Times New Roman"/>
          <w:i/>
          <w:iCs/>
        </w:rPr>
        <w:t>7</w:t>
      </w:r>
      <w:r w:rsidRPr="000D6DA7">
        <w:rPr>
          <w:rFonts w:ascii="Times New Roman" w:hAnsi="Times New Roman" w:cs="Times New Roman"/>
        </w:rPr>
        <w:t>(4), 579-591.</w:t>
      </w:r>
    </w:p>
    <w:p w14:paraId="27DC05D8" w14:textId="77777777" w:rsidR="000D6DA7" w:rsidRPr="000D6DA7" w:rsidRDefault="000D6DA7" w:rsidP="000D6DA7">
      <w:pPr>
        <w:spacing w:after="0" w:line="240" w:lineRule="auto"/>
        <w:rPr>
          <w:rFonts w:ascii="Times New Roman" w:hAnsi="Times New Roman" w:cs="Times New Roman"/>
        </w:rPr>
      </w:pPr>
    </w:p>
    <w:p w14:paraId="5E95D39D" w14:textId="77777777"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Galván, L., &amp; Magaña, V. (2020). Forest fires in Mexico: an approach to estimate fire probabilities. </w:t>
      </w:r>
      <w:r w:rsidRPr="000D6DA7">
        <w:rPr>
          <w:rFonts w:ascii="Times New Roman" w:hAnsi="Times New Roman" w:cs="Times New Roman"/>
          <w:i/>
          <w:iCs/>
        </w:rPr>
        <w:t>International Journal of Wildland Fire</w:t>
      </w:r>
      <w:r w:rsidRPr="000D6DA7">
        <w:rPr>
          <w:rFonts w:ascii="Times New Roman" w:hAnsi="Times New Roman" w:cs="Times New Roman"/>
        </w:rPr>
        <w:t>, </w:t>
      </w:r>
      <w:r w:rsidRPr="000D6DA7">
        <w:rPr>
          <w:rFonts w:ascii="Times New Roman" w:hAnsi="Times New Roman" w:cs="Times New Roman"/>
          <w:i/>
          <w:iCs/>
        </w:rPr>
        <w:t>29</w:t>
      </w:r>
      <w:r w:rsidRPr="000D6DA7">
        <w:rPr>
          <w:rFonts w:ascii="Times New Roman" w:hAnsi="Times New Roman" w:cs="Times New Roman"/>
        </w:rPr>
        <w:t>(9), 753-763.</w:t>
      </w:r>
    </w:p>
    <w:p w14:paraId="23337C52" w14:textId="77777777" w:rsidR="000D6DA7" w:rsidRPr="000D6DA7" w:rsidRDefault="000D6DA7" w:rsidP="000D6DA7">
      <w:pPr>
        <w:spacing w:after="0" w:line="240" w:lineRule="auto"/>
        <w:rPr>
          <w:rFonts w:ascii="Times New Roman" w:hAnsi="Times New Roman" w:cs="Times New Roman"/>
        </w:rPr>
      </w:pPr>
    </w:p>
    <w:p w14:paraId="34E405A1" w14:textId="77777777" w:rsid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 xml:space="preserve">Williams, A. P., </w:t>
      </w:r>
      <w:proofErr w:type="spellStart"/>
      <w:r w:rsidRPr="000D6DA7">
        <w:rPr>
          <w:rFonts w:ascii="Times New Roman" w:hAnsi="Times New Roman" w:cs="Times New Roman"/>
        </w:rPr>
        <w:t>Livneh</w:t>
      </w:r>
      <w:proofErr w:type="spellEnd"/>
      <w:r w:rsidRPr="000D6DA7">
        <w:rPr>
          <w:rFonts w:ascii="Times New Roman" w:hAnsi="Times New Roman" w:cs="Times New Roman"/>
        </w:rPr>
        <w:t>, B., McKinnon, K. A., Hansen, W. D., Mankin, J. S., Cook, B. I., ... &amp; Lettenmaier, D. P. (2022). Growing impact of wildfire on western US water supply. </w:t>
      </w:r>
      <w:r w:rsidRPr="000D6DA7">
        <w:rPr>
          <w:rFonts w:ascii="Times New Roman" w:hAnsi="Times New Roman" w:cs="Times New Roman"/>
          <w:i/>
          <w:iCs/>
        </w:rPr>
        <w:t>Proceedings of the National Academy of Sciences</w:t>
      </w:r>
      <w:r w:rsidRPr="000D6DA7">
        <w:rPr>
          <w:rFonts w:ascii="Times New Roman" w:hAnsi="Times New Roman" w:cs="Times New Roman"/>
        </w:rPr>
        <w:t>, </w:t>
      </w:r>
      <w:r w:rsidRPr="000D6DA7">
        <w:rPr>
          <w:rFonts w:ascii="Times New Roman" w:hAnsi="Times New Roman" w:cs="Times New Roman"/>
          <w:i/>
          <w:iCs/>
        </w:rPr>
        <w:t>119</w:t>
      </w:r>
      <w:r w:rsidRPr="000D6DA7">
        <w:rPr>
          <w:rFonts w:ascii="Times New Roman" w:hAnsi="Times New Roman" w:cs="Times New Roman"/>
        </w:rPr>
        <w:t>(10), e2114069119.</w:t>
      </w:r>
    </w:p>
    <w:p w14:paraId="5297688A" w14:textId="77777777" w:rsidR="000D6DA7" w:rsidRPr="000D6DA7" w:rsidRDefault="000D6DA7" w:rsidP="000D6DA7">
      <w:pPr>
        <w:spacing w:after="0" w:line="240" w:lineRule="auto"/>
        <w:rPr>
          <w:rFonts w:ascii="Times New Roman" w:hAnsi="Times New Roman" w:cs="Times New Roman"/>
        </w:rPr>
      </w:pPr>
    </w:p>
    <w:p w14:paraId="2AB8B1EE" w14:textId="77777777" w:rsidR="000D6DA7" w:rsidRPr="000D6DA7" w:rsidRDefault="000D6DA7" w:rsidP="000D6DA7">
      <w:pPr>
        <w:spacing w:after="0" w:line="240" w:lineRule="auto"/>
        <w:rPr>
          <w:rFonts w:ascii="Times New Roman" w:hAnsi="Times New Roman" w:cs="Times New Roman"/>
        </w:rPr>
      </w:pPr>
      <w:r w:rsidRPr="000D6DA7">
        <w:rPr>
          <w:rFonts w:ascii="Times New Roman" w:hAnsi="Times New Roman" w:cs="Times New Roman"/>
        </w:rPr>
        <w:t xml:space="preserve">Morgan, M., Webster, A., </w:t>
      </w:r>
      <w:proofErr w:type="spellStart"/>
      <w:r w:rsidRPr="000D6DA7">
        <w:rPr>
          <w:rFonts w:ascii="Times New Roman" w:hAnsi="Times New Roman" w:cs="Times New Roman"/>
        </w:rPr>
        <w:t>Piccarello</w:t>
      </w:r>
      <w:proofErr w:type="spellEnd"/>
      <w:r w:rsidRPr="000D6DA7">
        <w:rPr>
          <w:rFonts w:ascii="Times New Roman" w:hAnsi="Times New Roman" w:cs="Times New Roman"/>
        </w:rPr>
        <w:t>, M., Jones, K., Chermak, J., McCarthy, L., &amp; Srinivasan, J. (2023). Adaptive governance strategies to address wildfire and watershed resilience in New Mexico's upper Rio Grande watershed. </w:t>
      </w:r>
      <w:r w:rsidRPr="000D6DA7">
        <w:rPr>
          <w:rFonts w:ascii="Times New Roman" w:hAnsi="Times New Roman" w:cs="Times New Roman"/>
          <w:i/>
          <w:iCs/>
        </w:rPr>
        <w:t>Frontiers in Climate</w:t>
      </w:r>
      <w:r w:rsidRPr="000D6DA7">
        <w:rPr>
          <w:rFonts w:ascii="Times New Roman" w:hAnsi="Times New Roman" w:cs="Times New Roman"/>
        </w:rPr>
        <w:t>, </w:t>
      </w:r>
      <w:r w:rsidRPr="000D6DA7">
        <w:rPr>
          <w:rFonts w:ascii="Times New Roman" w:hAnsi="Times New Roman" w:cs="Times New Roman"/>
          <w:i/>
          <w:iCs/>
        </w:rPr>
        <w:t>5</w:t>
      </w:r>
      <w:r w:rsidRPr="000D6DA7">
        <w:rPr>
          <w:rFonts w:ascii="Times New Roman" w:hAnsi="Times New Roman" w:cs="Times New Roman"/>
        </w:rPr>
        <w:t>, 1062320.</w:t>
      </w:r>
    </w:p>
    <w:p w14:paraId="6BEEF1F8" w14:textId="77777777" w:rsidR="000D6DA7" w:rsidRPr="000D6DA7" w:rsidRDefault="000D6DA7" w:rsidP="000D6DA7">
      <w:pPr>
        <w:spacing w:after="0" w:line="240" w:lineRule="auto"/>
        <w:rPr>
          <w:rFonts w:ascii="Times New Roman" w:hAnsi="Times New Roman" w:cs="Times New Roman"/>
        </w:rPr>
      </w:pPr>
    </w:p>
    <w:p w14:paraId="2B035EFF" w14:textId="77777777" w:rsidR="000D6DA7" w:rsidRDefault="000D6DA7" w:rsidP="000D6DA7">
      <w:pPr>
        <w:spacing w:after="0" w:line="240" w:lineRule="auto"/>
        <w:rPr>
          <w:rFonts w:ascii="Times New Roman" w:hAnsi="Times New Roman" w:cs="Times New Roman"/>
          <w:b/>
          <w:bCs/>
        </w:rPr>
      </w:pPr>
    </w:p>
    <w:p w14:paraId="7278F61F" w14:textId="77777777" w:rsidR="000D6DA7" w:rsidRDefault="000D6DA7" w:rsidP="000D6DA7">
      <w:pPr>
        <w:spacing w:after="0" w:line="240" w:lineRule="auto"/>
        <w:rPr>
          <w:rFonts w:ascii="Times New Roman" w:hAnsi="Times New Roman" w:cs="Times New Roman"/>
          <w:b/>
          <w:bCs/>
        </w:rPr>
      </w:pPr>
    </w:p>
    <w:p w14:paraId="643F4060" w14:textId="455BC059" w:rsidR="00C84698" w:rsidRPr="000D6DA7" w:rsidRDefault="00C84698" w:rsidP="00C84698">
      <w:pPr>
        <w:spacing w:after="0"/>
        <w:rPr>
          <w:rFonts w:ascii="Times New Roman" w:hAnsi="Times New Roman" w:cs="Times New Roman"/>
          <w:b/>
          <w:bCs/>
          <w:u w:val="single"/>
        </w:rPr>
      </w:pPr>
      <w:proofErr w:type="spellStart"/>
      <w:r w:rsidRPr="000D6DA7">
        <w:rPr>
          <w:rFonts w:ascii="Times New Roman" w:hAnsi="Times New Roman" w:cs="Times New Roman"/>
          <w:b/>
          <w:bCs/>
          <w:u w:val="single"/>
        </w:rPr>
        <w:t>Backcasting</w:t>
      </w:r>
      <w:proofErr w:type="spellEnd"/>
      <w:r w:rsidRPr="000D6DA7">
        <w:rPr>
          <w:rFonts w:ascii="Times New Roman" w:hAnsi="Times New Roman" w:cs="Times New Roman"/>
          <w:b/>
          <w:bCs/>
          <w:u w:val="single"/>
        </w:rPr>
        <w:t xml:space="preserve"> USGS Thermoelectric Power Plant Consumption </w:t>
      </w:r>
    </w:p>
    <w:p w14:paraId="6F4EC574" w14:textId="77777777" w:rsidR="00C84698" w:rsidRDefault="00C84698" w:rsidP="00C84698">
      <w:pPr>
        <w:spacing w:after="0"/>
        <w:rPr>
          <w:rFonts w:ascii="Times New Roman" w:hAnsi="Times New Roman" w:cs="Times New Roman"/>
        </w:rPr>
      </w:pPr>
    </w:p>
    <w:p w14:paraId="69959404" w14:textId="0A18AA6D"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An </w:t>
      </w:r>
      <w:proofErr w:type="spellStart"/>
      <w:r w:rsidRPr="00C84698">
        <w:rPr>
          <w:rFonts w:ascii="Times New Roman" w:hAnsi="Times New Roman" w:cs="Times New Roman"/>
        </w:rPr>
        <w:t>AutoRegressive</w:t>
      </w:r>
      <w:proofErr w:type="spellEnd"/>
      <w:r w:rsidRPr="00C84698">
        <w:rPr>
          <w:rFonts w:ascii="Times New Roman" w:hAnsi="Times New Roman" w:cs="Times New Roman"/>
        </w:rPr>
        <w:t xml:space="preserve"> Integrated Moving Average (ARIMA) model is a widely used statistical method for analyzing and forecasting time series data by capturing trends, lags, and past errors (Equation 1; Box et al., 2015). </w:t>
      </w:r>
    </w:p>
    <w:p w14:paraId="2A5C41EF" w14:textId="77777777" w:rsidR="00C84698" w:rsidRPr="00C84698" w:rsidRDefault="00C84698" w:rsidP="00C84698">
      <w:pPr>
        <w:spacing w:after="0"/>
        <w:rPr>
          <w:rFonts w:ascii="Times New Roman" w:hAnsi="Times New Roman" w:cs="Times New Roman"/>
        </w:rPr>
      </w:pPr>
    </w:p>
    <w:p w14:paraId="305A378E" w14:textId="6B50654E" w:rsidR="00C84698" w:rsidRPr="00C84698" w:rsidRDefault="00C84698" w:rsidP="00C84698">
      <w:pPr>
        <w:spacing w:after="0"/>
        <w:rPr>
          <w:rFonts w:ascii="Times New Roman" w:hAnsi="Times New Roman" w:cs="Times New Roman"/>
        </w:rPr>
      </w:pPr>
      <m:oMath>
        <m:r>
          <w:rPr>
            <w:rFonts w:ascii="Cambria Math" w:hAnsi="Cambria Math" w:cs="Times New Roman"/>
          </w:rPr>
          <m:t>ARIMA(p, d, q)</m:t>
        </m:r>
      </m:oMath>
      <w:r w:rsidRPr="00C84698">
        <w:rPr>
          <w:rFonts w:ascii="Times New Roman" w:hAnsi="Times New Roman" w:cs="Times New Roman"/>
        </w:rPr>
        <w:t xml:space="preserve"> </w:t>
      </w:r>
      <w:r w:rsidRPr="00C84698">
        <w:rPr>
          <w:rFonts w:ascii="Times New Roman" w:hAnsi="Times New Roman" w:cs="Times New Roman"/>
        </w:rPr>
        <w:tab/>
      </w:r>
      <w:r w:rsidRPr="00C84698">
        <w:rPr>
          <w:rFonts w:ascii="Times New Roman" w:hAnsi="Times New Roman" w:cs="Times New Roman"/>
        </w:rPr>
        <w:tab/>
      </w:r>
      <w:r w:rsidRPr="00C84698">
        <w:rPr>
          <w:rFonts w:ascii="Times New Roman" w:hAnsi="Times New Roman" w:cs="Times New Roman"/>
        </w:rPr>
        <w:tab/>
        <w:t>(Equation 1)</w:t>
      </w:r>
    </w:p>
    <w:p w14:paraId="1012123D" w14:textId="77777777" w:rsidR="00C84698" w:rsidRPr="00C84698" w:rsidRDefault="00C84698" w:rsidP="00C84698">
      <w:pPr>
        <w:spacing w:after="0"/>
        <w:rPr>
          <w:rFonts w:ascii="Times New Roman" w:hAnsi="Times New Roman" w:cs="Times New Roman"/>
        </w:rPr>
      </w:pPr>
    </w:p>
    <w:p w14:paraId="205264DC"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Here, each ARIMA parameter captures a different aspect of the time series behavior. The autoregressive component (</w:t>
      </w:r>
      <w:r w:rsidRPr="00C84698">
        <w:rPr>
          <w:rFonts w:ascii="Times New Roman" w:hAnsi="Times New Roman" w:cs="Times New Roman"/>
          <w:i/>
          <w:iCs/>
        </w:rPr>
        <w:t>p</w:t>
      </w:r>
      <w:r w:rsidRPr="00C84698">
        <w:rPr>
          <w:rFonts w:ascii="Times New Roman" w:hAnsi="Times New Roman" w:cs="Times New Roman"/>
        </w:rPr>
        <w:t>) refers to the number of past observations used to predict future values, effectively modeling the influence of previous time steps. The differencing order (</w:t>
      </w:r>
      <w:r w:rsidRPr="00C84698">
        <w:rPr>
          <w:rFonts w:ascii="Times New Roman" w:hAnsi="Times New Roman" w:cs="Times New Roman"/>
          <w:i/>
          <w:iCs/>
        </w:rPr>
        <w:t>d</w:t>
      </w:r>
      <w:r w:rsidRPr="00C84698">
        <w:rPr>
          <w:rFonts w:ascii="Times New Roman" w:hAnsi="Times New Roman" w:cs="Times New Roman"/>
        </w:rPr>
        <w:t>) represents the number of times the original time series must be differenced to achieve stationarity, meaning the mean and variance remain constant over time. Finally, the moving average component (</w:t>
      </w:r>
      <w:r w:rsidRPr="00C84698">
        <w:rPr>
          <w:rFonts w:ascii="Times New Roman" w:hAnsi="Times New Roman" w:cs="Times New Roman"/>
          <w:i/>
          <w:iCs/>
        </w:rPr>
        <w:t>q</w:t>
      </w:r>
      <w:r w:rsidRPr="00C84698">
        <w:rPr>
          <w:rFonts w:ascii="Times New Roman" w:hAnsi="Times New Roman" w:cs="Times New Roman"/>
        </w:rPr>
        <w:t xml:space="preserve">) captures the relationship between the current observation and past forecast errors, smoothing out short-term fluctuations. The Seasonal </w:t>
      </w:r>
      <w:proofErr w:type="spellStart"/>
      <w:r w:rsidRPr="00C84698">
        <w:rPr>
          <w:rFonts w:ascii="Times New Roman" w:hAnsi="Times New Roman" w:cs="Times New Roman"/>
        </w:rPr>
        <w:t>AutoRegressive</w:t>
      </w:r>
      <w:proofErr w:type="spellEnd"/>
      <w:r w:rsidRPr="00C84698">
        <w:rPr>
          <w:rFonts w:ascii="Times New Roman" w:hAnsi="Times New Roman" w:cs="Times New Roman"/>
        </w:rPr>
        <w:t xml:space="preserve"> Integrated Moving Average (SARIMA) model extends the traditional ARIMA framework to account for recurring seasonal patterns in time series data (Equation 2; Box et al., 2015).</w:t>
      </w:r>
    </w:p>
    <w:p w14:paraId="13F41654" w14:textId="77777777" w:rsidR="00C84698" w:rsidRPr="00C84698" w:rsidRDefault="00C84698" w:rsidP="00C84698">
      <w:pPr>
        <w:spacing w:after="0"/>
        <w:rPr>
          <w:rFonts w:ascii="Times New Roman" w:hAnsi="Times New Roman" w:cs="Times New Roman"/>
        </w:rPr>
      </w:pPr>
    </w:p>
    <w:p w14:paraId="16095628" w14:textId="37431B16" w:rsidR="00C84698" w:rsidRPr="00C84698" w:rsidRDefault="00C84698" w:rsidP="00C84698">
      <w:pPr>
        <w:spacing w:after="0"/>
        <w:rPr>
          <w:rFonts w:ascii="Times New Roman" w:hAnsi="Times New Roman" w:cs="Times New Roman"/>
        </w:rPr>
      </w:pPr>
      <m:oMath>
        <m:r>
          <w:rPr>
            <w:rFonts w:ascii="Cambria Math" w:hAnsi="Cambria Math" w:cs="Times New Roman"/>
          </w:rPr>
          <m:t>SARIMA</m:t>
        </m:r>
        <m:d>
          <m:dPr>
            <m:ctrlPr>
              <w:rPr>
                <w:rFonts w:ascii="Cambria Math" w:hAnsi="Cambria Math" w:cs="Times New Roman"/>
                <w:i/>
              </w:rPr>
            </m:ctrlPr>
          </m:dPr>
          <m:e>
            <m:r>
              <w:rPr>
                <w:rFonts w:ascii="Cambria Math" w:hAnsi="Cambria Math" w:cs="Times New Roman"/>
              </w:rPr>
              <m:t>p,d,q</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P,D,Q,m</m:t>
            </m:r>
          </m:e>
        </m:d>
      </m:oMath>
      <w:r w:rsidRPr="00C84698">
        <w:rPr>
          <w:rFonts w:ascii="Times New Roman" w:hAnsi="Times New Roman" w:cs="Times New Roman"/>
        </w:rPr>
        <w:t xml:space="preserve"> </w:t>
      </w:r>
      <w:r w:rsidRPr="00C84698">
        <w:rPr>
          <w:rFonts w:ascii="Times New Roman" w:hAnsi="Times New Roman" w:cs="Times New Roman"/>
        </w:rPr>
        <w:tab/>
      </w:r>
      <w:r w:rsidRPr="00C84698">
        <w:rPr>
          <w:rFonts w:ascii="Times New Roman" w:hAnsi="Times New Roman" w:cs="Times New Roman"/>
        </w:rPr>
        <w:tab/>
      </w:r>
      <w:r w:rsidRPr="00C84698">
        <w:rPr>
          <w:rFonts w:ascii="Times New Roman" w:hAnsi="Times New Roman" w:cs="Times New Roman"/>
        </w:rPr>
        <w:tab/>
        <w:t>(Equation 2)</w:t>
      </w:r>
    </w:p>
    <w:p w14:paraId="7F3AF480" w14:textId="77777777" w:rsidR="00C84698" w:rsidRPr="00C84698" w:rsidRDefault="00C84698" w:rsidP="00C84698">
      <w:pPr>
        <w:spacing w:after="0"/>
        <w:rPr>
          <w:rFonts w:ascii="Times New Roman" w:hAnsi="Times New Roman" w:cs="Times New Roman"/>
        </w:rPr>
      </w:pPr>
    </w:p>
    <w:p w14:paraId="13C2C6A4"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lastRenderedPageBreak/>
        <w:t xml:space="preserve">The first set of parameters - </w:t>
      </w:r>
      <w:r w:rsidRPr="00C84698">
        <w:rPr>
          <w:rFonts w:ascii="Times New Roman" w:hAnsi="Times New Roman" w:cs="Times New Roman"/>
          <w:i/>
          <w:iCs/>
        </w:rPr>
        <w:t>p</w:t>
      </w:r>
      <w:r w:rsidRPr="00C84698">
        <w:rPr>
          <w:rFonts w:ascii="Times New Roman" w:hAnsi="Times New Roman" w:cs="Times New Roman"/>
        </w:rPr>
        <w:t xml:space="preserve">, </w:t>
      </w:r>
      <w:r w:rsidRPr="00C84698">
        <w:rPr>
          <w:rFonts w:ascii="Times New Roman" w:hAnsi="Times New Roman" w:cs="Times New Roman"/>
          <w:i/>
          <w:iCs/>
        </w:rPr>
        <w:t>d</w:t>
      </w:r>
      <w:r w:rsidRPr="00C84698">
        <w:rPr>
          <w:rFonts w:ascii="Times New Roman" w:hAnsi="Times New Roman" w:cs="Times New Roman"/>
        </w:rPr>
        <w:t xml:space="preserve">, and </w:t>
      </w:r>
      <w:r w:rsidRPr="00C84698">
        <w:rPr>
          <w:rFonts w:ascii="Times New Roman" w:hAnsi="Times New Roman" w:cs="Times New Roman"/>
          <w:i/>
          <w:iCs/>
        </w:rPr>
        <w:t>q</w:t>
      </w:r>
      <w:r w:rsidRPr="00C84698">
        <w:rPr>
          <w:rFonts w:ascii="Times New Roman" w:hAnsi="Times New Roman" w:cs="Times New Roman"/>
        </w:rPr>
        <w:t xml:space="preserve"> - represent the non-seasonal components: the number of autoregressive terms, the order of differencing to remove trends, and the number of moving average terms, respectively. The second set - </w:t>
      </w:r>
      <w:r w:rsidRPr="00C84698">
        <w:rPr>
          <w:rFonts w:ascii="Times New Roman" w:hAnsi="Times New Roman" w:cs="Times New Roman"/>
          <w:i/>
          <w:iCs/>
        </w:rPr>
        <w:t>P</w:t>
      </w:r>
      <w:r w:rsidRPr="00C84698">
        <w:rPr>
          <w:rFonts w:ascii="Times New Roman" w:hAnsi="Times New Roman" w:cs="Times New Roman"/>
        </w:rPr>
        <w:t xml:space="preserve">, </w:t>
      </w:r>
      <w:r w:rsidRPr="00C84698">
        <w:rPr>
          <w:rFonts w:ascii="Times New Roman" w:hAnsi="Times New Roman" w:cs="Times New Roman"/>
          <w:i/>
          <w:iCs/>
        </w:rPr>
        <w:t>D</w:t>
      </w:r>
      <w:r w:rsidRPr="00C84698">
        <w:rPr>
          <w:rFonts w:ascii="Times New Roman" w:hAnsi="Times New Roman" w:cs="Times New Roman"/>
        </w:rPr>
        <w:t xml:space="preserve">, and </w:t>
      </w:r>
      <w:r w:rsidRPr="00C84698">
        <w:rPr>
          <w:rFonts w:ascii="Times New Roman" w:hAnsi="Times New Roman" w:cs="Times New Roman"/>
          <w:i/>
          <w:iCs/>
        </w:rPr>
        <w:t>Q</w:t>
      </w:r>
      <w:r w:rsidRPr="00C84698">
        <w:rPr>
          <w:rFonts w:ascii="Times New Roman" w:hAnsi="Times New Roman" w:cs="Times New Roman"/>
        </w:rPr>
        <w:t xml:space="preserve"> - captures the seasonal behavior of the series: </w:t>
      </w:r>
      <w:r w:rsidRPr="00C84698">
        <w:rPr>
          <w:rFonts w:ascii="Times New Roman" w:hAnsi="Times New Roman" w:cs="Times New Roman"/>
          <w:i/>
          <w:iCs/>
        </w:rPr>
        <w:t>P</w:t>
      </w:r>
      <w:r w:rsidRPr="00C84698">
        <w:rPr>
          <w:rFonts w:ascii="Times New Roman" w:hAnsi="Times New Roman" w:cs="Times New Roman"/>
        </w:rPr>
        <w:t xml:space="preserve"> denotes the number of seasonal autoregressive terms, </w:t>
      </w:r>
      <w:r w:rsidRPr="00C84698">
        <w:rPr>
          <w:rFonts w:ascii="Times New Roman" w:hAnsi="Times New Roman" w:cs="Times New Roman"/>
          <w:i/>
          <w:iCs/>
        </w:rPr>
        <w:t>D</w:t>
      </w:r>
      <w:r w:rsidRPr="00C84698">
        <w:rPr>
          <w:rFonts w:ascii="Times New Roman" w:hAnsi="Times New Roman" w:cs="Times New Roman"/>
        </w:rPr>
        <w:t xml:space="preserve"> is the number of seasonal differences required for stationarity, and </w:t>
      </w:r>
      <w:r w:rsidRPr="00C84698">
        <w:rPr>
          <w:rFonts w:ascii="Times New Roman" w:hAnsi="Times New Roman" w:cs="Times New Roman"/>
          <w:i/>
          <w:iCs/>
        </w:rPr>
        <w:t>Q</w:t>
      </w:r>
      <w:r w:rsidRPr="00C84698">
        <w:rPr>
          <w:rFonts w:ascii="Times New Roman" w:hAnsi="Times New Roman" w:cs="Times New Roman"/>
        </w:rPr>
        <w:t xml:space="preserve"> refers to the number of seasonal moving average terms. The </w:t>
      </w:r>
      <w:r w:rsidRPr="00C84698">
        <w:rPr>
          <w:rFonts w:ascii="Times New Roman" w:hAnsi="Times New Roman" w:cs="Times New Roman"/>
          <w:i/>
          <w:iCs/>
        </w:rPr>
        <w:t>m</w:t>
      </w:r>
      <w:r w:rsidRPr="00C84698">
        <w:rPr>
          <w:rFonts w:ascii="Times New Roman" w:hAnsi="Times New Roman" w:cs="Times New Roman"/>
        </w:rPr>
        <w:t xml:space="preserve"> parameter defines the length of the seasonal cycle (e.g., 12 for monthly data with yearly seasonality). SARIMA models are particularly useful when a time series shows short-term dependencies and seasonal patterns, such as temperature, precipitation, or water use that fluctuates annually (</w:t>
      </w:r>
      <w:proofErr w:type="spellStart"/>
      <w:r w:rsidRPr="00C84698">
        <w:rPr>
          <w:rFonts w:ascii="Times New Roman" w:hAnsi="Times New Roman" w:cs="Times New Roman"/>
        </w:rPr>
        <w:t>Miauo</w:t>
      </w:r>
      <w:proofErr w:type="spellEnd"/>
      <w:r w:rsidRPr="00C84698">
        <w:rPr>
          <w:rFonts w:ascii="Times New Roman" w:hAnsi="Times New Roman" w:cs="Times New Roman"/>
        </w:rPr>
        <w:t>, 1990; Jones &amp; Hulme, 1996).</w:t>
      </w:r>
    </w:p>
    <w:p w14:paraId="324B49E3"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A SARIMA model can </w:t>
      </w:r>
      <w:proofErr w:type="spellStart"/>
      <w:r w:rsidRPr="00C84698">
        <w:rPr>
          <w:rFonts w:ascii="Times New Roman" w:hAnsi="Times New Roman" w:cs="Times New Roman"/>
        </w:rPr>
        <w:t>backcast</w:t>
      </w:r>
      <w:proofErr w:type="spellEnd"/>
      <w:r w:rsidRPr="00C84698">
        <w:rPr>
          <w:rFonts w:ascii="Times New Roman" w:hAnsi="Times New Roman" w:cs="Times New Roman"/>
        </w:rPr>
        <w:t xml:space="preserve"> missing historical values by leveraging past observations, trends, and seasonal fluctuations when applied to thermoelectric power plant withdrawal and consumption data. </w:t>
      </w:r>
      <w:proofErr w:type="spellStart"/>
      <w:r w:rsidRPr="00C84698">
        <w:rPr>
          <w:rFonts w:ascii="Times New Roman" w:hAnsi="Times New Roman" w:cs="Times New Roman"/>
        </w:rPr>
        <w:t>Backcasting</w:t>
      </w:r>
      <w:proofErr w:type="spellEnd"/>
      <w:r w:rsidRPr="00C84698">
        <w:rPr>
          <w:rFonts w:ascii="Times New Roman" w:hAnsi="Times New Roman" w:cs="Times New Roman"/>
        </w:rPr>
        <w:t xml:space="preserve"> in time series analysis uses a statistical or machine learning model to estimate past values of a dataset when historical data is missing or incomplete (</w:t>
      </w:r>
      <w:proofErr w:type="spellStart"/>
      <w:r w:rsidRPr="00C84698">
        <w:rPr>
          <w:rFonts w:ascii="Times New Roman" w:hAnsi="Times New Roman" w:cs="Times New Roman"/>
        </w:rPr>
        <w:t>Sibeijn</w:t>
      </w:r>
      <w:proofErr w:type="spellEnd"/>
      <w:r w:rsidRPr="00C84698">
        <w:rPr>
          <w:rFonts w:ascii="Times New Roman" w:hAnsi="Times New Roman" w:cs="Times New Roman"/>
        </w:rPr>
        <w:t xml:space="preserve"> &amp; </w:t>
      </w:r>
      <w:proofErr w:type="spellStart"/>
      <w:r w:rsidRPr="00C84698">
        <w:rPr>
          <w:rFonts w:ascii="Times New Roman" w:hAnsi="Times New Roman" w:cs="Times New Roman"/>
        </w:rPr>
        <w:t>Pequito</w:t>
      </w:r>
      <w:proofErr w:type="spellEnd"/>
      <w:r w:rsidRPr="00C84698">
        <w:rPr>
          <w:rFonts w:ascii="Times New Roman" w:hAnsi="Times New Roman" w:cs="Times New Roman"/>
        </w:rPr>
        <w:t>, 2022). It works similarly to forecasting but in reverse—instead of predicting future values, the model reconstructs past trends using known patterns, seasonality, and relationships in the existing data. This is particularly useful when older data is incomplete, as the model can estimate missing values based on known patterns in more recent data, improving the continuity and reliability of long-term water use records (</w:t>
      </w:r>
      <w:proofErr w:type="spellStart"/>
      <w:r w:rsidRPr="00C84698">
        <w:rPr>
          <w:rFonts w:ascii="Times New Roman" w:hAnsi="Times New Roman" w:cs="Times New Roman"/>
        </w:rPr>
        <w:t>Sibeijn</w:t>
      </w:r>
      <w:proofErr w:type="spellEnd"/>
      <w:r w:rsidRPr="00C84698">
        <w:rPr>
          <w:rFonts w:ascii="Times New Roman" w:hAnsi="Times New Roman" w:cs="Times New Roman"/>
        </w:rPr>
        <w:t xml:space="preserve"> &amp; </w:t>
      </w:r>
      <w:proofErr w:type="spellStart"/>
      <w:r w:rsidRPr="00C84698">
        <w:rPr>
          <w:rFonts w:ascii="Times New Roman" w:hAnsi="Times New Roman" w:cs="Times New Roman"/>
        </w:rPr>
        <w:t>Pequito</w:t>
      </w:r>
      <w:proofErr w:type="spellEnd"/>
      <w:r w:rsidRPr="00C84698">
        <w:rPr>
          <w:rFonts w:ascii="Times New Roman" w:hAnsi="Times New Roman" w:cs="Times New Roman"/>
        </w:rPr>
        <w:t>, 2022).</w:t>
      </w:r>
    </w:p>
    <w:p w14:paraId="64640F6C" w14:textId="77777777" w:rsidR="00C84698" w:rsidRDefault="00C84698" w:rsidP="00C84698">
      <w:pPr>
        <w:spacing w:after="0"/>
        <w:rPr>
          <w:rFonts w:ascii="Times New Roman" w:hAnsi="Times New Roman" w:cs="Times New Roman"/>
        </w:rPr>
      </w:pPr>
    </w:p>
    <w:p w14:paraId="0D5E47CF" w14:textId="5EAE6BA2"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It is important to acknowledge that time series models often face challenges due to the inherent noise, data quality, and complexity in real-world data (Kim et al., 2024; </w:t>
      </w:r>
      <w:proofErr w:type="spellStart"/>
      <w:r w:rsidRPr="00C84698">
        <w:rPr>
          <w:rFonts w:ascii="Times New Roman" w:hAnsi="Times New Roman" w:cs="Times New Roman"/>
        </w:rPr>
        <w:t>Tawakuli</w:t>
      </w:r>
      <w:proofErr w:type="spellEnd"/>
      <w:r w:rsidRPr="00C84698">
        <w:rPr>
          <w:rFonts w:ascii="Times New Roman" w:hAnsi="Times New Roman" w:cs="Times New Roman"/>
        </w:rPr>
        <w:t xml:space="preserve"> et al., 2024). High noise levels can obscure underlying trends and seasonal patterns, making identifying true signals within the data difficult. Complex data structures can lead to issues such as overfitting, where the model captures noise instead of meaningful patterns, resulting in poor predictive performance on new data (Kim et al., 2024). Additionally, the quality of the input data plays a critical role in model performance, as poor, unreliable data can lead to unreliable forecasts and misguided decision-making (</w:t>
      </w:r>
      <w:proofErr w:type="spellStart"/>
      <w:r w:rsidRPr="00C84698">
        <w:rPr>
          <w:rFonts w:ascii="Times New Roman" w:hAnsi="Times New Roman" w:cs="Times New Roman"/>
        </w:rPr>
        <w:t>Tawakuli</w:t>
      </w:r>
      <w:proofErr w:type="spellEnd"/>
      <w:r w:rsidRPr="00C84698">
        <w:rPr>
          <w:rFonts w:ascii="Times New Roman" w:hAnsi="Times New Roman" w:cs="Times New Roman"/>
        </w:rPr>
        <w:t xml:space="preserve"> et al., 2024). These factors contribute to the difficulty in achieving perfect forecasting results, as models may struggle to distinguish between genuine patterns and random fluctuations.</w:t>
      </w:r>
    </w:p>
    <w:p w14:paraId="2B604CB7" w14:textId="77777777" w:rsidR="00C84698" w:rsidRDefault="00C84698" w:rsidP="00C84698">
      <w:pPr>
        <w:spacing w:after="0"/>
        <w:rPr>
          <w:rFonts w:ascii="Times New Roman" w:hAnsi="Times New Roman" w:cs="Times New Roman"/>
        </w:rPr>
      </w:pPr>
    </w:p>
    <w:p w14:paraId="74F58878" w14:textId="2BEFD8E3"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In time series modeling, choosing the best model means balancing two key goals: how well the model fits the historical data and how accurately it can predict future values. A model that perfectly fits past data may not perform well on unseen data if it captures noise instead of real patterns. To help assess model performance, we use a mix of statistical and error-based metrics. The Akaike Information Criterion (AIC; Equation 3; Akaike, 1974) and Bayesian Information Criterion (BIC; Equation 4; Schwarz, 1978) evaluate how well a model fits the data while penalizing unnecessary complexity. Meanwhile, Mean Absolute Error (MAE; Equation 5) and Root Mean Square Error (RMSE; Equation 6) measure how far off predictions are from actual values. Using these metrics together gives a more complete picture of a model's accuracy and reliability in forecasting real-world data.</w:t>
      </w:r>
    </w:p>
    <w:p w14:paraId="4B2CF41C" w14:textId="77777777" w:rsidR="00C84698" w:rsidRDefault="00C84698" w:rsidP="00C84698">
      <w:pPr>
        <w:spacing w:after="0"/>
        <w:rPr>
          <w:rFonts w:ascii="Times New Roman" w:hAnsi="Times New Roman" w:cs="Times New Roman"/>
        </w:rPr>
      </w:pPr>
    </w:p>
    <w:p w14:paraId="0A814D3F" w14:textId="286BD090"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AIC is a model selection criterion that balances the model's goodness of fit and complexity (Equation 3; Akaike, 1974). A low AIC score indicates a better-fitting model but penalizes models with many parameters to dissuade overfitting. It is important to note that the absolute value of AIC scores is not directly interpreted; it is only the difference between AIC scores that matters. </w:t>
      </w:r>
    </w:p>
    <w:p w14:paraId="1D7D21B6" w14:textId="77777777" w:rsidR="00C84698" w:rsidRPr="00C84698" w:rsidRDefault="00C84698" w:rsidP="00C84698">
      <w:pPr>
        <w:spacing w:after="0"/>
        <w:rPr>
          <w:rFonts w:ascii="Times New Roman" w:hAnsi="Times New Roman" w:cs="Times New Roman"/>
        </w:rPr>
      </w:pPr>
    </w:p>
    <w:p w14:paraId="648302F4" w14:textId="016BA47D" w:rsidR="00C84698" w:rsidRPr="00C84698" w:rsidRDefault="00C84698" w:rsidP="00C84698">
      <w:pPr>
        <w:spacing w:after="0"/>
        <w:rPr>
          <w:rFonts w:ascii="Times New Roman" w:hAnsi="Times New Roman" w:cs="Times New Roman"/>
        </w:rPr>
      </w:pPr>
      <m:oMath>
        <m:r>
          <w:rPr>
            <w:rFonts w:ascii="Cambria Math" w:hAnsi="Cambria Math" w:cs="Times New Roman"/>
          </w:rPr>
          <m:t>AIC=2k-2</m:t>
        </m:r>
        <m:r>
          <m:rPr>
            <m:sty m:val="p"/>
          </m:rPr>
          <w:rPr>
            <w:rFonts w:ascii="Cambria Math" w:hAnsi="Cambria Math" w:cs="Times New Roman"/>
          </w:rPr>
          <m:t>ln⁡</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L</m:t>
            </m:r>
          </m:e>
        </m:acc>
        <m:r>
          <w:rPr>
            <w:rFonts w:ascii="Cambria Math" w:hAnsi="Cambria Math" w:cs="Times New Roman"/>
          </w:rPr>
          <m:t>)</m:t>
        </m:r>
      </m:oMath>
      <w:r w:rsidRPr="00C84698">
        <w:rPr>
          <w:rFonts w:ascii="Times New Roman" w:hAnsi="Times New Roman" w:cs="Times New Roman"/>
        </w:rPr>
        <w:tab/>
      </w:r>
      <w:r w:rsidRPr="00C84698">
        <w:rPr>
          <w:rFonts w:ascii="Times New Roman" w:hAnsi="Times New Roman" w:cs="Times New Roman"/>
        </w:rPr>
        <w:tab/>
      </w:r>
      <w:r w:rsidRPr="00C84698">
        <w:rPr>
          <w:rFonts w:ascii="Times New Roman" w:hAnsi="Times New Roman" w:cs="Times New Roman"/>
        </w:rPr>
        <w:tab/>
        <w:t>(Equation 3)</w:t>
      </w:r>
    </w:p>
    <w:p w14:paraId="1115418E" w14:textId="77777777" w:rsidR="00C84698" w:rsidRPr="00C84698" w:rsidRDefault="00C84698" w:rsidP="00C84698">
      <w:pPr>
        <w:spacing w:after="0"/>
        <w:rPr>
          <w:rFonts w:ascii="Times New Roman" w:hAnsi="Times New Roman" w:cs="Times New Roman"/>
        </w:rPr>
      </w:pPr>
    </w:p>
    <w:p w14:paraId="7780A22D" w14:textId="1265C60E"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Here, </w:t>
      </w:r>
      <w:r w:rsidRPr="00C84698">
        <w:rPr>
          <w:rFonts w:ascii="Times New Roman" w:hAnsi="Times New Roman" w:cs="Times New Roman"/>
          <w:i/>
          <w:iCs/>
        </w:rPr>
        <w:t>k</w:t>
      </w:r>
      <w:r w:rsidRPr="00C84698">
        <w:rPr>
          <w:rFonts w:ascii="Times New Roman" w:hAnsi="Times New Roman" w:cs="Times New Roman"/>
        </w:rPr>
        <w:t xml:space="preserve"> is the number of estimated parameters in the model and </w:t>
      </w:r>
      <m:oMath>
        <m:acc>
          <m:accPr>
            <m:ctrlPr>
              <w:rPr>
                <w:rFonts w:ascii="Cambria Math" w:hAnsi="Cambria Math" w:cs="Times New Roman"/>
                <w:i/>
              </w:rPr>
            </m:ctrlPr>
          </m:accPr>
          <m:e>
            <m:r>
              <w:rPr>
                <w:rFonts w:ascii="Cambria Math" w:hAnsi="Cambria Math" w:cs="Times New Roman"/>
              </w:rPr>
              <m:t>L</m:t>
            </m:r>
          </m:e>
        </m:acc>
      </m:oMath>
      <w:r w:rsidRPr="00C84698">
        <w:rPr>
          <w:rFonts w:ascii="Times New Roman" w:hAnsi="Times New Roman" w:cs="Times New Roman"/>
        </w:rPr>
        <w:t xml:space="preserve"> is the maximum value of the model’s likelihood function. BIC similarly balances model fit and complexity but instead penalizes model complexity more strongly as the sample size increases (Equation 4; Schwarz, 1978). Just like AIC, BIC tends to favor simpler models.  </w:t>
      </w:r>
    </w:p>
    <w:p w14:paraId="1CDA7E07" w14:textId="68407C9F" w:rsidR="00C84698" w:rsidRPr="00C84698" w:rsidRDefault="00C84698" w:rsidP="00C84698">
      <w:pPr>
        <w:spacing w:after="0"/>
        <w:rPr>
          <w:rFonts w:ascii="Times New Roman" w:hAnsi="Times New Roman" w:cs="Times New Roman"/>
        </w:rPr>
      </w:pPr>
      <m:oMath>
        <m:r>
          <w:rPr>
            <w:rFonts w:ascii="Cambria Math" w:hAnsi="Cambria Math" w:cs="Times New Roman"/>
          </w:rPr>
          <m:t>BIC=Kln</m:t>
        </m:r>
        <m:d>
          <m:dPr>
            <m:ctrlPr>
              <w:rPr>
                <w:rFonts w:ascii="Cambria Math" w:hAnsi="Cambria Math" w:cs="Times New Roman"/>
                <w:i/>
              </w:rPr>
            </m:ctrlPr>
          </m:dPr>
          <m:e>
            <m:r>
              <w:rPr>
                <w:rFonts w:ascii="Cambria Math" w:hAnsi="Cambria Math" w:cs="Times New Roman"/>
              </w:rPr>
              <m:t>n</m:t>
            </m:r>
          </m:e>
        </m:d>
        <m:r>
          <w:rPr>
            <w:rFonts w:ascii="Cambria Math" w:hAnsi="Cambria Math" w:cs="Times New Roman"/>
          </w:rPr>
          <m:t>-2</m:t>
        </m:r>
        <m:r>
          <m:rPr>
            <m:sty m:val="p"/>
          </m:rPr>
          <w:rPr>
            <w:rFonts w:ascii="Cambria Math" w:hAnsi="Cambria Math" w:cs="Times New Roman"/>
          </w:rPr>
          <m:t>ln⁡</m:t>
        </m:r>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L</m:t>
            </m:r>
          </m:e>
        </m:acc>
        <m:r>
          <w:rPr>
            <w:rFonts w:ascii="Cambria Math" w:hAnsi="Cambria Math" w:cs="Times New Roman"/>
          </w:rPr>
          <m:t>)</m:t>
        </m:r>
      </m:oMath>
      <w:r w:rsidRPr="00C84698">
        <w:rPr>
          <w:rFonts w:ascii="Times New Roman" w:hAnsi="Times New Roman" w:cs="Times New Roman"/>
        </w:rPr>
        <w:tab/>
      </w:r>
      <w:r w:rsidRPr="00C84698">
        <w:rPr>
          <w:rFonts w:ascii="Times New Roman" w:hAnsi="Times New Roman" w:cs="Times New Roman"/>
        </w:rPr>
        <w:tab/>
      </w:r>
      <w:r w:rsidRPr="00C84698">
        <w:rPr>
          <w:rFonts w:ascii="Times New Roman" w:hAnsi="Times New Roman" w:cs="Times New Roman"/>
        </w:rPr>
        <w:tab/>
        <w:t>(Equation 4)</w:t>
      </w:r>
    </w:p>
    <w:p w14:paraId="052198C1" w14:textId="77777777" w:rsidR="00C84698" w:rsidRPr="00C84698" w:rsidRDefault="00C84698" w:rsidP="00C84698">
      <w:pPr>
        <w:spacing w:after="0"/>
        <w:rPr>
          <w:rFonts w:ascii="Times New Roman" w:hAnsi="Times New Roman" w:cs="Times New Roman"/>
        </w:rPr>
      </w:pPr>
    </w:p>
    <w:p w14:paraId="74EDDF27" w14:textId="64604E75"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For BIC, </w:t>
      </w:r>
      <w:r w:rsidRPr="00C84698">
        <w:rPr>
          <w:rFonts w:ascii="Times New Roman" w:hAnsi="Times New Roman" w:cs="Times New Roman"/>
          <w:i/>
          <w:iCs/>
        </w:rPr>
        <w:t xml:space="preserve">k </w:t>
      </w:r>
      <w:r w:rsidRPr="00C84698">
        <w:rPr>
          <w:rFonts w:ascii="Times New Roman" w:hAnsi="Times New Roman" w:cs="Times New Roman"/>
        </w:rPr>
        <w:t xml:space="preserve">remains as the number of estimated parameters alongside </w:t>
      </w:r>
      <m:oMath>
        <m:acc>
          <m:accPr>
            <m:ctrlPr>
              <w:rPr>
                <w:rFonts w:ascii="Cambria Math" w:hAnsi="Cambria Math" w:cs="Times New Roman"/>
                <w:i/>
              </w:rPr>
            </m:ctrlPr>
          </m:accPr>
          <m:e>
            <m:r>
              <w:rPr>
                <w:rFonts w:ascii="Cambria Math" w:hAnsi="Cambria Math" w:cs="Times New Roman"/>
              </w:rPr>
              <m:t>L</m:t>
            </m:r>
          </m:e>
        </m:acc>
      </m:oMath>
      <w:r w:rsidRPr="00C84698">
        <w:rPr>
          <w:rFonts w:ascii="Times New Roman" w:hAnsi="Times New Roman" w:cs="Times New Roman"/>
        </w:rPr>
        <w:t xml:space="preserve"> being the maximum value of the model’s likelihood function. The added </w:t>
      </w:r>
      <w:r w:rsidRPr="00C84698">
        <w:rPr>
          <w:rFonts w:ascii="Times New Roman" w:hAnsi="Times New Roman" w:cs="Times New Roman"/>
          <w:i/>
          <w:iCs/>
        </w:rPr>
        <w:t>n</w:t>
      </w:r>
      <w:r w:rsidRPr="00C84698">
        <w:rPr>
          <w:rFonts w:ascii="Times New Roman" w:hAnsi="Times New Roman" w:cs="Times New Roman"/>
        </w:rPr>
        <w:t xml:space="preserve"> represents the number of observations used in the model. For model error verification, we first used MAE because it is good at interpreting forecasting errors of time series models. MAE measures the average magnitude of errors in a set of predictors without considering whether they are negative or positive (Equation 5). This model's average error size is a million gallons per day units.   </w:t>
      </w:r>
    </w:p>
    <w:p w14:paraId="6496E077" w14:textId="77777777" w:rsidR="00C84698" w:rsidRPr="00C84698" w:rsidRDefault="00C84698" w:rsidP="00C84698">
      <w:pPr>
        <w:spacing w:after="0"/>
        <w:rPr>
          <w:rFonts w:ascii="Times New Roman" w:hAnsi="Times New Roman" w:cs="Times New Roman"/>
        </w:rPr>
      </w:pPr>
    </w:p>
    <w:p w14:paraId="0B2E1478" w14:textId="1167CD3F" w:rsidR="00C84698" w:rsidRPr="00C84698" w:rsidRDefault="00C84698" w:rsidP="00C84698">
      <w:pPr>
        <w:spacing w:after="0"/>
        <w:rPr>
          <w:rFonts w:ascii="Times New Roman" w:hAnsi="Times New Roman" w:cs="Times New Roman"/>
        </w:rPr>
      </w:pPr>
      <m:oMath>
        <m:r>
          <w:rPr>
            <w:rFonts w:ascii="Cambria Math" w:hAnsi="Cambria Math" w:cs="Times New Roman"/>
          </w:rPr>
          <m:t xml:space="preserve">MAE=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m:t>
                </m:r>
              </m:sub>
            </m:sSub>
            <m:r>
              <w:rPr>
                <w:rFonts w:ascii="Cambria Math" w:hAnsi="Cambria Math" w:cs="Times New Roman"/>
              </w:rPr>
              <m:t>|</m:t>
            </m:r>
          </m:e>
        </m:nary>
      </m:oMath>
      <w:r w:rsidRPr="00C84698">
        <w:rPr>
          <w:rFonts w:ascii="Times New Roman" w:hAnsi="Times New Roman" w:cs="Times New Roman"/>
        </w:rPr>
        <w:tab/>
      </w:r>
      <w:r w:rsidRPr="00C84698">
        <w:rPr>
          <w:rFonts w:ascii="Times New Roman" w:hAnsi="Times New Roman" w:cs="Times New Roman"/>
        </w:rPr>
        <w:tab/>
      </w:r>
      <w:r w:rsidRPr="00C84698">
        <w:rPr>
          <w:rFonts w:ascii="Times New Roman" w:hAnsi="Times New Roman" w:cs="Times New Roman"/>
        </w:rPr>
        <w:tab/>
        <w:t>(Equation 5)</w:t>
      </w:r>
    </w:p>
    <w:p w14:paraId="01D3EDE7" w14:textId="77777777" w:rsidR="00C84698" w:rsidRPr="00C84698" w:rsidRDefault="00C84698" w:rsidP="00C84698">
      <w:pPr>
        <w:spacing w:after="0"/>
        <w:rPr>
          <w:rFonts w:ascii="Times New Roman" w:hAnsi="Times New Roman" w:cs="Times New Roman"/>
        </w:rPr>
      </w:pPr>
    </w:p>
    <w:p w14:paraId="3A5A7423" w14:textId="601854BB"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oMath>
      <w:r w:rsidRPr="00C84698">
        <w:rPr>
          <w:rFonts w:ascii="Times New Roman" w:hAnsi="Times New Roman" w:cs="Times New Roman"/>
        </w:rPr>
        <w:t xml:space="preserve"> represents the actual values, </w:t>
      </w:r>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m:t>
            </m:r>
          </m:sub>
        </m:sSub>
      </m:oMath>
      <w:r w:rsidRPr="00C84698">
        <w:rPr>
          <w:rFonts w:ascii="Times New Roman" w:hAnsi="Times New Roman" w:cs="Times New Roman"/>
        </w:rPr>
        <w:t xml:space="preserve"> the predicted values, and </w:t>
      </w:r>
      <w:r w:rsidRPr="00C84698">
        <w:rPr>
          <w:rFonts w:ascii="Times New Roman" w:hAnsi="Times New Roman" w:cs="Times New Roman"/>
          <w:i/>
          <w:iCs/>
        </w:rPr>
        <w:t>n</w:t>
      </w:r>
      <w:r w:rsidRPr="00C84698">
        <w:rPr>
          <w:rFonts w:ascii="Times New Roman" w:hAnsi="Times New Roman" w:cs="Times New Roman"/>
        </w:rPr>
        <w:t xml:space="preserve"> being the number of predictions. RMSE is the square root of the average squared error (Equation 6). RMSE is a similar error metric to MAE but penalizes larger errors more harshly than MAE due to its squaring, however, it is more sensitive to value inflation to outliers. RMSE also uses the same parameters as MAE (Equation 5).</w:t>
      </w:r>
    </w:p>
    <w:p w14:paraId="3B26258E" w14:textId="77777777" w:rsidR="00C84698" w:rsidRPr="00C84698" w:rsidRDefault="00C84698" w:rsidP="00C84698">
      <w:pPr>
        <w:spacing w:after="0"/>
        <w:rPr>
          <w:rFonts w:ascii="Times New Roman" w:hAnsi="Times New Roman" w:cs="Times New Roman"/>
        </w:rPr>
      </w:pPr>
    </w:p>
    <w:p w14:paraId="417B83F7" w14:textId="720604E5" w:rsidR="00C84698" w:rsidRPr="00C84698" w:rsidRDefault="00C84698" w:rsidP="00C84698">
      <w:pPr>
        <w:spacing w:after="0"/>
        <w:rPr>
          <w:rFonts w:ascii="Times New Roman" w:hAnsi="Times New Roman" w:cs="Times New Roman"/>
        </w:rPr>
      </w:pPr>
      <m:oMath>
        <m:r>
          <w:rPr>
            <w:rFonts w:ascii="Cambria Math" w:hAnsi="Cambria Math" w:cs="Times New Roman"/>
          </w:rPr>
          <m:t xml:space="preserve">RMSE= </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i</m:t>
                        </m:r>
                      </m:sub>
                    </m:sSub>
                    <m:r>
                      <w:rPr>
                        <w:rFonts w:ascii="Cambria Math" w:hAnsi="Cambria Math" w:cs="Times New Roman"/>
                      </w:rPr>
                      <m:t>)</m:t>
                    </m:r>
                  </m:e>
                  <m:sup>
                    <m:r>
                      <w:rPr>
                        <w:rFonts w:ascii="Cambria Math" w:hAnsi="Cambria Math" w:cs="Times New Roman"/>
                      </w:rPr>
                      <m:t>2</m:t>
                    </m:r>
                  </m:sup>
                </m:sSup>
              </m:e>
            </m:nary>
          </m:e>
        </m:rad>
      </m:oMath>
      <w:r w:rsidRPr="00C84698">
        <w:rPr>
          <w:rFonts w:ascii="Times New Roman" w:hAnsi="Times New Roman" w:cs="Times New Roman"/>
        </w:rPr>
        <w:tab/>
      </w:r>
      <w:r w:rsidRPr="00C84698">
        <w:rPr>
          <w:rFonts w:ascii="Times New Roman" w:hAnsi="Times New Roman" w:cs="Times New Roman"/>
        </w:rPr>
        <w:tab/>
      </w:r>
      <w:r w:rsidRPr="00C84698">
        <w:rPr>
          <w:rFonts w:ascii="Times New Roman" w:hAnsi="Times New Roman" w:cs="Times New Roman"/>
        </w:rPr>
        <w:tab/>
      </w:r>
      <w:r w:rsidRPr="00C84698">
        <w:rPr>
          <w:rFonts w:ascii="Times New Roman" w:hAnsi="Times New Roman" w:cs="Times New Roman"/>
        </w:rPr>
        <w:tab/>
        <w:t>(Equation 6)</w:t>
      </w:r>
    </w:p>
    <w:p w14:paraId="3A826A3B" w14:textId="77777777" w:rsidR="00C84698" w:rsidRPr="00C84698" w:rsidRDefault="00C84698" w:rsidP="00C84698">
      <w:pPr>
        <w:spacing w:after="0"/>
        <w:rPr>
          <w:rFonts w:ascii="Times New Roman" w:hAnsi="Times New Roman" w:cs="Times New Roman"/>
        </w:rPr>
      </w:pPr>
    </w:p>
    <w:p w14:paraId="3832288F" w14:textId="4FADE02A"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To fill missing monthly water consumption data (units of million gallons per day – </w:t>
      </w:r>
      <w:proofErr w:type="spellStart"/>
      <w:r w:rsidRPr="00C84698">
        <w:rPr>
          <w:rFonts w:ascii="Times New Roman" w:hAnsi="Times New Roman" w:cs="Times New Roman"/>
        </w:rPr>
        <w:t>Mgal</w:t>
      </w:r>
      <w:proofErr w:type="spellEnd"/>
      <w:r w:rsidRPr="00C84698">
        <w:rPr>
          <w:rFonts w:ascii="Times New Roman" w:hAnsi="Times New Roman" w:cs="Times New Roman"/>
        </w:rPr>
        <w:t>/day) for 2000–2007, individual SARIMA models were trained on observed monthly values from 2008–2020 for each HUC12 sub-watershed (Galanter et al., 2023). The goal was not to generate high-precision forecasts but to approximate plausible monthly values consistent with recent historical trends. Each model was fit individually per HUC12 and selected based on its ability to capture seasonal structure and minimize residual autocorrelation, heteroskedasticity, and extreme non-normality. Model diagnostics (shown in Figure S</w:t>
      </w:r>
      <w:r>
        <w:rPr>
          <w:rFonts w:ascii="Times New Roman" w:hAnsi="Times New Roman" w:cs="Times New Roman"/>
        </w:rPr>
        <w:t>3</w:t>
      </w:r>
      <w:r w:rsidRPr="00C84698">
        <w:rPr>
          <w:rFonts w:ascii="Times New Roman" w:hAnsi="Times New Roman" w:cs="Times New Roman"/>
        </w:rPr>
        <w:t>-S</w:t>
      </w:r>
      <w:r>
        <w:rPr>
          <w:rFonts w:ascii="Times New Roman" w:hAnsi="Times New Roman" w:cs="Times New Roman"/>
        </w:rPr>
        <w:t>10</w:t>
      </w:r>
      <w:r w:rsidRPr="00C84698">
        <w:rPr>
          <w:rFonts w:ascii="Times New Roman" w:hAnsi="Times New Roman" w:cs="Times New Roman"/>
        </w:rPr>
        <w:t xml:space="preserve">), including Ljung-Box tests (Ljung &amp; </w:t>
      </w:r>
      <w:r w:rsidRPr="00C84698">
        <w:rPr>
          <w:rFonts w:ascii="Times New Roman" w:hAnsi="Times New Roman" w:cs="Times New Roman"/>
        </w:rPr>
        <w:lastRenderedPageBreak/>
        <w:t xml:space="preserve">Box, 1978), Jarque-Bera normality checks (Jarque &amp; Bera, 1980), and heteroskedasticity tests (Breusch &amp; Pagan, 1979), confirmed that most models had white noise residuals with stable variance and moderate deviations from normality which are acceptable given the approximate nature of the </w:t>
      </w:r>
      <w:proofErr w:type="spellStart"/>
      <w:r w:rsidRPr="00C84698">
        <w:rPr>
          <w:rFonts w:ascii="Times New Roman" w:hAnsi="Times New Roman" w:cs="Times New Roman"/>
        </w:rPr>
        <w:t>backcasting</w:t>
      </w:r>
      <w:proofErr w:type="spellEnd"/>
      <w:r w:rsidRPr="00C84698">
        <w:rPr>
          <w:rFonts w:ascii="Times New Roman" w:hAnsi="Times New Roman" w:cs="Times New Roman"/>
        </w:rPr>
        <w:t xml:space="preserve"> task (</w:t>
      </w:r>
      <w:proofErr w:type="spellStart"/>
      <w:r w:rsidRPr="00C84698">
        <w:rPr>
          <w:rFonts w:ascii="Times New Roman" w:hAnsi="Times New Roman" w:cs="Times New Roman"/>
        </w:rPr>
        <w:t>Sibeijn</w:t>
      </w:r>
      <w:proofErr w:type="spellEnd"/>
      <w:r w:rsidRPr="00C84698">
        <w:rPr>
          <w:rFonts w:ascii="Times New Roman" w:hAnsi="Times New Roman" w:cs="Times New Roman"/>
        </w:rPr>
        <w:t xml:space="preserve"> &amp; </w:t>
      </w:r>
      <w:proofErr w:type="spellStart"/>
      <w:r w:rsidRPr="00C84698">
        <w:rPr>
          <w:rFonts w:ascii="Times New Roman" w:hAnsi="Times New Roman" w:cs="Times New Roman"/>
        </w:rPr>
        <w:t>Pequito</w:t>
      </w:r>
      <w:proofErr w:type="spellEnd"/>
      <w:r w:rsidRPr="00C84698">
        <w:rPr>
          <w:rFonts w:ascii="Times New Roman" w:hAnsi="Times New Roman" w:cs="Times New Roman"/>
        </w:rPr>
        <w:t>, 2022). Verification was performed using standard error metrics: MAE and RMSE. These were computed by comparing model predictions against actual observed values from 2008 to 2020 (the in-sample period). The MAE and RMSE values ranged from 0.11 to 2.51 and 0.15 to 4.78, respectively (Table S</w:t>
      </w:r>
      <w:r>
        <w:rPr>
          <w:rFonts w:ascii="Times New Roman" w:hAnsi="Times New Roman" w:cs="Times New Roman"/>
        </w:rPr>
        <w:t>I-3</w:t>
      </w:r>
      <w:r w:rsidRPr="00C84698">
        <w:rPr>
          <w:rFonts w:ascii="Times New Roman" w:hAnsi="Times New Roman" w:cs="Times New Roman"/>
        </w:rPr>
        <w:t xml:space="preserve">), indicating that the models generally performed well for approximating monthly water consumption values at the sub-watershed level. While error levels varied depending on the water use patterns and variability within each HUC12, the models provided reliable estimates suitable for </w:t>
      </w:r>
      <w:proofErr w:type="spellStart"/>
      <w:r w:rsidRPr="00C84698">
        <w:rPr>
          <w:rFonts w:ascii="Times New Roman" w:hAnsi="Times New Roman" w:cs="Times New Roman"/>
        </w:rPr>
        <w:t>backcasting</w:t>
      </w:r>
      <w:proofErr w:type="spellEnd"/>
      <w:r w:rsidRPr="00C84698">
        <w:rPr>
          <w:rFonts w:ascii="Times New Roman" w:hAnsi="Times New Roman" w:cs="Times New Roman"/>
        </w:rPr>
        <w:t>.</w:t>
      </w:r>
    </w:p>
    <w:p w14:paraId="774AC898" w14:textId="77777777" w:rsidR="00C84698" w:rsidRPr="00C84698" w:rsidRDefault="00C84698" w:rsidP="00C84698">
      <w:pPr>
        <w:spacing w:after="0"/>
        <w:rPr>
          <w:rFonts w:ascii="Times New Roman" w:hAnsi="Times New Roman" w:cs="Times New Roman"/>
        </w:rPr>
      </w:pPr>
    </w:p>
    <w:p w14:paraId="0AFE5679" w14:textId="2D82D885" w:rsidR="00C84698" w:rsidRPr="00C84698" w:rsidRDefault="00C84698" w:rsidP="00C84698">
      <w:pPr>
        <w:spacing w:after="0"/>
        <w:rPr>
          <w:rFonts w:ascii="Times New Roman" w:hAnsi="Times New Roman" w:cs="Times New Roman"/>
          <w:i/>
          <w:iCs/>
        </w:rPr>
      </w:pPr>
      <w:r w:rsidRPr="00C84698">
        <w:rPr>
          <w:rFonts w:ascii="Times New Roman" w:hAnsi="Times New Roman" w:cs="Times New Roman"/>
          <w:i/>
          <w:iCs/>
        </w:rPr>
        <w:t>Table SI-3. Summary of SARIMA model configurations, evaluation statistics, and data coverage for each Rio Grande HUC-12 sub-watershed containing a reported U.S. thermoelectric power plant. The HUC-12 130700071102 (Permian Basin power plant) includes only 36 monthly observations from 2008 to 2010, as the facility ceased operation in 2011. The final row corresponds to Laredo power station in HUC-12 130800022802, which was operational only in 2008, based on reported Energy Information Administration (EIA) records and the USGS dataset (Galanter et al., 2023;EIA, 2025).</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974"/>
        <w:gridCol w:w="1916"/>
        <w:gridCol w:w="781"/>
        <w:gridCol w:w="774"/>
        <w:gridCol w:w="776"/>
        <w:gridCol w:w="910"/>
        <w:gridCol w:w="1573"/>
      </w:tblGrid>
      <w:tr w:rsidR="00C84698" w:rsidRPr="00C84698" w14:paraId="603DE219" w14:textId="77777777" w:rsidTr="0077351B">
        <w:tc>
          <w:tcPr>
            <w:tcW w:w="1539" w:type="dxa"/>
            <w:tcBorders>
              <w:top w:val="single" w:sz="18" w:space="0" w:color="auto"/>
              <w:bottom w:val="single" w:sz="18" w:space="0" w:color="auto"/>
            </w:tcBorders>
            <w:vAlign w:val="center"/>
          </w:tcPr>
          <w:p w14:paraId="5A481EF8"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HUC12</w:t>
            </w:r>
          </w:p>
        </w:tc>
        <w:tc>
          <w:tcPr>
            <w:tcW w:w="1117" w:type="dxa"/>
            <w:tcBorders>
              <w:top w:val="single" w:sz="18" w:space="0" w:color="auto"/>
              <w:bottom w:val="single" w:sz="18" w:space="0" w:color="auto"/>
            </w:tcBorders>
          </w:tcPr>
          <w:p w14:paraId="1BD90715"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Data count (n)</w:t>
            </w:r>
          </w:p>
        </w:tc>
        <w:tc>
          <w:tcPr>
            <w:tcW w:w="1832" w:type="dxa"/>
            <w:tcBorders>
              <w:top w:val="single" w:sz="18" w:space="0" w:color="auto"/>
              <w:bottom w:val="single" w:sz="18" w:space="0" w:color="auto"/>
            </w:tcBorders>
            <w:vAlign w:val="center"/>
          </w:tcPr>
          <w:p w14:paraId="6FF17530"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SARIMA Model</w:t>
            </w:r>
          </w:p>
        </w:tc>
        <w:tc>
          <w:tcPr>
            <w:tcW w:w="800" w:type="dxa"/>
            <w:tcBorders>
              <w:top w:val="single" w:sz="18" w:space="0" w:color="auto"/>
              <w:bottom w:val="single" w:sz="18" w:space="0" w:color="auto"/>
            </w:tcBorders>
            <w:vAlign w:val="center"/>
          </w:tcPr>
          <w:p w14:paraId="1D2993FF"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AIC</w:t>
            </w:r>
          </w:p>
        </w:tc>
        <w:tc>
          <w:tcPr>
            <w:tcW w:w="787" w:type="dxa"/>
            <w:tcBorders>
              <w:top w:val="single" w:sz="18" w:space="0" w:color="auto"/>
              <w:bottom w:val="single" w:sz="18" w:space="0" w:color="auto"/>
            </w:tcBorders>
            <w:vAlign w:val="center"/>
          </w:tcPr>
          <w:p w14:paraId="5F1F6425"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BIC</w:t>
            </w:r>
          </w:p>
        </w:tc>
        <w:tc>
          <w:tcPr>
            <w:tcW w:w="717" w:type="dxa"/>
            <w:tcBorders>
              <w:top w:val="single" w:sz="18" w:space="0" w:color="auto"/>
              <w:bottom w:val="single" w:sz="18" w:space="0" w:color="auto"/>
            </w:tcBorders>
            <w:vAlign w:val="center"/>
          </w:tcPr>
          <w:p w14:paraId="5251B65C"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MAE</w:t>
            </w:r>
          </w:p>
        </w:tc>
        <w:tc>
          <w:tcPr>
            <w:tcW w:w="843" w:type="dxa"/>
            <w:tcBorders>
              <w:top w:val="single" w:sz="18" w:space="0" w:color="auto"/>
              <w:bottom w:val="single" w:sz="18" w:space="0" w:color="auto"/>
            </w:tcBorders>
            <w:vAlign w:val="center"/>
          </w:tcPr>
          <w:p w14:paraId="23CDB5E0"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RMSE</w:t>
            </w:r>
          </w:p>
        </w:tc>
        <w:tc>
          <w:tcPr>
            <w:tcW w:w="1725" w:type="dxa"/>
            <w:tcBorders>
              <w:top w:val="single" w:sz="18" w:space="0" w:color="auto"/>
              <w:bottom w:val="single" w:sz="18" w:space="0" w:color="auto"/>
            </w:tcBorders>
            <w:vAlign w:val="center"/>
          </w:tcPr>
          <w:p w14:paraId="25C70CAC"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Notes</w:t>
            </w:r>
          </w:p>
        </w:tc>
      </w:tr>
      <w:tr w:rsidR="00C84698" w:rsidRPr="00C84698" w14:paraId="0B241A2F" w14:textId="77777777" w:rsidTr="0077351B">
        <w:tc>
          <w:tcPr>
            <w:tcW w:w="1539" w:type="dxa"/>
            <w:tcBorders>
              <w:top w:val="single" w:sz="18" w:space="0" w:color="auto"/>
            </w:tcBorders>
            <w:vAlign w:val="center"/>
          </w:tcPr>
          <w:p w14:paraId="4117BB1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130202030302</w:t>
            </w:r>
          </w:p>
        </w:tc>
        <w:tc>
          <w:tcPr>
            <w:tcW w:w="1117" w:type="dxa"/>
            <w:tcBorders>
              <w:top w:val="single" w:sz="18" w:space="0" w:color="auto"/>
            </w:tcBorders>
            <w:vAlign w:val="center"/>
          </w:tcPr>
          <w:p w14:paraId="46712B4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156</w:t>
            </w:r>
          </w:p>
        </w:tc>
        <w:tc>
          <w:tcPr>
            <w:tcW w:w="1832" w:type="dxa"/>
            <w:tcBorders>
              <w:top w:val="single" w:sz="18" w:space="0" w:color="auto"/>
            </w:tcBorders>
            <w:vAlign w:val="center"/>
          </w:tcPr>
          <w:p w14:paraId="7E975A4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(1,0,0)x(2,1,0,12)</w:t>
            </w:r>
          </w:p>
        </w:tc>
        <w:tc>
          <w:tcPr>
            <w:tcW w:w="800" w:type="dxa"/>
            <w:tcBorders>
              <w:top w:val="single" w:sz="18" w:space="0" w:color="auto"/>
            </w:tcBorders>
            <w:vAlign w:val="center"/>
          </w:tcPr>
          <w:p w14:paraId="0F6E405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-111.4</w:t>
            </w:r>
          </w:p>
        </w:tc>
        <w:tc>
          <w:tcPr>
            <w:tcW w:w="787" w:type="dxa"/>
            <w:tcBorders>
              <w:top w:val="single" w:sz="18" w:space="0" w:color="auto"/>
            </w:tcBorders>
            <w:vAlign w:val="center"/>
          </w:tcPr>
          <w:p w14:paraId="13A608A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-100.3</w:t>
            </w:r>
          </w:p>
        </w:tc>
        <w:tc>
          <w:tcPr>
            <w:tcW w:w="717" w:type="dxa"/>
            <w:tcBorders>
              <w:top w:val="single" w:sz="18" w:space="0" w:color="auto"/>
            </w:tcBorders>
            <w:vAlign w:val="center"/>
          </w:tcPr>
          <w:p w14:paraId="63A7462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0.17</w:t>
            </w:r>
          </w:p>
        </w:tc>
        <w:tc>
          <w:tcPr>
            <w:tcW w:w="843" w:type="dxa"/>
            <w:tcBorders>
              <w:top w:val="single" w:sz="18" w:space="0" w:color="auto"/>
            </w:tcBorders>
            <w:vAlign w:val="center"/>
          </w:tcPr>
          <w:p w14:paraId="233B7C0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0.28</w:t>
            </w:r>
          </w:p>
        </w:tc>
        <w:tc>
          <w:tcPr>
            <w:tcW w:w="1725" w:type="dxa"/>
            <w:tcBorders>
              <w:top w:val="single" w:sz="18" w:space="0" w:color="auto"/>
            </w:tcBorders>
            <w:vAlign w:val="center"/>
          </w:tcPr>
          <w:p w14:paraId="3C119F9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Log transformed</w:t>
            </w:r>
          </w:p>
        </w:tc>
      </w:tr>
      <w:tr w:rsidR="00C84698" w:rsidRPr="00C84698" w14:paraId="1F44A765" w14:textId="77777777" w:rsidTr="0077351B">
        <w:tc>
          <w:tcPr>
            <w:tcW w:w="1539" w:type="dxa"/>
            <w:vAlign w:val="center"/>
          </w:tcPr>
          <w:p w14:paraId="030D24A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130202070105</w:t>
            </w:r>
          </w:p>
        </w:tc>
        <w:tc>
          <w:tcPr>
            <w:tcW w:w="1117" w:type="dxa"/>
            <w:vAlign w:val="center"/>
          </w:tcPr>
          <w:p w14:paraId="2A43577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156</w:t>
            </w:r>
          </w:p>
        </w:tc>
        <w:tc>
          <w:tcPr>
            <w:tcW w:w="1832" w:type="dxa"/>
            <w:vAlign w:val="center"/>
          </w:tcPr>
          <w:p w14:paraId="747EFFF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(1,0,0)x(0,1,1,12)</w:t>
            </w:r>
          </w:p>
        </w:tc>
        <w:tc>
          <w:tcPr>
            <w:tcW w:w="800" w:type="dxa"/>
            <w:vAlign w:val="center"/>
          </w:tcPr>
          <w:p w14:paraId="472E9D1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193.7</w:t>
            </w:r>
          </w:p>
        </w:tc>
        <w:tc>
          <w:tcPr>
            <w:tcW w:w="787" w:type="dxa"/>
            <w:vAlign w:val="center"/>
          </w:tcPr>
          <w:p w14:paraId="624E617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205.2</w:t>
            </w:r>
          </w:p>
        </w:tc>
        <w:tc>
          <w:tcPr>
            <w:tcW w:w="717" w:type="dxa"/>
            <w:vAlign w:val="center"/>
          </w:tcPr>
          <w:p w14:paraId="73FCE1D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2.51</w:t>
            </w:r>
          </w:p>
        </w:tc>
        <w:tc>
          <w:tcPr>
            <w:tcW w:w="843" w:type="dxa"/>
            <w:vAlign w:val="center"/>
          </w:tcPr>
          <w:p w14:paraId="47712BB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4.78</w:t>
            </w:r>
          </w:p>
        </w:tc>
        <w:tc>
          <w:tcPr>
            <w:tcW w:w="1725" w:type="dxa"/>
            <w:vAlign w:val="center"/>
          </w:tcPr>
          <w:p w14:paraId="5BA68B8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Log transformed</w:t>
            </w:r>
          </w:p>
        </w:tc>
      </w:tr>
      <w:tr w:rsidR="00C84698" w:rsidRPr="00C84698" w14:paraId="7C8FED04" w14:textId="77777777" w:rsidTr="0077351B">
        <w:tc>
          <w:tcPr>
            <w:tcW w:w="1539" w:type="dxa"/>
            <w:vAlign w:val="center"/>
          </w:tcPr>
          <w:p w14:paraId="27D69B3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130301020903</w:t>
            </w:r>
          </w:p>
        </w:tc>
        <w:tc>
          <w:tcPr>
            <w:tcW w:w="1117" w:type="dxa"/>
            <w:vAlign w:val="center"/>
          </w:tcPr>
          <w:p w14:paraId="6F0E734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156</w:t>
            </w:r>
          </w:p>
        </w:tc>
        <w:tc>
          <w:tcPr>
            <w:tcW w:w="1832" w:type="dxa"/>
            <w:vAlign w:val="center"/>
          </w:tcPr>
          <w:p w14:paraId="1869A89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(1,0,0)x(2,1,0,12)</w:t>
            </w:r>
          </w:p>
        </w:tc>
        <w:tc>
          <w:tcPr>
            <w:tcW w:w="800" w:type="dxa"/>
            <w:vAlign w:val="center"/>
          </w:tcPr>
          <w:p w14:paraId="2875601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-161.1</w:t>
            </w:r>
          </w:p>
        </w:tc>
        <w:tc>
          <w:tcPr>
            <w:tcW w:w="787" w:type="dxa"/>
            <w:vAlign w:val="center"/>
          </w:tcPr>
          <w:p w14:paraId="39F3B41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-149.9</w:t>
            </w:r>
          </w:p>
        </w:tc>
        <w:tc>
          <w:tcPr>
            <w:tcW w:w="717" w:type="dxa"/>
            <w:vAlign w:val="center"/>
          </w:tcPr>
          <w:p w14:paraId="55507B2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0.11</w:t>
            </w:r>
          </w:p>
        </w:tc>
        <w:tc>
          <w:tcPr>
            <w:tcW w:w="843" w:type="dxa"/>
            <w:vAlign w:val="center"/>
          </w:tcPr>
          <w:p w14:paraId="0B911B6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0.15</w:t>
            </w:r>
          </w:p>
        </w:tc>
        <w:tc>
          <w:tcPr>
            <w:tcW w:w="1725" w:type="dxa"/>
            <w:vAlign w:val="center"/>
          </w:tcPr>
          <w:p w14:paraId="58D4F38A" w14:textId="77777777" w:rsidR="00C84698" w:rsidRPr="00C84698" w:rsidRDefault="00C84698" w:rsidP="00C84698">
            <w:pPr>
              <w:spacing w:line="278" w:lineRule="auto"/>
              <w:rPr>
                <w:rFonts w:ascii="Times New Roman" w:hAnsi="Times New Roman" w:cs="Times New Roman"/>
              </w:rPr>
            </w:pPr>
          </w:p>
        </w:tc>
      </w:tr>
      <w:tr w:rsidR="00C84698" w:rsidRPr="00C84698" w14:paraId="6A0833D1" w14:textId="77777777" w:rsidTr="0077351B">
        <w:tc>
          <w:tcPr>
            <w:tcW w:w="1539" w:type="dxa"/>
            <w:vAlign w:val="center"/>
          </w:tcPr>
          <w:p w14:paraId="3884A44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130301020906</w:t>
            </w:r>
          </w:p>
        </w:tc>
        <w:tc>
          <w:tcPr>
            <w:tcW w:w="1117" w:type="dxa"/>
            <w:vAlign w:val="center"/>
          </w:tcPr>
          <w:p w14:paraId="539EC19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156</w:t>
            </w:r>
          </w:p>
        </w:tc>
        <w:tc>
          <w:tcPr>
            <w:tcW w:w="1832" w:type="dxa"/>
            <w:vAlign w:val="center"/>
          </w:tcPr>
          <w:p w14:paraId="0C764FA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(1,0,0)x(0,1,0,12)</w:t>
            </w:r>
          </w:p>
        </w:tc>
        <w:tc>
          <w:tcPr>
            <w:tcW w:w="800" w:type="dxa"/>
            <w:vAlign w:val="center"/>
          </w:tcPr>
          <w:p w14:paraId="31DA3BD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194.3</w:t>
            </w:r>
          </w:p>
        </w:tc>
        <w:tc>
          <w:tcPr>
            <w:tcW w:w="787" w:type="dxa"/>
            <w:vAlign w:val="center"/>
          </w:tcPr>
          <w:p w14:paraId="1C368B3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200.2</w:t>
            </w:r>
          </w:p>
        </w:tc>
        <w:tc>
          <w:tcPr>
            <w:tcW w:w="717" w:type="dxa"/>
            <w:vAlign w:val="center"/>
          </w:tcPr>
          <w:p w14:paraId="738763D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0.11</w:t>
            </w:r>
          </w:p>
        </w:tc>
        <w:tc>
          <w:tcPr>
            <w:tcW w:w="843" w:type="dxa"/>
            <w:vAlign w:val="center"/>
          </w:tcPr>
          <w:p w14:paraId="2C0F1FE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0.15</w:t>
            </w:r>
          </w:p>
        </w:tc>
        <w:tc>
          <w:tcPr>
            <w:tcW w:w="1725" w:type="dxa"/>
            <w:vAlign w:val="center"/>
          </w:tcPr>
          <w:p w14:paraId="5B47BC1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Log transformed</w:t>
            </w:r>
          </w:p>
        </w:tc>
      </w:tr>
      <w:tr w:rsidR="00C84698" w:rsidRPr="00C84698" w14:paraId="36214C85" w14:textId="77777777" w:rsidTr="0077351B">
        <w:tc>
          <w:tcPr>
            <w:tcW w:w="1539" w:type="dxa"/>
            <w:vAlign w:val="center"/>
          </w:tcPr>
          <w:p w14:paraId="57B8DB3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130302020608</w:t>
            </w:r>
          </w:p>
        </w:tc>
        <w:tc>
          <w:tcPr>
            <w:tcW w:w="1117" w:type="dxa"/>
            <w:vAlign w:val="center"/>
          </w:tcPr>
          <w:p w14:paraId="69BF150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156</w:t>
            </w:r>
          </w:p>
        </w:tc>
        <w:tc>
          <w:tcPr>
            <w:tcW w:w="1832" w:type="dxa"/>
            <w:vAlign w:val="center"/>
          </w:tcPr>
          <w:p w14:paraId="6296F9B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(1,0,0)x(2,1,0,12)</w:t>
            </w:r>
          </w:p>
        </w:tc>
        <w:tc>
          <w:tcPr>
            <w:tcW w:w="800" w:type="dxa"/>
            <w:vAlign w:val="center"/>
          </w:tcPr>
          <w:p w14:paraId="54F706E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104.4</w:t>
            </w:r>
          </w:p>
        </w:tc>
        <w:tc>
          <w:tcPr>
            <w:tcW w:w="787" w:type="dxa"/>
            <w:vAlign w:val="center"/>
          </w:tcPr>
          <w:p w14:paraId="23D167F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115.5</w:t>
            </w:r>
          </w:p>
        </w:tc>
        <w:tc>
          <w:tcPr>
            <w:tcW w:w="717" w:type="dxa"/>
            <w:vAlign w:val="center"/>
          </w:tcPr>
          <w:p w14:paraId="338E85F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0.41</w:t>
            </w:r>
          </w:p>
        </w:tc>
        <w:tc>
          <w:tcPr>
            <w:tcW w:w="843" w:type="dxa"/>
            <w:vAlign w:val="center"/>
          </w:tcPr>
          <w:p w14:paraId="7DB510C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0.58</w:t>
            </w:r>
          </w:p>
        </w:tc>
        <w:tc>
          <w:tcPr>
            <w:tcW w:w="1725" w:type="dxa"/>
            <w:vAlign w:val="center"/>
          </w:tcPr>
          <w:p w14:paraId="265215F6" w14:textId="77777777" w:rsidR="00C84698" w:rsidRPr="00C84698" w:rsidRDefault="00C84698" w:rsidP="00C84698">
            <w:pPr>
              <w:spacing w:line="278" w:lineRule="auto"/>
              <w:rPr>
                <w:rFonts w:ascii="Times New Roman" w:hAnsi="Times New Roman" w:cs="Times New Roman"/>
              </w:rPr>
            </w:pPr>
          </w:p>
        </w:tc>
      </w:tr>
      <w:tr w:rsidR="00C84698" w:rsidRPr="00C84698" w14:paraId="4DDC4477" w14:textId="77777777" w:rsidTr="0077351B">
        <w:tc>
          <w:tcPr>
            <w:tcW w:w="1539" w:type="dxa"/>
            <w:vAlign w:val="center"/>
          </w:tcPr>
          <w:p w14:paraId="36814F1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130401000101</w:t>
            </w:r>
          </w:p>
        </w:tc>
        <w:tc>
          <w:tcPr>
            <w:tcW w:w="1117" w:type="dxa"/>
            <w:vAlign w:val="center"/>
          </w:tcPr>
          <w:p w14:paraId="19C4688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156</w:t>
            </w:r>
          </w:p>
        </w:tc>
        <w:tc>
          <w:tcPr>
            <w:tcW w:w="1832" w:type="dxa"/>
            <w:vAlign w:val="center"/>
          </w:tcPr>
          <w:p w14:paraId="1EEB7D0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(1,0,0)x(0,1,1,12)</w:t>
            </w:r>
          </w:p>
        </w:tc>
        <w:tc>
          <w:tcPr>
            <w:tcW w:w="800" w:type="dxa"/>
            <w:vAlign w:val="center"/>
          </w:tcPr>
          <w:p w14:paraId="4B27676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239.8</w:t>
            </w:r>
          </w:p>
        </w:tc>
        <w:tc>
          <w:tcPr>
            <w:tcW w:w="787" w:type="dxa"/>
            <w:vAlign w:val="center"/>
          </w:tcPr>
          <w:p w14:paraId="41B6C4A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248.4</w:t>
            </w:r>
          </w:p>
        </w:tc>
        <w:tc>
          <w:tcPr>
            <w:tcW w:w="717" w:type="dxa"/>
            <w:vAlign w:val="center"/>
          </w:tcPr>
          <w:p w14:paraId="1BA39D5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0.54</w:t>
            </w:r>
          </w:p>
        </w:tc>
        <w:tc>
          <w:tcPr>
            <w:tcW w:w="843" w:type="dxa"/>
            <w:vAlign w:val="center"/>
          </w:tcPr>
          <w:p w14:paraId="6ED764B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0.7</w:t>
            </w:r>
          </w:p>
        </w:tc>
        <w:tc>
          <w:tcPr>
            <w:tcW w:w="1725" w:type="dxa"/>
            <w:vAlign w:val="center"/>
          </w:tcPr>
          <w:p w14:paraId="5840ED4B" w14:textId="77777777" w:rsidR="00C84698" w:rsidRPr="00C84698" w:rsidRDefault="00C84698" w:rsidP="00C84698">
            <w:pPr>
              <w:spacing w:line="278" w:lineRule="auto"/>
              <w:rPr>
                <w:rFonts w:ascii="Times New Roman" w:hAnsi="Times New Roman" w:cs="Times New Roman"/>
              </w:rPr>
            </w:pPr>
          </w:p>
        </w:tc>
      </w:tr>
      <w:tr w:rsidR="00C84698" w:rsidRPr="00C84698" w14:paraId="4B416BF9" w14:textId="77777777" w:rsidTr="0077351B">
        <w:tc>
          <w:tcPr>
            <w:tcW w:w="1539" w:type="dxa"/>
            <w:vAlign w:val="center"/>
          </w:tcPr>
          <w:p w14:paraId="163B6A7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130700070102</w:t>
            </w:r>
          </w:p>
        </w:tc>
        <w:tc>
          <w:tcPr>
            <w:tcW w:w="1117" w:type="dxa"/>
            <w:vAlign w:val="center"/>
          </w:tcPr>
          <w:p w14:paraId="00710E6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156</w:t>
            </w:r>
          </w:p>
        </w:tc>
        <w:tc>
          <w:tcPr>
            <w:tcW w:w="1832" w:type="dxa"/>
            <w:vAlign w:val="center"/>
          </w:tcPr>
          <w:p w14:paraId="0C42933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(1,0,0)x(1,0,2,12)</w:t>
            </w:r>
          </w:p>
        </w:tc>
        <w:tc>
          <w:tcPr>
            <w:tcW w:w="800" w:type="dxa"/>
            <w:vAlign w:val="center"/>
          </w:tcPr>
          <w:p w14:paraId="71153F0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151.8</w:t>
            </w:r>
          </w:p>
        </w:tc>
        <w:tc>
          <w:tcPr>
            <w:tcW w:w="787" w:type="dxa"/>
            <w:vAlign w:val="center"/>
          </w:tcPr>
          <w:p w14:paraId="571FC36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166.2</w:t>
            </w:r>
          </w:p>
        </w:tc>
        <w:tc>
          <w:tcPr>
            <w:tcW w:w="717" w:type="dxa"/>
            <w:vAlign w:val="center"/>
          </w:tcPr>
          <w:p w14:paraId="7899009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0.37</w:t>
            </w:r>
          </w:p>
        </w:tc>
        <w:tc>
          <w:tcPr>
            <w:tcW w:w="843" w:type="dxa"/>
            <w:vAlign w:val="center"/>
          </w:tcPr>
          <w:p w14:paraId="20B8927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0.48</w:t>
            </w:r>
          </w:p>
        </w:tc>
        <w:tc>
          <w:tcPr>
            <w:tcW w:w="1725" w:type="dxa"/>
            <w:vAlign w:val="center"/>
          </w:tcPr>
          <w:p w14:paraId="63D70756" w14:textId="77777777" w:rsidR="00C84698" w:rsidRPr="00C84698" w:rsidRDefault="00C84698" w:rsidP="00C84698">
            <w:pPr>
              <w:spacing w:line="278" w:lineRule="auto"/>
              <w:rPr>
                <w:rFonts w:ascii="Times New Roman" w:hAnsi="Times New Roman" w:cs="Times New Roman"/>
              </w:rPr>
            </w:pPr>
          </w:p>
        </w:tc>
      </w:tr>
      <w:tr w:rsidR="00C84698" w:rsidRPr="00C84698" w14:paraId="1DB596A7" w14:textId="77777777" w:rsidTr="0077351B">
        <w:tc>
          <w:tcPr>
            <w:tcW w:w="1539" w:type="dxa"/>
            <w:tcBorders>
              <w:bottom w:val="nil"/>
            </w:tcBorders>
            <w:vAlign w:val="center"/>
          </w:tcPr>
          <w:p w14:paraId="27D8015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130700071102</w:t>
            </w:r>
          </w:p>
        </w:tc>
        <w:tc>
          <w:tcPr>
            <w:tcW w:w="1117" w:type="dxa"/>
            <w:tcBorders>
              <w:bottom w:val="nil"/>
            </w:tcBorders>
            <w:vAlign w:val="center"/>
          </w:tcPr>
          <w:p w14:paraId="24B8C7F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36</w:t>
            </w:r>
          </w:p>
        </w:tc>
        <w:tc>
          <w:tcPr>
            <w:tcW w:w="1832" w:type="dxa"/>
            <w:tcBorders>
              <w:bottom w:val="nil"/>
            </w:tcBorders>
            <w:vAlign w:val="center"/>
          </w:tcPr>
          <w:p w14:paraId="5FDD1D2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(0,0,0)x(1,1,0,12)</w:t>
            </w:r>
          </w:p>
        </w:tc>
        <w:tc>
          <w:tcPr>
            <w:tcW w:w="800" w:type="dxa"/>
            <w:tcBorders>
              <w:bottom w:val="nil"/>
            </w:tcBorders>
            <w:vAlign w:val="center"/>
          </w:tcPr>
          <w:p w14:paraId="40B3949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11.7</w:t>
            </w:r>
          </w:p>
        </w:tc>
        <w:tc>
          <w:tcPr>
            <w:tcW w:w="787" w:type="dxa"/>
            <w:tcBorders>
              <w:bottom w:val="nil"/>
            </w:tcBorders>
            <w:vAlign w:val="center"/>
          </w:tcPr>
          <w:p w14:paraId="44584CA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12.7</w:t>
            </w:r>
          </w:p>
        </w:tc>
        <w:tc>
          <w:tcPr>
            <w:tcW w:w="717" w:type="dxa"/>
            <w:tcBorders>
              <w:bottom w:val="nil"/>
            </w:tcBorders>
            <w:vAlign w:val="center"/>
          </w:tcPr>
          <w:p w14:paraId="0A80AC4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0.45</w:t>
            </w:r>
          </w:p>
        </w:tc>
        <w:tc>
          <w:tcPr>
            <w:tcW w:w="843" w:type="dxa"/>
            <w:tcBorders>
              <w:bottom w:val="nil"/>
            </w:tcBorders>
            <w:vAlign w:val="center"/>
          </w:tcPr>
          <w:p w14:paraId="055E204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0.63</w:t>
            </w:r>
          </w:p>
        </w:tc>
        <w:tc>
          <w:tcPr>
            <w:tcW w:w="1725" w:type="dxa"/>
            <w:tcBorders>
              <w:bottom w:val="nil"/>
            </w:tcBorders>
            <w:vAlign w:val="center"/>
          </w:tcPr>
          <w:p w14:paraId="0709CACC" w14:textId="77777777" w:rsidR="00C84698" w:rsidRPr="00C84698" w:rsidRDefault="00C84698" w:rsidP="00C84698">
            <w:pPr>
              <w:spacing w:line="278" w:lineRule="auto"/>
              <w:rPr>
                <w:rFonts w:ascii="Times New Roman" w:hAnsi="Times New Roman" w:cs="Times New Roman"/>
              </w:rPr>
            </w:pPr>
          </w:p>
        </w:tc>
      </w:tr>
      <w:tr w:rsidR="00C84698" w:rsidRPr="00C84698" w14:paraId="2D39B57A" w14:textId="77777777" w:rsidTr="0077351B">
        <w:tc>
          <w:tcPr>
            <w:tcW w:w="1539" w:type="dxa"/>
            <w:tcBorders>
              <w:top w:val="nil"/>
              <w:bottom w:val="single" w:sz="18" w:space="0" w:color="auto"/>
            </w:tcBorders>
            <w:vAlign w:val="center"/>
          </w:tcPr>
          <w:p w14:paraId="5A61546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130800022802</w:t>
            </w:r>
          </w:p>
        </w:tc>
        <w:tc>
          <w:tcPr>
            <w:tcW w:w="1117" w:type="dxa"/>
            <w:tcBorders>
              <w:top w:val="nil"/>
              <w:bottom w:val="single" w:sz="18" w:space="0" w:color="auto"/>
            </w:tcBorders>
            <w:vAlign w:val="center"/>
          </w:tcPr>
          <w:p w14:paraId="62EF645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12</w:t>
            </w:r>
          </w:p>
        </w:tc>
        <w:tc>
          <w:tcPr>
            <w:tcW w:w="1832" w:type="dxa"/>
            <w:tcBorders>
              <w:top w:val="nil"/>
              <w:bottom w:val="single" w:sz="18" w:space="0" w:color="auto"/>
            </w:tcBorders>
            <w:vAlign w:val="center"/>
          </w:tcPr>
          <w:p w14:paraId="14E9E3B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800" w:type="dxa"/>
            <w:tcBorders>
              <w:top w:val="nil"/>
              <w:bottom w:val="single" w:sz="18" w:space="0" w:color="auto"/>
            </w:tcBorders>
            <w:vAlign w:val="center"/>
          </w:tcPr>
          <w:p w14:paraId="6BD158C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787" w:type="dxa"/>
            <w:tcBorders>
              <w:top w:val="nil"/>
              <w:bottom w:val="single" w:sz="18" w:space="0" w:color="auto"/>
            </w:tcBorders>
            <w:vAlign w:val="center"/>
          </w:tcPr>
          <w:p w14:paraId="5947320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717" w:type="dxa"/>
            <w:tcBorders>
              <w:top w:val="nil"/>
              <w:bottom w:val="single" w:sz="18" w:space="0" w:color="auto"/>
            </w:tcBorders>
            <w:vAlign w:val="center"/>
          </w:tcPr>
          <w:p w14:paraId="1B56A2F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843" w:type="dxa"/>
            <w:tcBorders>
              <w:top w:val="nil"/>
              <w:bottom w:val="single" w:sz="18" w:space="0" w:color="auto"/>
            </w:tcBorders>
            <w:vAlign w:val="center"/>
          </w:tcPr>
          <w:p w14:paraId="65B78E1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1725" w:type="dxa"/>
            <w:tcBorders>
              <w:top w:val="nil"/>
              <w:bottom w:val="single" w:sz="18" w:space="0" w:color="auto"/>
            </w:tcBorders>
            <w:vAlign w:val="center"/>
          </w:tcPr>
          <w:p w14:paraId="4DD2DB7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Only operated in 2008 per EIA data</w:t>
            </w:r>
          </w:p>
        </w:tc>
      </w:tr>
    </w:tbl>
    <w:p w14:paraId="19F3D5F9" w14:textId="77777777" w:rsidR="00C84698" w:rsidRPr="00C84698" w:rsidRDefault="00C84698" w:rsidP="00C84698">
      <w:pPr>
        <w:spacing w:after="0"/>
        <w:rPr>
          <w:rFonts w:ascii="Times New Roman" w:hAnsi="Times New Roman" w:cs="Times New Roman"/>
        </w:rPr>
      </w:pPr>
    </w:p>
    <w:p w14:paraId="3A648454" w14:textId="77777777" w:rsidR="00C84698" w:rsidRPr="00C84698" w:rsidRDefault="00C84698" w:rsidP="00C84698">
      <w:pPr>
        <w:spacing w:after="0"/>
        <w:rPr>
          <w:rFonts w:ascii="Times New Roman" w:hAnsi="Times New Roman" w:cs="Times New Roman"/>
        </w:rPr>
      </w:pPr>
    </w:p>
    <w:p w14:paraId="3D35604F" w14:textId="77777777" w:rsidR="00C84698" w:rsidRPr="00C84698" w:rsidRDefault="00C84698" w:rsidP="00C84698">
      <w:pPr>
        <w:spacing w:after="0"/>
        <w:rPr>
          <w:rFonts w:ascii="Times New Roman" w:hAnsi="Times New Roman" w:cs="Times New Roman"/>
        </w:rPr>
      </w:pPr>
    </w:p>
    <w:p w14:paraId="43BC8FB7" w14:textId="77777777" w:rsidR="00C84698" w:rsidRPr="00C84698" w:rsidRDefault="00C84698" w:rsidP="00C84698">
      <w:pPr>
        <w:spacing w:after="0"/>
        <w:rPr>
          <w:rFonts w:ascii="Times New Roman" w:hAnsi="Times New Roman" w:cs="Times New Roman"/>
        </w:rPr>
      </w:pPr>
    </w:p>
    <w:p w14:paraId="33E2313A" w14:textId="77777777" w:rsidR="00C84698" w:rsidRPr="00C84698" w:rsidRDefault="00C84698" w:rsidP="00C84698">
      <w:pPr>
        <w:spacing w:after="0"/>
        <w:rPr>
          <w:rFonts w:ascii="Times New Roman" w:hAnsi="Times New Roman" w:cs="Times New Roman"/>
        </w:rPr>
      </w:pPr>
    </w:p>
    <w:p w14:paraId="07875E6F"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noProof/>
        </w:rPr>
        <w:drawing>
          <wp:inline distT="0" distB="0" distL="0" distR="0" wp14:anchorId="165BAA27" wp14:editId="559B5164">
            <wp:extent cx="5943600" cy="6438900"/>
            <wp:effectExtent l="0" t="0" r="0" b="0"/>
            <wp:docPr id="151994929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49291" name="Picture 1" descr="A screenshot of a graph&#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43600" cy="6438900"/>
                    </a:xfrm>
                    <a:prstGeom prst="rect">
                      <a:avLst/>
                    </a:prstGeom>
                  </pic:spPr>
                </pic:pic>
              </a:graphicData>
            </a:graphic>
          </wp:inline>
        </w:drawing>
      </w:r>
    </w:p>
    <w:p w14:paraId="6F3E6C10" w14:textId="19C89A3E" w:rsidR="00C84698" w:rsidRPr="00C84698" w:rsidRDefault="00C84698" w:rsidP="00C84698">
      <w:pPr>
        <w:spacing w:after="0"/>
        <w:rPr>
          <w:rFonts w:ascii="Times New Roman" w:hAnsi="Times New Roman" w:cs="Times New Roman"/>
          <w:i/>
          <w:iCs/>
        </w:rPr>
      </w:pPr>
      <w:r w:rsidRPr="00C84698">
        <w:rPr>
          <w:rFonts w:ascii="Times New Roman" w:hAnsi="Times New Roman" w:cs="Times New Roman"/>
          <w:i/>
          <w:iCs/>
        </w:rPr>
        <w:t>Figure SI-3. A) Monthly thermoelectric water consumption (</w:t>
      </w:r>
      <w:proofErr w:type="spellStart"/>
      <w:r w:rsidRPr="00C84698">
        <w:rPr>
          <w:rFonts w:ascii="Times New Roman" w:hAnsi="Times New Roman" w:cs="Times New Roman"/>
          <w:i/>
          <w:iCs/>
        </w:rPr>
        <w:t>cu_mgd</w:t>
      </w:r>
      <w:proofErr w:type="spellEnd"/>
      <w:r w:rsidRPr="00C84698">
        <w:rPr>
          <w:rFonts w:ascii="Times New Roman" w:hAnsi="Times New Roman" w:cs="Times New Roman"/>
          <w:i/>
          <w:iCs/>
        </w:rPr>
        <w:t xml:space="preserve">) for HUC-12 130202030302, showing observed data from 2008–2020 (blue points and lines) and SARIMA-based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estimates from 2000–2007 (red dashed line =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mean; shaded area = 95% confidence interval). The model used was SARIMA(1,0,0)x(2,1,0,12), applied to log-transformed data to stabilize variance. (B) Model residual diagnostics, including autocorrelation function (ACF) and partial autocorrelation function (PACF) plots with 95% confidence bands, </w:t>
      </w:r>
      <w:r w:rsidRPr="00C84698">
        <w:rPr>
          <w:rFonts w:ascii="Times New Roman" w:hAnsi="Times New Roman" w:cs="Times New Roman"/>
          <w:i/>
          <w:iCs/>
        </w:rPr>
        <w:lastRenderedPageBreak/>
        <w:t>and summary statistics. The Ljung-Box test indicates no significant autocorrelation (p = 0.22), while the Jarque-Bera test (p = 0.00) and elevated kurtosis (5.15) suggest slight departures from normality. No significant heteroskedasticity was detected (p = 0.36).</w:t>
      </w:r>
    </w:p>
    <w:p w14:paraId="48C4944D"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noProof/>
        </w:rPr>
        <w:drawing>
          <wp:inline distT="0" distB="0" distL="0" distR="0" wp14:anchorId="428E3E26" wp14:editId="65F302F5">
            <wp:extent cx="5943600" cy="6505575"/>
            <wp:effectExtent l="0" t="0" r="0" b="0"/>
            <wp:docPr id="1857111356" name="Picture 2" descr="A graph of different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11356" name="Picture 2" descr="A graph of different data&#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43600" cy="6505575"/>
                    </a:xfrm>
                    <a:prstGeom prst="rect">
                      <a:avLst/>
                    </a:prstGeom>
                  </pic:spPr>
                </pic:pic>
              </a:graphicData>
            </a:graphic>
          </wp:inline>
        </w:drawing>
      </w:r>
    </w:p>
    <w:p w14:paraId="387A3CCB" w14:textId="2F1EB703" w:rsidR="00C84698" w:rsidRPr="00C84698" w:rsidRDefault="00C84698" w:rsidP="00C84698">
      <w:pPr>
        <w:spacing w:after="0"/>
        <w:rPr>
          <w:rFonts w:ascii="Times New Roman" w:hAnsi="Times New Roman" w:cs="Times New Roman"/>
          <w:b/>
          <w:bCs/>
          <w:i/>
          <w:iCs/>
        </w:rPr>
      </w:pPr>
      <w:r w:rsidRPr="00C84698">
        <w:rPr>
          <w:rFonts w:ascii="Times New Roman" w:hAnsi="Times New Roman" w:cs="Times New Roman"/>
          <w:i/>
          <w:iCs/>
        </w:rPr>
        <w:t>Figure SI-4. (A) Monthly thermoelectric water consumption (</w:t>
      </w:r>
      <w:proofErr w:type="spellStart"/>
      <w:r w:rsidRPr="00C84698">
        <w:rPr>
          <w:rFonts w:ascii="Times New Roman" w:hAnsi="Times New Roman" w:cs="Times New Roman"/>
          <w:i/>
          <w:iCs/>
        </w:rPr>
        <w:t>cu_mgd</w:t>
      </w:r>
      <w:proofErr w:type="spellEnd"/>
      <w:r w:rsidRPr="00C84698">
        <w:rPr>
          <w:rFonts w:ascii="Times New Roman" w:hAnsi="Times New Roman" w:cs="Times New Roman"/>
          <w:i/>
          <w:iCs/>
        </w:rPr>
        <w:t xml:space="preserve">) for HUC-12 130202070105, showing observed data from 2008–2020 (blue points and lines) and SARIMA-based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estimates for 2000–2007 (red dashed line =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mean; shaded area = 95% confidence interval). The model used was SARIMA(1,0,0)x(1,1,0,12), applied to log-transformed data to stabilize variance. (B) Residual diagnostics include autocorrelation function (ACF) and </w:t>
      </w:r>
      <w:r w:rsidRPr="00C84698">
        <w:rPr>
          <w:rFonts w:ascii="Times New Roman" w:hAnsi="Times New Roman" w:cs="Times New Roman"/>
          <w:i/>
          <w:iCs/>
        </w:rPr>
        <w:lastRenderedPageBreak/>
        <w:t>partial autocorrelation function (PACF) plots with 95% confidence bands, and summary statistics. The Ljung-Box test (p = 0.42) suggests no significant autocorrelation, and the heteroskedasticity test (p = 0.81) indicates constant variance. However, the Jarque-Bera test (p = 0.00), skewness (–1.07), and high kurtosis (6.12) reveal strong left skew and heavy-tailed residuals, indicating deviations from normality</w:t>
      </w:r>
      <w:r w:rsidRPr="00C84698">
        <w:rPr>
          <w:rFonts w:ascii="Times New Roman" w:hAnsi="Times New Roman" w:cs="Times New Roman"/>
          <w:b/>
          <w:bCs/>
          <w:i/>
          <w:iCs/>
        </w:rPr>
        <w:t>.</w:t>
      </w:r>
    </w:p>
    <w:p w14:paraId="447B0406"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noProof/>
        </w:rPr>
        <w:drawing>
          <wp:inline distT="0" distB="0" distL="0" distR="0" wp14:anchorId="36C551F6" wp14:editId="4AE625DB">
            <wp:extent cx="5943600" cy="6553835"/>
            <wp:effectExtent l="0" t="0" r="0" b="0"/>
            <wp:docPr id="1711910482" name="Picture 3" descr="A graph of data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10482" name="Picture 3" descr="A graph of data showing different types of data&#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943600" cy="6553835"/>
                    </a:xfrm>
                    <a:prstGeom prst="rect">
                      <a:avLst/>
                    </a:prstGeom>
                  </pic:spPr>
                </pic:pic>
              </a:graphicData>
            </a:graphic>
          </wp:inline>
        </w:drawing>
      </w:r>
    </w:p>
    <w:p w14:paraId="3E563093" w14:textId="4829C7E0" w:rsidR="00C84698" w:rsidRPr="00C84698" w:rsidRDefault="00C84698" w:rsidP="00C84698">
      <w:pPr>
        <w:spacing w:after="0"/>
        <w:rPr>
          <w:rFonts w:ascii="Times New Roman" w:hAnsi="Times New Roman" w:cs="Times New Roman"/>
          <w:i/>
          <w:iCs/>
        </w:rPr>
      </w:pPr>
      <w:r w:rsidRPr="00C84698">
        <w:rPr>
          <w:rFonts w:ascii="Times New Roman" w:hAnsi="Times New Roman" w:cs="Times New Roman"/>
          <w:i/>
          <w:iCs/>
        </w:rPr>
        <w:t>Figure SI-5. (A) Monthly thermoelectric water consumption (</w:t>
      </w:r>
      <w:proofErr w:type="spellStart"/>
      <w:r w:rsidRPr="00C84698">
        <w:rPr>
          <w:rFonts w:ascii="Times New Roman" w:hAnsi="Times New Roman" w:cs="Times New Roman"/>
          <w:i/>
          <w:iCs/>
        </w:rPr>
        <w:t>cu_mgd</w:t>
      </w:r>
      <w:proofErr w:type="spellEnd"/>
      <w:r w:rsidRPr="00C84698">
        <w:rPr>
          <w:rFonts w:ascii="Times New Roman" w:hAnsi="Times New Roman" w:cs="Times New Roman"/>
          <w:i/>
          <w:iCs/>
        </w:rPr>
        <w:t xml:space="preserve">) for HUC-12 130301020903, displaying observed data from 2008–2020 (blue points and lines) and SARIMA-based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estimates for 2000–2007 (red dashed line =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mean; shaded area = 95% </w:t>
      </w:r>
      <w:r w:rsidRPr="00C84698">
        <w:rPr>
          <w:rFonts w:ascii="Times New Roman" w:hAnsi="Times New Roman" w:cs="Times New Roman"/>
          <w:i/>
          <w:iCs/>
        </w:rPr>
        <w:lastRenderedPageBreak/>
        <w:t>confidence interval). The selected model was SARIMA(1,0,0)x(2,1,0,12}, fit to untransformed data. (B) Residual diagnostics include autocorrelation function (ACF) and partial autocorrelation function (PACF) plots with 95% confidence intervals, along with statistical tests. The Ljung-Box test (p = 0.42) indicates no significant autocorrelation, and the heteroskedasticity test (p = 0.24) suggests constant variance. The Jarque-Bera test (p = 0.00), skewness (–0.58), and kurtosis (4.11) point to mild residual non-normality with slight left skew and heavier tails.</w:t>
      </w:r>
    </w:p>
    <w:p w14:paraId="0B923B71"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noProof/>
        </w:rPr>
        <w:drawing>
          <wp:inline distT="0" distB="0" distL="0" distR="0" wp14:anchorId="7A471414" wp14:editId="13DA3516">
            <wp:extent cx="5943600" cy="6454140"/>
            <wp:effectExtent l="0" t="0" r="0" b="0"/>
            <wp:docPr id="1485695843"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95843" name="Picture 4" descr="A graph of different colored lin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43600" cy="6454140"/>
                    </a:xfrm>
                    <a:prstGeom prst="rect">
                      <a:avLst/>
                    </a:prstGeom>
                  </pic:spPr>
                </pic:pic>
              </a:graphicData>
            </a:graphic>
          </wp:inline>
        </w:drawing>
      </w:r>
    </w:p>
    <w:p w14:paraId="03FF0ED5" w14:textId="0048E1DC" w:rsidR="00C84698" w:rsidRPr="00C84698" w:rsidRDefault="00C84698" w:rsidP="00C84698">
      <w:pPr>
        <w:spacing w:after="0"/>
        <w:rPr>
          <w:rFonts w:ascii="Times New Roman" w:hAnsi="Times New Roman" w:cs="Times New Roman"/>
          <w:i/>
          <w:iCs/>
        </w:rPr>
      </w:pPr>
      <w:r w:rsidRPr="00C84698">
        <w:rPr>
          <w:rFonts w:ascii="Times New Roman" w:hAnsi="Times New Roman" w:cs="Times New Roman"/>
          <w:i/>
          <w:iCs/>
        </w:rPr>
        <w:t>Figure SI-6. (A) Monthly thermoelectric water consumption (</w:t>
      </w:r>
      <w:proofErr w:type="spellStart"/>
      <w:r w:rsidRPr="00C84698">
        <w:rPr>
          <w:rFonts w:ascii="Times New Roman" w:hAnsi="Times New Roman" w:cs="Times New Roman"/>
          <w:i/>
          <w:iCs/>
        </w:rPr>
        <w:t>cu_mgd</w:t>
      </w:r>
      <w:proofErr w:type="spellEnd"/>
      <w:r w:rsidRPr="00C84698">
        <w:rPr>
          <w:rFonts w:ascii="Times New Roman" w:hAnsi="Times New Roman" w:cs="Times New Roman"/>
          <w:i/>
          <w:iCs/>
        </w:rPr>
        <w:t>) for HUC-12 130301020906, showing observed data from 2008–2020 (blue points and lines) and SARIMA-</w:t>
      </w:r>
      <w:r w:rsidRPr="00C84698">
        <w:rPr>
          <w:rFonts w:ascii="Times New Roman" w:hAnsi="Times New Roman" w:cs="Times New Roman"/>
          <w:i/>
          <w:iCs/>
        </w:rPr>
        <w:lastRenderedPageBreak/>
        <w:t xml:space="preserve">based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estimates for 2000–2007 (red dashed line =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mean; shaded area = 95% confidence interval). The model used was SARIMA(1,0,0)x(0,1,0,12}, applied to log-transformed data to account for variance heterogeneity. (B) Residual diagnostics include autocorrelation function (ACF) and partial autocorrelation function (PACF) plots with 95% confidence intervals and summary statistics. The Ljung-Box test (p = 0.58) suggests no significant autocorrelation, and the heteroskedasticity test (p = 0.36) confirms stable residual variance. However, the Jarque-Bera test (p = 0.00), skewness (–0.08), and kurtosis (5.54) indicate moderate deviations from normality, primarily due to fat-tailed residuals.</w:t>
      </w:r>
    </w:p>
    <w:p w14:paraId="6AE8BE5E"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noProof/>
        </w:rPr>
        <w:drawing>
          <wp:inline distT="0" distB="0" distL="0" distR="0" wp14:anchorId="35333D2C" wp14:editId="09BE92F6">
            <wp:extent cx="5943600" cy="6299835"/>
            <wp:effectExtent l="0" t="0" r="0" b="0"/>
            <wp:docPr id="477069784"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69784" name="Picture 5" descr="A screenshot of a graph&#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43600" cy="6299835"/>
                    </a:xfrm>
                    <a:prstGeom prst="rect">
                      <a:avLst/>
                    </a:prstGeom>
                  </pic:spPr>
                </pic:pic>
              </a:graphicData>
            </a:graphic>
          </wp:inline>
        </w:drawing>
      </w:r>
    </w:p>
    <w:p w14:paraId="7DDC16CD" w14:textId="734EE0EB" w:rsidR="00C84698" w:rsidRPr="00C84698" w:rsidRDefault="00C84698" w:rsidP="00C84698">
      <w:pPr>
        <w:spacing w:after="0"/>
        <w:rPr>
          <w:rFonts w:ascii="Times New Roman" w:hAnsi="Times New Roman" w:cs="Times New Roman"/>
          <w:i/>
          <w:iCs/>
        </w:rPr>
      </w:pPr>
      <w:r w:rsidRPr="00C84698">
        <w:rPr>
          <w:rFonts w:ascii="Times New Roman" w:hAnsi="Times New Roman" w:cs="Times New Roman"/>
          <w:i/>
          <w:iCs/>
        </w:rPr>
        <w:lastRenderedPageBreak/>
        <w:t>Figure SI-7. (A) Monthly thermoelectric water consumption (</w:t>
      </w:r>
      <w:proofErr w:type="spellStart"/>
      <w:r w:rsidRPr="00C84698">
        <w:rPr>
          <w:rFonts w:ascii="Times New Roman" w:hAnsi="Times New Roman" w:cs="Times New Roman"/>
          <w:i/>
          <w:iCs/>
        </w:rPr>
        <w:t>cu_mgd</w:t>
      </w:r>
      <w:proofErr w:type="spellEnd"/>
      <w:r w:rsidRPr="00C84698">
        <w:rPr>
          <w:rFonts w:ascii="Times New Roman" w:hAnsi="Times New Roman" w:cs="Times New Roman"/>
          <w:i/>
          <w:iCs/>
        </w:rPr>
        <w:t xml:space="preserve">) for HUC-12 130302020608, showing observed data from 2008–2020 (blue points and lines) and SARIMA-based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estimates for 2000–2007 (red dashed line =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mean; shaded area = 95% confidence interval). The selected model was SARIMA(1,0,0)x(2,1,0,12}, applied to untransformed data. (B) Residual diagnostics include autocorrelation function (ACF) and partial autocorrelation function (PACF) plots with 95% confidence intervals, as well as statistical test summaries. The Ljung-Box test (p = 0.28) suggests no significant autocorrelation. Residual variance appears stable (heteroskedasticity test p = 0.13), though the Jarque-Bera test (p = 0.02), skewness (–0.56), and kurtosis (3.61) indicate mild left skew and modest tail heaviness, reflecting slight deviations from normality.</w:t>
      </w:r>
    </w:p>
    <w:p w14:paraId="7F63C402"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noProof/>
        </w:rPr>
        <w:lastRenderedPageBreak/>
        <w:drawing>
          <wp:inline distT="0" distB="0" distL="0" distR="0" wp14:anchorId="6F188FE7" wp14:editId="1C557506">
            <wp:extent cx="5943600" cy="6492240"/>
            <wp:effectExtent l="0" t="0" r="0" b="0"/>
            <wp:docPr id="1189026130" name="Picture 6" descr="A graph of data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26130" name="Picture 6" descr="A graph of data with red and blue line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43600" cy="6492240"/>
                    </a:xfrm>
                    <a:prstGeom prst="rect">
                      <a:avLst/>
                    </a:prstGeom>
                  </pic:spPr>
                </pic:pic>
              </a:graphicData>
            </a:graphic>
          </wp:inline>
        </w:drawing>
      </w:r>
    </w:p>
    <w:p w14:paraId="31638593" w14:textId="4119C791" w:rsidR="00C84698" w:rsidRPr="00C84698" w:rsidRDefault="00C84698" w:rsidP="00C84698">
      <w:pPr>
        <w:spacing w:after="0"/>
        <w:rPr>
          <w:rFonts w:ascii="Times New Roman" w:hAnsi="Times New Roman" w:cs="Times New Roman"/>
          <w:i/>
          <w:iCs/>
        </w:rPr>
      </w:pPr>
      <w:r w:rsidRPr="00C84698">
        <w:rPr>
          <w:rFonts w:ascii="Times New Roman" w:hAnsi="Times New Roman" w:cs="Times New Roman"/>
          <w:i/>
          <w:iCs/>
        </w:rPr>
        <w:t>Figure SI-8. (A) Monthly thermoelectric water consumption (</w:t>
      </w:r>
      <w:proofErr w:type="spellStart"/>
      <w:r w:rsidRPr="00C84698">
        <w:rPr>
          <w:rFonts w:ascii="Times New Roman" w:hAnsi="Times New Roman" w:cs="Times New Roman"/>
          <w:i/>
          <w:iCs/>
        </w:rPr>
        <w:t>cu_mgd</w:t>
      </w:r>
      <w:proofErr w:type="spellEnd"/>
      <w:r w:rsidRPr="00C84698">
        <w:rPr>
          <w:rFonts w:ascii="Times New Roman" w:hAnsi="Times New Roman" w:cs="Times New Roman"/>
          <w:i/>
          <w:iCs/>
        </w:rPr>
        <w:t xml:space="preserve">) for HUC-12 130401000101, showing observed data from 2008–2020 (blue points and lines) and SARIMA-based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estimates for 2000–2007 (red dashed line =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mean; shaded area = 95% confidence interval). The selected model was SARIMA(1,0,0)x(0,1,1,12}, applied to untransformed data. (B) Residual diagnostics include autocorrelation function (ACF) and partial autocorrelation function (PACF) plots with 95% confidence intervals and summary statistics. The Ljung-Box test (p = 0.36) indicates no significant autocorrelation, and the heteroskedasticity test (p = 0.60) confirms constant residual variance. The Jarque-Bera test (p = 0.95), skewness </w:t>
      </w:r>
      <w:r w:rsidRPr="00C84698">
        <w:rPr>
          <w:rFonts w:ascii="Times New Roman" w:hAnsi="Times New Roman" w:cs="Times New Roman"/>
          <w:i/>
          <w:iCs/>
        </w:rPr>
        <w:lastRenderedPageBreak/>
        <w:t>(0.08), and kurtosis (2.62) suggest that residuals are approximately normal, with minimal skew or tail deviation.</w:t>
      </w:r>
    </w:p>
    <w:p w14:paraId="52083430"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noProof/>
        </w:rPr>
        <w:drawing>
          <wp:inline distT="0" distB="0" distL="0" distR="0" wp14:anchorId="1577346F" wp14:editId="19234438">
            <wp:extent cx="5943600" cy="6584315"/>
            <wp:effectExtent l="0" t="0" r="0" b="0"/>
            <wp:docPr id="111537991" name="Picture 7"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7991" name="Picture 7" descr="A graph of a number of data&#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943600" cy="6584315"/>
                    </a:xfrm>
                    <a:prstGeom prst="rect">
                      <a:avLst/>
                    </a:prstGeom>
                  </pic:spPr>
                </pic:pic>
              </a:graphicData>
            </a:graphic>
          </wp:inline>
        </w:drawing>
      </w:r>
    </w:p>
    <w:p w14:paraId="1FC702D6" w14:textId="631BFE8F" w:rsidR="00C84698" w:rsidRPr="00C84698" w:rsidRDefault="00C84698" w:rsidP="00C84698">
      <w:pPr>
        <w:spacing w:after="0"/>
        <w:rPr>
          <w:rFonts w:ascii="Times New Roman" w:hAnsi="Times New Roman" w:cs="Times New Roman"/>
          <w:i/>
          <w:iCs/>
        </w:rPr>
      </w:pPr>
      <w:r w:rsidRPr="00C84698">
        <w:rPr>
          <w:rFonts w:ascii="Times New Roman" w:hAnsi="Times New Roman" w:cs="Times New Roman"/>
          <w:i/>
          <w:iCs/>
        </w:rPr>
        <w:t>Figure SI-9. (A) Monthly thermoelectric water consumption (</w:t>
      </w:r>
      <w:proofErr w:type="spellStart"/>
      <w:r w:rsidRPr="00C84698">
        <w:rPr>
          <w:rFonts w:ascii="Times New Roman" w:hAnsi="Times New Roman" w:cs="Times New Roman"/>
          <w:i/>
          <w:iCs/>
        </w:rPr>
        <w:t>cu_mgd</w:t>
      </w:r>
      <w:proofErr w:type="spellEnd"/>
      <w:r w:rsidRPr="00C84698">
        <w:rPr>
          <w:rFonts w:ascii="Times New Roman" w:hAnsi="Times New Roman" w:cs="Times New Roman"/>
          <w:i/>
          <w:iCs/>
        </w:rPr>
        <w:t xml:space="preserve">) for HUC-12 130700070102, displaying observed data from 2008–2020 (blue points and lines) and SARIMA-based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estimates for 2000–2007 (red dashed line =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mean; shaded area = 95% confidence interval). The selected model was SARIMA(1,0,0)x(1,0,2,12), applied to untransformed data. (B) Residual diagnostics include autocorrelation function (ACF) and partial autocorrelation function (PACF) plots with 95% confidence intervals and key summary statistics. </w:t>
      </w:r>
      <w:r w:rsidRPr="00C84698">
        <w:rPr>
          <w:rFonts w:ascii="Times New Roman" w:hAnsi="Times New Roman" w:cs="Times New Roman"/>
          <w:i/>
          <w:iCs/>
        </w:rPr>
        <w:lastRenderedPageBreak/>
        <w:t>The Ljung-Box test (p = 0.97) indicates no evidence of autocorrelation, and the heteroskedasticity test (p = 0.00) suggests variance is not constant. The Jarque-Bera test (p = 0.00), skewness (–1.27), and kurtosis (4.45) highlight substantial left skew and moderately heavy tails, indicating notable deviations from normality.</w:t>
      </w:r>
    </w:p>
    <w:p w14:paraId="30C486B6"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noProof/>
        </w:rPr>
        <w:drawing>
          <wp:inline distT="0" distB="0" distL="0" distR="0" wp14:anchorId="78FCCD2A" wp14:editId="1557C6A3">
            <wp:extent cx="5943600" cy="6436360"/>
            <wp:effectExtent l="0" t="0" r="0" b="2540"/>
            <wp:docPr id="1387666144" name="Picture 8" descr="A graph of different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66144" name="Picture 8" descr="A graph of different data&#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943600" cy="6436360"/>
                    </a:xfrm>
                    <a:prstGeom prst="rect">
                      <a:avLst/>
                    </a:prstGeom>
                  </pic:spPr>
                </pic:pic>
              </a:graphicData>
            </a:graphic>
          </wp:inline>
        </w:drawing>
      </w:r>
    </w:p>
    <w:p w14:paraId="7E70CC14" w14:textId="59998C44" w:rsidR="00C84698" w:rsidRPr="00C84698" w:rsidRDefault="00C84698" w:rsidP="00C84698">
      <w:pPr>
        <w:spacing w:after="0"/>
        <w:rPr>
          <w:rFonts w:ascii="Times New Roman" w:hAnsi="Times New Roman" w:cs="Times New Roman"/>
          <w:i/>
          <w:iCs/>
        </w:rPr>
      </w:pPr>
      <w:r w:rsidRPr="00C84698">
        <w:rPr>
          <w:rFonts w:ascii="Times New Roman" w:hAnsi="Times New Roman" w:cs="Times New Roman"/>
          <w:i/>
          <w:iCs/>
        </w:rPr>
        <w:t>Figure SI-10. (A) Monthly thermoelectric water consumption (</w:t>
      </w:r>
      <w:proofErr w:type="spellStart"/>
      <w:r w:rsidRPr="00C84698">
        <w:rPr>
          <w:rFonts w:ascii="Times New Roman" w:hAnsi="Times New Roman" w:cs="Times New Roman"/>
          <w:i/>
          <w:iCs/>
        </w:rPr>
        <w:t>cu_mgd</w:t>
      </w:r>
      <w:proofErr w:type="spellEnd"/>
      <w:r w:rsidRPr="00C84698">
        <w:rPr>
          <w:rFonts w:ascii="Times New Roman" w:hAnsi="Times New Roman" w:cs="Times New Roman"/>
          <w:i/>
          <w:iCs/>
        </w:rPr>
        <w:t xml:space="preserve">) for HUC-12 130700071102, displaying observed data from 2008–2010 (blue points and lines) and SARIMA-based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estimates for 2000–2007 (red dashed line = </w:t>
      </w:r>
      <w:proofErr w:type="spellStart"/>
      <w:r w:rsidRPr="00C84698">
        <w:rPr>
          <w:rFonts w:ascii="Times New Roman" w:hAnsi="Times New Roman" w:cs="Times New Roman"/>
          <w:i/>
          <w:iCs/>
        </w:rPr>
        <w:t>backcast</w:t>
      </w:r>
      <w:proofErr w:type="spellEnd"/>
      <w:r w:rsidRPr="00C84698">
        <w:rPr>
          <w:rFonts w:ascii="Times New Roman" w:hAnsi="Times New Roman" w:cs="Times New Roman"/>
          <w:i/>
          <w:iCs/>
        </w:rPr>
        <w:t xml:space="preserve"> mean; shaded area = 95% confidence interval). The model used was SARIMA(0,0,0)x(1,1,0,12), fit to untransformed data. </w:t>
      </w:r>
      <w:r w:rsidRPr="00C84698">
        <w:rPr>
          <w:rFonts w:ascii="Times New Roman" w:hAnsi="Times New Roman" w:cs="Times New Roman"/>
          <w:i/>
          <w:iCs/>
        </w:rPr>
        <w:lastRenderedPageBreak/>
        <w:t>This plant ceased operation in 2011, resulting in a shorter observed time series. (B) Residual diagnostics include autocorrelation function (ACF) and partial autocorrelation function (PACF) plots with 95% confidence intervals and key statistical test results. The Ljung-Box test (p = 0.78) and heteroskedasticity test (p = 0.26) show no significant autocorrelation or variance instability. However, the Jarque-Bera test (p = 0.28), skewness (–0.54), and kurtosis (4.52) suggest moderate deviations from normality, primarily due to tail heaviness and mild left skew.</w:t>
      </w:r>
    </w:p>
    <w:p w14:paraId="51F22743" w14:textId="77777777" w:rsidR="00C84698" w:rsidRDefault="00C84698" w:rsidP="00C84698">
      <w:pPr>
        <w:spacing w:after="0"/>
        <w:rPr>
          <w:rFonts w:ascii="Times New Roman" w:hAnsi="Times New Roman" w:cs="Times New Roman"/>
          <w:b/>
          <w:bCs/>
        </w:rPr>
      </w:pPr>
    </w:p>
    <w:p w14:paraId="485224E9" w14:textId="196850D8" w:rsidR="00C84698" w:rsidRPr="00C84698" w:rsidRDefault="00C84698" w:rsidP="00C84698">
      <w:pPr>
        <w:spacing w:after="0"/>
        <w:rPr>
          <w:rFonts w:ascii="Times New Roman" w:hAnsi="Times New Roman" w:cs="Times New Roman"/>
          <w:b/>
          <w:bCs/>
        </w:rPr>
      </w:pPr>
      <w:r w:rsidRPr="00C84698">
        <w:rPr>
          <w:rFonts w:ascii="Times New Roman" w:hAnsi="Times New Roman" w:cs="Times New Roman"/>
          <w:b/>
          <w:bCs/>
        </w:rPr>
        <w:t>Linearly Interpolating Mexico Thermoelectric Power Plant Values</w:t>
      </w:r>
    </w:p>
    <w:p w14:paraId="125ECC0C"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Annual estimates of Mexican thermoelectric power plant water consumption for the Rio Bravo portion of the Rio Grande/Rio Bravo basin between 2000 and 2020 were obtained from the </w:t>
      </w:r>
      <w:proofErr w:type="spellStart"/>
      <w:r w:rsidRPr="00C84698">
        <w:rPr>
          <w:rFonts w:ascii="Times New Roman" w:hAnsi="Times New Roman" w:cs="Times New Roman"/>
        </w:rPr>
        <w:t>Estadísticas</w:t>
      </w:r>
      <w:proofErr w:type="spellEnd"/>
      <w:r w:rsidRPr="00C84698">
        <w:rPr>
          <w:rFonts w:ascii="Times New Roman" w:hAnsi="Times New Roman" w:cs="Times New Roman"/>
        </w:rPr>
        <w:t xml:space="preserve"> del Agua </w:t>
      </w:r>
      <w:proofErr w:type="spellStart"/>
      <w:r w:rsidRPr="00C84698">
        <w:rPr>
          <w:rFonts w:ascii="Times New Roman" w:hAnsi="Times New Roman" w:cs="Times New Roman"/>
        </w:rPr>
        <w:t>en</w:t>
      </w:r>
      <w:proofErr w:type="spellEnd"/>
      <w:r w:rsidRPr="00C84698">
        <w:rPr>
          <w:rFonts w:ascii="Times New Roman" w:hAnsi="Times New Roman" w:cs="Times New Roman"/>
        </w:rPr>
        <w:t xml:space="preserve"> México annual reports published by the Sistema Nacional de </w:t>
      </w:r>
      <w:proofErr w:type="spellStart"/>
      <w:r w:rsidRPr="00C84698">
        <w:rPr>
          <w:rFonts w:ascii="Times New Roman" w:hAnsi="Times New Roman" w:cs="Times New Roman"/>
        </w:rPr>
        <w:t>Información</w:t>
      </w:r>
      <w:proofErr w:type="spellEnd"/>
      <w:r w:rsidRPr="00C84698">
        <w:rPr>
          <w:rFonts w:ascii="Times New Roman" w:hAnsi="Times New Roman" w:cs="Times New Roman"/>
        </w:rPr>
        <w:t xml:space="preserve"> del Agua (2025). However, two data gaps were present in the collected data. First, annual reports were missing for 2000, 2001, 2002, and 2020. Second, there were partial reports in 2004, 2005, 2008, 2009, and 2013 where thermoelectric power plant water withdrawal was reported, but water consumption was not. </w:t>
      </w:r>
    </w:p>
    <w:p w14:paraId="59C6B430"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To address these data gaps, we constructed a complete time series of annual thermoelectric water consumption values (in hm³) for the Rio Bravo basin using a multi-step strategy. For 2000 to 2002, which lacked any reported data, we assumed the same consumptive use value as in 2003 (30.55 hm³), the first year with available data. This conservative approach avoids extrapolating into a period with no established baseline trend, as no annual reports were available prior to 2003. We applied linear interpolation based on adjacent known values for years with partially reported or missing data - 2004, 2005, 2008, 2009, 2013, and 2020. To interpolate a value for 2020, we included the reported consumptive value from the 2021 annual report to provide an adjacent value. Interpolation was performed strictly between observed data points to preserve the long-term trend and avoid introducing artificial seasonality or curvature. This approach provides plausible and consistent estimates for missing years. A side-by-side comparison of the pre-interpolation and post-interpolation values is presented in Table S2.</w:t>
      </w:r>
    </w:p>
    <w:p w14:paraId="36FB6862" w14:textId="77777777" w:rsidR="00C84698" w:rsidRPr="00C84698" w:rsidRDefault="00C84698" w:rsidP="00C84698">
      <w:pPr>
        <w:spacing w:after="0"/>
        <w:rPr>
          <w:rFonts w:ascii="Times New Roman" w:hAnsi="Times New Roman" w:cs="Times New Roman"/>
        </w:rPr>
      </w:pPr>
    </w:p>
    <w:p w14:paraId="65E0545C" w14:textId="6A1F39EB" w:rsidR="00C84698" w:rsidRPr="00C84698" w:rsidRDefault="00C84698" w:rsidP="00C84698">
      <w:pPr>
        <w:spacing w:after="0"/>
        <w:rPr>
          <w:rFonts w:ascii="Times New Roman" w:hAnsi="Times New Roman" w:cs="Times New Roman"/>
          <w:b/>
          <w:bCs/>
          <w:i/>
          <w:iCs/>
        </w:rPr>
      </w:pPr>
      <w:r w:rsidRPr="00C84698">
        <w:rPr>
          <w:rFonts w:ascii="Times New Roman" w:hAnsi="Times New Roman" w:cs="Times New Roman"/>
          <w:b/>
          <w:bCs/>
          <w:i/>
          <w:iCs/>
        </w:rPr>
        <w:t>Table S</w:t>
      </w:r>
      <w:r>
        <w:rPr>
          <w:rFonts w:ascii="Times New Roman" w:hAnsi="Times New Roman" w:cs="Times New Roman"/>
          <w:b/>
          <w:bCs/>
          <w:i/>
          <w:iCs/>
        </w:rPr>
        <w:t>I-4</w:t>
      </w:r>
      <w:r w:rsidRPr="00C84698">
        <w:rPr>
          <w:rFonts w:ascii="Times New Roman" w:hAnsi="Times New Roman" w:cs="Times New Roman"/>
          <w:b/>
          <w:bCs/>
          <w:i/>
          <w:iCs/>
        </w:rPr>
        <w:t>. Annual Mexican thermoelectric water consumption values (in cubic hectometers - hm³) for a U.S. power plant site along the Rio Grande/Rio Bravo basin, shown before and after linear interpolation. Missing values were filled using linear interpolation where possible. Years prior to 2003 lack official reported data; therefore, values for 2000–2002 were held constant at the 2003 level (30.55 hm³) and are marked with an asterisk (*). For years where both pre- and post-interpolation values exist, no adjustments were made. The interpolation was performed to ensure a continuous dataset for modeling and trend analysis between 2000 and 2021.</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3237"/>
        <w:gridCol w:w="3055"/>
      </w:tblGrid>
      <w:tr w:rsidR="00C84698" w:rsidRPr="00C84698" w14:paraId="7CC5124D" w14:textId="77777777" w:rsidTr="0077351B">
        <w:trPr>
          <w:trHeight w:val="558"/>
        </w:trPr>
        <w:tc>
          <w:tcPr>
            <w:tcW w:w="3058" w:type="dxa"/>
            <w:tcBorders>
              <w:top w:val="single" w:sz="18" w:space="0" w:color="auto"/>
              <w:bottom w:val="single" w:sz="18" w:space="0" w:color="auto"/>
            </w:tcBorders>
            <w:vAlign w:val="center"/>
          </w:tcPr>
          <w:p w14:paraId="6A1148AD"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Year</w:t>
            </w:r>
          </w:p>
        </w:tc>
        <w:tc>
          <w:tcPr>
            <w:tcW w:w="3237" w:type="dxa"/>
            <w:tcBorders>
              <w:top w:val="single" w:sz="18" w:space="0" w:color="auto"/>
              <w:bottom w:val="single" w:sz="18" w:space="0" w:color="auto"/>
            </w:tcBorders>
            <w:vAlign w:val="center"/>
          </w:tcPr>
          <w:p w14:paraId="341E0D55"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 xml:space="preserve">Pre-Interpolation </w:t>
            </w:r>
          </w:p>
          <w:p w14:paraId="7FF252B6"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Consumption Value (hm3)</w:t>
            </w:r>
          </w:p>
        </w:tc>
        <w:tc>
          <w:tcPr>
            <w:tcW w:w="3055" w:type="dxa"/>
            <w:tcBorders>
              <w:top w:val="single" w:sz="18" w:space="0" w:color="auto"/>
              <w:bottom w:val="single" w:sz="18" w:space="0" w:color="auto"/>
            </w:tcBorders>
            <w:vAlign w:val="center"/>
          </w:tcPr>
          <w:p w14:paraId="0E5C1259"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 xml:space="preserve">Post-Interpolation </w:t>
            </w:r>
          </w:p>
          <w:p w14:paraId="7D3887F7"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Consumption Value (hm3)</w:t>
            </w:r>
          </w:p>
        </w:tc>
      </w:tr>
      <w:tr w:rsidR="00C84698" w:rsidRPr="00C84698" w14:paraId="1C23EE51" w14:textId="77777777" w:rsidTr="0077351B">
        <w:tc>
          <w:tcPr>
            <w:tcW w:w="3058" w:type="dxa"/>
            <w:tcBorders>
              <w:top w:val="single" w:sz="18" w:space="0" w:color="auto"/>
            </w:tcBorders>
            <w:vAlign w:val="center"/>
          </w:tcPr>
          <w:p w14:paraId="2F5C12A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2000</w:t>
            </w:r>
          </w:p>
        </w:tc>
        <w:tc>
          <w:tcPr>
            <w:tcW w:w="3237" w:type="dxa"/>
            <w:tcBorders>
              <w:top w:val="single" w:sz="18" w:space="0" w:color="auto"/>
            </w:tcBorders>
            <w:vAlign w:val="center"/>
          </w:tcPr>
          <w:p w14:paraId="7A4556A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tcBorders>
              <w:top w:val="single" w:sz="18" w:space="0" w:color="auto"/>
            </w:tcBorders>
            <w:vAlign w:val="center"/>
          </w:tcPr>
          <w:p w14:paraId="511B374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30.55*</w:t>
            </w:r>
          </w:p>
        </w:tc>
      </w:tr>
      <w:tr w:rsidR="00C84698" w:rsidRPr="00C84698" w14:paraId="1012F5CB" w14:textId="77777777" w:rsidTr="0077351B">
        <w:tc>
          <w:tcPr>
            <w:tcW w:w="3058" w:type="dxa"/>
            <w:vAlign w:val="center"/>
          </w:tcPr>
          <w:p w14:paraId="297A5F4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2001</w:t>
            </w:r>
          </w:p>
        </w:tc>
        <w:tc>
          <w:tcPr>
            <w:tcW w:w="3237" w:type="dxa"/>
            <w:vAlign w:val="center"/>
          </w:tcPr>
          <w:p w14:paraId="56A54BE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vAlign w:val="center"/>
          </w:tcPr>
          <w:p w14:paraId="1E5DD07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30.55*</w:t>
            </w:r>
          </w:p>
        </w:tc>
      </w:tr>
      <w:tr w:rsidR="00C84698" w:rsidRPr="00C84698" w14:paraId="47344384" w14:textId="77777777" w:rsidTr="0077351B">
        <w:tc>
          <w:tcPr>
            <w:tcW w:w="3058" w:type="dxa"/>
            <w:vAlign w:val="center"/>
          </w:tcPr>
          <w:p w14:paraId="426C25B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lastRenderedPageBreak/>
              <w:t>2002</w:t>
            </w:r>
          </w:p>
        </w:tc>
        <w:tc>
          <w:tcPr>
            <w:tcW w:w="3237" w:type="dxa"/>
            <w:vAlign w:val="center"/>
          </w:tcPr>
          <w:p w14:paraId="49EED2F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vAlign w:val="center"/>
          </w:tcPr>
          <w:p w14:paraId="6A1F20A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30.55*</w:t>
            </w:r>
          </w:p>
        </w:tc>
      </w:tr>
      <w:tr w:rsidR="00C84698" w:rsidRPr="00C84698" w14:paraId="4FB8B878" w14:textId="77777777" w:rsidTr="0077351B">
        <w:tc>
          <w:tcPr>
            <w:tcW w:w="3058" w:type="dxa"/>
            <w:vAlign w:val="center"/>
          </w:tcPr>
          <w:p w14:paraId="3B0EF62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2003</w:t>
            </w:r>
          </w:p>
        </w:tc>
        <w:tc>
          <w:tcPr>
            <w:tcW w:w="3237" w:type="dxa"/>
            <w:vAlign w:val="center"/>
          </w:tcPr>
          <w:p w14:paraId="4806B9F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30.55</w:t>
            </w:r>
          </w:p>
        </w:tc>
        <w:tc>
          <w:tcPr>
            <w:tcW w:w="3055" w:type="dxa"/>
            <w:vAlign w:val="center"/>
          </w:tcPr>
          <w:p w14:paraId="4518491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30.55</w:t>
            </w:r>
          </w:p>
        </w:tc>
      </w:tr>
      <w:tr w:rsidR="00C84698" w:rsidRPr="00C84698" w14:paraId="764F769E" w14:textId="77777777" w:rsidTr="0077351B">
        <w:tc>
          <w:tcPr>
            <w:tcW w:w="3058" w:type="dxa"/>
            <w:vAlign w:val="center"/>
          </w:tcPr>
          <w:p w14:paraId="7C89A78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2004</w:t>
            </w:r>
          </w:p>
        </w:tc>
        <w:tc>
          <w:tcPr>
            <w:tcW w:w="3237" w:type="dxa"/>
            <w:vAlign w:val="center"/>
          </w:tcPr>
          <w:p w14:paraId="47EC373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vAlign w:val="center"/>
          </w:tcPr>
          <w:p w14:paraId="4C0EFEB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56.7</w:t>
            </w:r>
          </w:p>
        </w:tc>
      </w:tr>
      <w:tr w:rsidR="00C84698" w:rsidRPr="00C84698" w14:paraId="1916F863" w14:textId="77777777" w:rsidTr="0077351B">
        <w:tc>
          <w:tcPr>
            <w:tcW w:w="3058" w:type="dxa"/>
            <w:vAlign w:val="center"/>
          </w:tcPr>
          <w:p w14:paraId="6186830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2005</w:t>
            </w:r>
          </w:p>
        </w:tc>
        <w:tc>
          <w:tcPr>
            <w:tcW w:w="3237" w:type="dxa"/>
            <w:vAlign w:val="center"/>
          </w:tcPr>
          <w:p w14:paraId="005EB37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vAlign w:val="center"/>
          </w:tcPr>
          <w:p w14:paraId="4C16931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86.85</w:t>
            </w:r>
          </w:p>
        </w:tc>
      </w:tr>
      <w:tr w:rsidR="00C84698" w:rsidRPr="00C84698" w14:paraId="5D640CE4" w14:textId="77777777" w:rsidTr="0077351B">
        <w:tc>
          <w:tcPr>
            <w:tcW w:w="3058" w:type="dxa"/>
            <w:vAlign w:val="center"/>
          </w:tcPr>
          <w:p w14:paraId="2143B3F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2006</w:t>
            </w:r>
          </w:p>
        </w:tc>
        <w:tc>
          <w:tcPr>
            <w:tcW w:w="3237" w:type="dxa"/>
            <w:vAlign w:val="center"/>
          </w:tcPr>
          <w:p w14:paraId="3D5B3DC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115</w:t>
            </w:r>
          </w:p>
        </w:tc>
        <w:tc>
          <w:tcPr>
            <w:tcW w:w="3055" w:type="dxa"/>
            <w:vAlign w:val="center"/>
          </w:tcPr>
          <w:p w14:paraId="705DE69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115</w:t>
            </w:r>
          </w:p>
        </w:tc>
      </w:tr>
      <w:tr w:rsidR="00C84698" w:rsidRPr="00C84698" w14:paraId="343A72E3" w14:textId="77777777" w:rsidTr="0077351B">
        <w:tc>
          <w:tcPr>
            <w:tcW w:w="3058" w:type="dxa"/>
            <w:vAlign w:val="center"/>
          </w:tcPr>
          <w:p w14:paraId="624F5F2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2007</w:t>
            </w:r>
          </w:p>
        </w:tc>
        <w:tc>
          <w:tcPr>
            <w:tcW w:w="3237" w:type="dxa"/>
            <w:vAlign w:val="center"/>
          </w:tcPr>
          <w:p w14:paraId="1A02D46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115</w:t>
            </w:r>
          </w:p>
        </w:tc>
        <w:tc>
          <w:tcPr>
            <w:tcW w:w="3055" w:type="dxa"/>
            <w:vAlign w:val="center"/>
          </w:tcPr>
          <w:p w14:paraId="799A6C5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115</w:t>
            </w:r>
          </w:p>
        </w:tc>
      </w:tr>
      <w:tr w:rsidR="00C84698" w:rsidRPr="00C84698" w14:paraId="448E5DF9" w14:textId="77777777" w:rsidTr="0077351B">
        <w:tc>
          <w:tcPr>
            <w:tcW w:w="3058" w:type="dxa"/>
            <w:vAlign w:val="center"/>
          </w:tcPr>
          <w:p w14:paraId="415633E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2008</w:t>
            </w:r>
          </w:p>
        </w:tc>
        <w:tc>
          <w:tcPr>
            <w:tcW w:w="3237" w:type="dxa"/>
            <w:vAlign w:val="center"/>
          </w:tcPr>
          <w:p w14:paraId="2312CD3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vAlign w:val="center"/>
          </w:tcPr>
          <w:p w14:paraId="235665D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114</w:t>
            </w:r>
          </w:p>
        </w:tc>
      </w:tr>
      <w:tr w:rsidR="00C84698" w:rsidRPr="00C84698" w14:paraId="3AAC72B9" w14:textId="77777777" w:rsidTr="0077351B">
        <w:tc>
          <w:tcPr>
            <w:tcW w:w="3058" w:type="dxa"/>
            <w:vAlign w:val="center"/>
          </w:tcPr>
          <w:p w14:paraId="24B7E40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2009</w:t>
            </w:r>
          </w:p>
        </w:tc>
        <w:tc>
          <w:tcPr>
            <w:tcW w:w="3237" w:type="dxa"/>
            <w:vAlign w:val="center"/>
          </w:tcPr>
          <w:p w14:paraId="3DB316A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vAlign w:val="center"/>
          </w:tcPr>
          <w:p w14:paraId="1A794DD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113</w:t>
            </w:r>
          </w:p>
        </w:tc>
      </w:tr>
      <w:tr w:rsidR="00C84698" w:rsidRPr="00C84698" w14:paraId="229DCA54" w14:textId="77777777" w:rsidTr="0077351B">
        <w:tc>
          <w:tcPr>
            <w:tcW w:w="3058" w:type="dxa"/>
            <w:vAlign w:val="center"/>
          </w:tcPr>
          <w:p w14:paraId="04B9E47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2010</w:t>
            </w:r>
          </w:p>
        </w:tc>
        <w:tc>
          <w:tcPr>
            <w:tcW w:w="3237" w:type="dxa"/>
            <w:vAlign w:val="center"/>
          </w:tcPr>
          <w:p w14:paraId="6A7EB17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112</w:t>
            </w:r>
          </w:p>
        </w:tc>
        <w:tc>
          <w:tcPr>
            <w:tcW w:w="3055" w:type="dxa"/>
            <w:vAlign w:val="center"/>
          </w:tcPr>
          <w:p w14:paraId="196A6B2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112</w:t>
            </w:r>
          </w:p>
        </w:tc>
      </w:tr>
      <w:tr w:rsidR="00C84698" w:rsidRPr="00C84698" w14:paraId="6833149C" w14:textId="77777777" w:rsidTr="0077351B">
        <w:tc>
          <w:tcPr>
            <w:tcW w:w="3058" w:type="dxa"/>
            <w:vAlign w:val="center"/>
          </w:tcPr>
          <w:p w14:paraId="1A67C87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2011</w:t>
            </w:r>
          </w:p>
        </w:tc>
        <w:tc>
          <w:tcPr>
            <w:tcW w:w="3237" w:type="dxa"/>
            <w:vAlign w:val="center"/>
          </w:tcPr>
          <w:p w14:paraId="1A824FC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112</w:t>
            </w:r>
          </w:p>
        </w:tc>
        <w:tc>
          <w:tcPr>
            <w:tcW w:w="3055" w:type="dxa"/>
            <w:vAlign w:val="center"/>
          </w:tcPr>
          <w:p w14:paraId="143C4BC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112</w:t>
            </w:r>
          </w:p>
        </w:tc>
      </w:tr>
      <w:tr w:rsidR="00C84698" w:rsidRPr="00C84698" w14:paraId="1AC95A06" w14:textId="77777777" w:rsidTr="0077351B">
        <w:tc>
          <w:tcPr>
            <w:tcW w:w="3058" w:type="dxa"/>
            <w:vAlign w:val="center"/>
          </w:tcPr>
          <w:p w14:paraId="0AAA9B4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2012</w:t>
            </w:r>
          </w:p>
        </w:tc>
        <w:tc>
          <w:tcPr>
            <w:tcW w:w="3237" w:type="dxa"/>
            <w:vAlign w:val="center"/>
          </w:tcPr>
          <w:p w14:paraId="4E14079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111.5</w:t>
            </w:r>
          </w:p>
        </w:tc>
        <w:tc>
          <w:tcPr>
            <w:tcW w:w="3055" w:type="dxa"/>
            <w:vAlign w:val="center"/>
          </w:tcPr>
          <w:p w14:paraId="71746EB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111.5</w:t>
            </w:r>
          </w:p>
        </w:tc>
      </w:tr>
      <w:tr w:rsidR="00C84698" w:rsidRPr="00C84698" w14:paraId="2AFA5DA0" w14:textId="77777777" w:rsidTr="0077351B">
        <w:tc>
          <w:tcPr>
            <w:tcW w:w="3058" w:type="dxa"/>
            <w:vAlign w:val="center"/>
          </w:tcPr>
          <w:p w14:paraId="398F5A5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2013</w:t>
            </w:r>
          </w:p>
        </w:tc>
        <w:tc>
          <w:tcPr>
            <w:tcW w:w="3237" w:type="dxa"/>
            <w:vAlign w:val="center"/>
          </w:tcPr>
          <w:p w14:paraId="4B89A45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vAlign w:val="center"/>
          </w:tcPr>
          <w:p w14:paraId="7A730E5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111.25</w:t>
            </w:r>
          </w:p>
        </w:tc>
      </w:tr>
      <w:tr w:rsidR="00C84698" w:rsidRPr="00C84698" w14:paraId="7F0A9F1D" w14:textId="77777777" w:rsidTr="0077351B">
        <w:tc>
          <w:tcPr>
            <w:tcW w:w="3058" w:type="dxa"/>
            <w:vAlign w:val="center"/>
          </w:tcPr>
          <w:p w14:paraId="61E68F2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2014</w:t>
            </w:r>
          </w:p>
        </w:tc>
        <w:tc>
          <w:tcPr>
            <w:tcW w:w="3237" w:type="dxa"/>
            <w:vAlign w:val="center"/>
          </w:tcPr>
          <w:p w14:paraId="650F993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c>
          <w:tcPr>
            <w:tcW w:w="3055" w:type="dxa"/>
            <w:vAlign w:val="center"/>
          </w:tcPr>
          <w:p w14:paraId="227509E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r>
      <w:tr w:rsidR="00C84698" w:rsidRPr="00C84698" w14:paraId="11CD66B6" w14:textId="77777777" w:rsidTr="0077351B">
        <w:tc>
          <w:tcPr>
            <w:tcW w:w="3058" w:type="dxa"/>
            <w:vAlign w:val="center"/>
          </w:tcPr>
          <w:p w14:paraId="5587097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2015</w:t>
            </w:r>
          </w:p>
        </w:tc>
        <w:tc>
          <w:tcPr>
            <w:tcW w:w="3237" w:type="dxa"/>
            <w:vAlign w:val="center"/>
          </w:tcPr>
          <w:p w14:paraId="388292F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c>
          <w:tcPr>
            <w:tcW w:w="3055" w:type="dxa"/>
            <w:vAlign w:val="center"/>
          </w:tcPr>
          <w:p w14:paraId="044CCFD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r>
      <w:tr w:rsidR="00C84698" w:rsidRPr="00C84698" w14:paraId="2338B5D4" w14:textId="77777777" w:rsidTr="0077351B">
        <w:tc>
          <w:tcPr>
            <w:tcW w:w="3058" w:type="dxa"/>
            <w:vAlign w:val="center"/>
          </w:tcPr>
          <w:p w14:paraId="0FEA092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2016</w:t>
            </w:r>
          </w:p>
        </w:tc>
        <w:tc>
          <w:tcPr>
            <w:tcW w:w="3237" w:type="dxa"/>
            <w:vAlign w:val="center"/>
          </w:tcPr>
          <w:p w14:paraId="206E812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c>
          <w:tcPr>
            <w:tcW w:w="3055" w:type="dxa"/>
            <w:vAlign w:val="center"/>
          </w:tcPr>
          <w:p w14:paraId="4A5E6AE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r>
      <w:tr w:rsidR="00C84698" w:rsidRPr="00C84698" w14:paraId="2CC3E443" w14:textId="77777777" w:rsidTr="0077351B">
        <w:tc>
          <w:tcPr>
            <w:tcW w:w="3058" w:type="dxa"/>
            <w:vAlign w:val="center"/>
          </w:tcPr>
          <w:p w14:paraId="51A4548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2017</w:t>
            </w:r>
          </w:p>
        </w:tc>
        <w:tc>
          <w:tcPr>
            <w:tcW w:w="3237" w:type="dxa"/>
            <w:vAlign w:val="center"/>
          </w:tcPr>
          <w:p w14:paraId="284C19C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c>
          <w:tcPr>
            <w:tcW w:w="3055" w:type="dxa"/>
            <w:vAlign w:val="center"/>
          </w:tcPr>
          <w:p w14:paraId="0A85095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r>
      <w:tr w:rsidR="00C84698" w:rsidRPr="00C84698" w14:paraId="00447FDB" w14:textId="77777777" w:rsidTr="0077351B">
        <w:tc>
          <w:tcPr>
            <w:tcW w:w="3058" w:type="dxa"/>
            <w:vAlign w:val="center"/>
          </w:tcPr>
          <w:p w14:paraId="7218A4C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2018</w:t>
            </w:r>
          </w:p>
        </w:tc>
        <w:tc>
          <w:tcPr>
            <w:tcW w:w="3237" w:type="dxa"/>
            <w:vAlign w:val="center"/>
          </w:tcPr>
          <w:p w14:paraId="36760FE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c>
          <w:tcPr>
            <w:tcW w:w="3055" w:type="dxa"/>
            <w:vAlign w:val="center"/>
          </w:tcPr>
          <w:p w14:paraId="6A4BFD6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r>
      <w:tr w:rsidR="00C84698" w:rsidRPr="00C84698" w14:paraId="257FB22C" w14:textId="77777777" w:rsidTr="0077351B">
        <w:tc>
          <w:tcPr>
            <w:tcW w:w="3058" w:type="dxa"/>
            <w:vAlign w:val="center"/>
          </w:tcPr>
          <w:p w14:paraId="5EE9B39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2019</w:t>
            </w:r>
          </w:p>
        </w:tc>
        <w:tc>
          <w:tcPr>
            <w:tcW w:w="3237" w:type="dxa"/>
            <w:vAlign w:val="center"/>
          </w:tcPr>
          <w:p w14:paraId="469ADF0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c>
          <w:tcPr>
            <w:tcW w:w="3055" w:type="dxa"/>
            <w:vAlign w:val="center"/>
          </w:tcPr>
          <w:p w14:paraId="3E6AE27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111</w:t>
            </w:r>
          </w:p>
        </w:tc>
      </w:tr>
      <w:tr w:rsidR="00C84698" w:rsidRPr="00C84698" w14:paraId="2795F157" w14:textId="77777777" w:rsidTr="0077351B">
        <w:tc>
          <w:tcPr>
            <w:tcW w:w="3058" w:type="dxa"/>
            <w:vAlign w:val="center"/>
          </w:tcPr>
          <w:p w14:paraId="2EE316E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2020</w:t>
            </w:r>
          </w:p>
        </w:tc>
        <w:tc>
          <w:tcPr>
            <w:tcW w:w="3237" w:type="dxa"/>
            <w:vAlign w:val="center"/>
          </w:tcPr>
          <w:p w14:paraId="58F187D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w:t>
            </w:r>
          </w:p>
        </w:tc>
        <w:tc>
          <w:tcPr>
            <w:tcW w:w="3055" w:type="dxa"/>
            <w:vAlign w:val="center"/>
          </w:tcPr>
          <w:p w14:paraId="44F5DFC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87</w:t>
            </w:r>
          </w:p>
        </w:tc>
      </w:tr>
      <w:tr w:rsidR="00C84698" w:rsidRPr="00C84698" w14:paraId="229CFDCB" w14:textId="77777777" w:rsidTr="0077351B">
        <w:tc>
          <w:tcPr>
            <w:tcW w:w="3058" w:type="dxa"/>
            <w:vAlign w:val="center"/>
          </w:tcPr>
          <w:p w14:paraId="3E58649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2021</w:t>
            </w:r>
          </w:p>
        </w:tc>
        <w:tc>
          <w:tcPr>
            <w:tcW w:w="3237" w:type="dxa"/>
            <w:vAlign w:val="center"/>
          </w:tcPr>
          <w:p w14:paraId="60186B8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63</w:t>
            </w:r>
          </w:p>
        </w:tc>
        <w:tc>
          <w:tcPr>
            <w:tcW w:w="3055" w:type="dxa"/>
            <w:vAlign w:val="center"/>
          </w:tcPr>
          <w:p w14:paraId="23E1A5A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63</w:t>
            </w:r>
          </w:p>
        </w:tc>
      </w:tr>
    </w:tbl>
    <w:p w14:paraId="7BC10D77" w14:textId="77777777" w:rsidR="00C84698" w:rsidRPr="00C84698" w:rsidRDefault="00C84698" w:rsidP="00C84698">
      <w:pPr>
        <w:spacing w:after="0"/>
        <w:rPr>
          <w:rFonts w:ascii="Times New Roman" w:hAnsi="Times New Roman" w:cs="Times New Roman"/>
        </w:rPr>
      </w:pPr>
    </w:p>
    <w:p w14:paraId="382E7B54"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After constructing the gap-filled time series of annual thermoelectric water consumption for the Rio Bravo basin, we proportionally allocated basin-wide values to individual Mexican HUC-8 sub-basins based on thermoelectric power plant infrastructure characteristics. This disaggregation was designed to reflect spatial heterogeneity in water use by incorporating facility-level information. Allocation weights were derived from two primary attributes: the total installed generation capacity (in megawatts, MW) of thermoelectric power plants within each sub-basin and the operational start year of each plant, which determined its contribution to water use each year.</w:t>
      </w:r>
    </w:p>
    <w:p w14:paraId="6A3E0AF9" w14:textId="77777777"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To implement this, we first compiled detailed facility-level data, including plant name, fuel type, generation technology, installed capacity, and operational year for all known thermoelectric units operating between 2000 and 2020 within the Rio Bravo basin. This data was sourced from the Global Energy Monitor Wiki (GEM, 2025) and cross-referenced with the World Resource Institute’s Global Power Plant Database (Table S3; Byers et al., 2018). We constructed capacity profiles for each year by identifying operational units within each HUC-8 and summing their total installed capacities to reflect the sub-basin's annual generation capacity. Annual allocation weights were then calculated by dividing each HUC-8’s capacity by the total operational capacity across all HUC-8s in that year (Equation 7):</w:t>
      </w:r>
    </w:p>
    <w:p w14:paraId="6937DAE8" w14:textId="77777777" w:rsidR="00C84698" w:rsidRPr="00C84698" w:rsidRDefault="00C84698" w:rsidP="00C84698">
      <w:pPr>
        <w:spacing w:after="0"/>
        <w:rPr>
          <w:rFonts w:ascii="Times New Roman" w:hAnsi="Times New Roman" w:cs="Times New Roman"/>
        </w:rPr>
      </w:pPr>
    </w:p>
    <w:p w14:paraId="1ED5D811" w14:textId="4967A187" w:rsidR="00C84698" w:rsidRPr="00C84698" w:rsidRDefault="00000000" w:rsidP="00C84698">
      <w:pPr>
        <w:spacing w:after="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h,t</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h,t</m:t>
                </m:r>
              </m:sub>
            </m:sSub>
          </m:num>
          <m:den>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i,t</m:t>
                    </m:r>
                  </m:sub>
                </m:sSub>
              </m:e>
            </m:nary>
          </m:den>
        </m:f>
      </m:oMath>
      <w:r w:rsidR="00C84698" w:rsidRPr="00C84698">
        <w:rPr>
          <w:rFonts w:ascii="Times New Roman" w:hAnsi="Times New Roman" w:cs="Times New Roman"/>
        </w:rPr>
        <w:tab/>
      </w:r>
      <w:r w:rsidR="00C84698" w:rsidRPr="00C84698">
        <w:rPr>
          <w:rFonts w:ascii="Times New Roman" w:hAnsi="Times New Roman" w:cs="Times New Roman"/>
        </w:rPr>
        <w:tab/>
      </w:r>
      <w:r w:rsidR="00C84698" w:rsidRPr="00C84698">
        <w:rPr>
          <w:rFonts w:ascii="Times New Roman" w:hAnsi="Times New Roman" w:cs="Times New Roman"/>
        </w:rPr>
        <w:tab/>
      </w:r>
      <w:r w:rsidR="00C84698" w:rsidRPr="00C84698">
        <w:rPr>
          <w:rFonts w:ascii="Times New Roman" w:hAnsi="Times New Roman" w:cs="Times New Roman"/>
        </w:rPr>
        <w:tab/>
        <w:t>(Equation 7)</w:t>
      </w:r>
    </w:p>
    <w:p w14:paraId="0CCEB93A" w14:textId="77777777" w:rsidR="00C84698" w:rsidRPr="00C84698" w:rsidRDefault="00C84698" w:rsidP="00C84698">
      <w:pPr>
        <w:spacing w:after="0"/>
        <w:rPr>
          <w:rFonts w:ascii="Times New Roman" w:hAnsi="Times New Roman" w:cs="Times New Roman"/>
        </w:rPr>
      </w:pPr>
    </w:p>
    <w:p w14:paraId="71A4B09F" w14:textId="6D2D25AC"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h,t</m:t>
            </m:r>
          </m:sub>
        </m:sSub>
      </m:oMath>
      <w:r w:rsidRPr="00C84698">
        <w:rPr>
          <w:rFonts w:ascii="Times New Roman" w:hAnsi="Times New Roman" w:cs="Times New Roman"/>
        </w:rPr>
        <w:t xml:space="preserve"> is the weight for HUC-8 </w:t>
      </w:r>
      <w:r w:rsidRPr="00C84698">
        <w:rPr>
          <w:rFonts w:ascii="Times New Roman" w:hAnsi="Times New Roman" w:cs="Times New Roman"/>
          <w:i/>
          <w:iCs/>
        </w:rPr>
        <w:t>h</w:t>
      </w:r>
      <w:r w:rsidRPr="00C84698">
        <w:rPr>
          <w:rFonts w:ascii="Times New Roman" w:hAnsi="Times New Roman" w:cs="Times New Roman"/>
        </w:rPr>
        <w:t xml:space="preserve"> in year </w:t>
      </w:r>
      <w:r w:rsidRPr="00C84698">
        <w:rPr>
          <w:rFonts w:ascii="Times New Roman" w:hAnsi="Times New Roman" w:cs="Times New Roman"/>
          <w:i/>
          <w:iCs/>
        </w:rPr>
        <w:t>t</w:t>
      </w:r>
      <w:r w:rsidRPr="00C8469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CU</m:t>
            </m:r>
          </m:e>
          <m:sub>
            <m:r>
              <w:rPr>
                <w:rFonts w:ascii="Cambria Math" w:hAnsi="Cambria Math" w:cs="Times New Roman"/>
              </w:rPr>
              <m:t>h,t</m:t>
            </m:r>
          </m:sub>
        </m:sSub>
      </m:oMath>
      <w:r w:rsidRPr="00C84698">
        <w:rPr>
          <w:rFonts w:ascii="Times New Roman" w:hAnsi="Times New Roman" w:cs="Times New Roman"/>
        </w:rPr>
        <w:t xml:space="preserve"> is the total installed capacity in HUC-8 </w:t>
      </w:r>
      <w:r w:rsidRPr="00C84698">
        <w:rPr>
          <w:rFonts w:ascii="Times New Roman" w:hAnsi="Times New Roman" w:cs="Times New Roman"/>
          <w:i/>
          <w:iCs/>
        </w:rPr>
        <w:t>h</w:t>
      </w:r>
      <w:r w:rsidRPr="00C84698">
        <w:rPr>
          <w:rFonts w:ascii="Times New Roman" w:hAnsi="Times New Roman" w:cs="Times New Roman"/>
        </w:rPr>
        <w:t xml:space="preserve"> in year </w:t>
      </w:r>
      <w:r w:rsidRPr="00C84698">
        <w:rPr>
          <w:rFonts w:ascii="Times New Roman" w:hAnsi="Times New Roman" w:cs="Times New Roman"/>
          <w:i/>
          <w:iCs/>
        </w:rPr>
        <w:t>t</w:t>
      </w:r>
      <w:r w:rsidRPr="00C84698">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i,t</m:t>
            </m:r>
          </m:sub>
        </m:sSub>
      </m:oMath>
      <w:r w:rsidRPr="00C84698">
        <w:rPr>
          <w:rFonts w:ascii="Times New Roman" w:hAnsi="Times New Roman" w:cs="Times New Roman"/>
        </w:rPr>
        <w:t xml:space="preserve"> is the capacity of for sub-basin </w:t>
      </w:r>
      <w:proofErr w:type="spellStart"/>
      <w:r w:rsidRPr="00C84698">
        <w:rPr>
          <w:rFonts w:ascii="Times New Roman" w:hAnsi="Times New Roman" w:cs="Times New Roman"/>
          <w:i/>
          <w:iCs/>
        </w:rPr>
        <w:t>i</w:t>
      </w:r>
      <w:proofErr w:type="spellEnd"/>
      <w:r w:rsidRPr="00C84698">
        <w:rPr>
          <w:rFonts w:ascii="Times New Roman" w:hAnsi="Times New Roman" w:cs="Times New Roman"/>
          <w:i/>
          <w:iCs/>
        </w:rPr>
        <w:t xml:space="preserve"> </w:t>
      </w:r>
      <w:r w:rsidRPr="00C84698">
        <w:rPr>
          <w:rFonts w:ascii="Times New Roman" w:hAnsi="Times New Roman" w:cs="Times New Roman"/>
        </w:rPr>
        <w:t xml:space="preserve">in year </w:t>
      </w:r>
      <w:r w:rsidRPr="00C84698">
        <w:rPr>
          <w:rFonts w:ascii="Times New Roman" w:hAnsi="Times New Roman" w:cs="Times New Roman"/>
          <w:i/>
          <w:iCs/>
        </w:rPr>
        <w:t>t</w:t>
      </w:r>
      <w:r w:rsidRPr="00C84698">
        <w:rPr>
          <w:rFonts w:ascii="Times New Roman" w:hAnsi="Times New Roman" w:cs="Times New Roman"/>
        </w:rPr>
        <w:t xml:space="preserve">, with </w:t>
      </w:r>
      <w:r w:rsidRPr="00C84698">
        <w:rPr>
          <w:rFonts w:ascii="Times New Roman" w:hAnsi="Times New Roman" w:cs="Times New Roman"/>
          <w:i/>
          <w:iCs/>
        </w:rPr>
        <w:t>n</w:t>
      </w:r>
      <w:r w:rsidRPr="00C84698">
        <w:rPr>
          <w:rFonts w:ascii="Times New Roman" w:hAnsi="Times New Roman" w:cs="Times New Roman"/>
        </w:rPr>
        <w:t xml:space="preserve"> representing the number of active sub-basins in year </w:t>
      </w:r>
      <w:r w:rsidRPr="00C84698">
        <w:rPr>
          <w:rFonts w:ascii="Times New Roman" w:hAnsi="Times New Roman" w:cs="Times New Roman"/>
          <w:i/>
          <w:iCs/>
        </w:rPr>
        <w:t>t</w:t>
      </w:r>
      <w:r w:rsidRPr="00C84698">
        <w:rPr>
          <w:rFonts w:ascii="Times New Roman" w:hAnsi="Times New Roman" w:cs="Times New Roman"/>
        </w:rPr>
        <w:t>. These weights were then multiplied by the total basin-wide consumptive use value for each year to estimate the annual thermoelectric water use for each sub-basin (Equation 8):</w:t>
      </w:r>
    </w:p>
    <w:p w14:paraId="5618B9B3" w14:textId="77777777" w:rsidR="00C84698" w:rsidRPr="00C84698" w:rsidRDefault="00C84698" w:rsidP="00C84698">
      <w:pPr>
        <w:spacing w:after="0"/>
        <w:rPr>
          <w:rFonts w:ascii="Times New Roman" w:hAnsi="Times New Roman" w:cs="Times New Roman"/>
        </w:rPr>
      </w:pPr>
    </w:p>
    <w:p w14:paraId="0D98DE20" w14:textId="438D1C42" w:rsidR="00C84698" w:rsidRPr="00C84698" w:rsidRDefault="00000000" w:rsidP="00C84698">
      <w:pPr>
        <w:spacing w:after="0"/>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CU</m:t>
            </m:r>
          </m:e>
          <m:sub>
            <m:r>
              <w:rPr>
                <w:rFonts w:ascii="Cambria Math" w:hAnsi="Cambria Math" w:cs="Times New Roman"/>
              </w:rPr>
              <m:t>h,t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h,t</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CU</m:t>
            </m:r>
          </m:e>
          <m:sub>
            <m:r>
              <w:rPr>
                <w:rFonts w:ascii="Cambria Math" w:hAnsi="Cambria Math" w:cs="Times New Roman"/>
              </w:rPr>
              <m:t>B,t</m:t>
            </m:r>
          </m:sub>
        </m:sSub>
      </m:oMath>
      <w:r w:rsidR="00C84698" w:rsidRPr="00C84698">
        <w:rPr>
          <w:rFonts w:ascii="Times New Roman" w:hAnsi="Times New Roman" w:cs="Times New Roman"/>
        </w:rPr>
        <w:tab/>
      </w:r>
      <w:r w:rsidR="00C84698" w:rsidRPr="00C84698">
        <w:rPr>
          <w:rFonts w:ascii="Times New Roman" w:hAnsi="Times New Roman" w:cs="Times New Roman"/>
        </w:rPr>
        <w:tab/>
      </w:r>
      <w:r w:rsidR="00C84698" w:rsidRPr="00C84698">
        <w:rPr>
          <w:rFonts w:ascii="Times New Roman" w:hAnsi="Times New Roman" w:cs="Times New Roman"/>
        </w:rPr>
        <w:tab/>
        <w:t>(Equation 8)</w:t>
      </w:r>
    </w:p>
    <w:p w14:paraId="3C8E19C9" w14:textId="77777777" w:rsidR="00C84698" w:rsidRPr="00C84698" w:rsidRDefault="00C84698" w:rsidP="00C84698">
      <w:pPr>
        <w:spacing w:after="0"/>
        <w:rPr>
          <w:rFonts w:ascii="Times New Roman" w:hAnsi="Times New Roman" w:cs="Times New Roman"/>
        </w:rPr>
      </w:pPr>
    </w:p>
    <w:p w14:paraId="32801BA6" w14:textId="04B07736" w:rsidR="00C84698" w:rsidRPr="00C84698" w:rsidRDefault="00C84698" w:rsidP="00C84698">
      <w:pPr>
        <w:spacing w:after="0"/>
        <w:rPr>
          <w:rFonts w:ascii="Times New Roman" w:hAnsi="Times New Roman" w:cs="Times New Roman"/>
        </w:rPr>
      </w:pPr>
      <w:r w:rsidRPr="00C84698">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CU</m:t>
            </m:r>
          </m:e>
          <m:sub>
            <m:r>
              <w:rPr>
                <w:rFonts w:ascii="Cambria Math" w:hAnsi="Cambria Math" w:cs="Times New Roman"/>
              </w:rPr>
              <m:t>h,t</m:t>
            </m:r>
          </m:sub>
        </m:sSub>
      </m:oMath>
      <w:r w:rsidRPr="00C84698">
        <w:rPr>
          <w:rFonts w:ascii="Times New Roman" w:hAnsi="Times New Roman" w:cs="Times New Roman"/>
        </w:rPr>
        <w:t xml:space="preserve"> is the consumptive use assigned to HUC-8 </w:t>
      </w:r>
      <w:r w:rsidRPr="00C84698">
        <w:rPr>
          <w:rFonts w:ascii="Times New Roman" w:hAnsi="Times New Roman" w:cs="Times New Roman"/>
          <w:i/>
          <w:iCs/>
        </w:rPr>
        <w:t>h</w:t>
      </w:r>
      <w:r w:rsidRPr="00C84698">
        <w:rPr>
          <w:rFonts w:ascii="Times New Roman" w:hAnsi="Times New Roman" w:cs="Times New Roman"/>
        </w:rPr>
        <w:t xml:space="preserve"> in year </w:t>
      </w:r>
      <w:r w:rsidRPr="00C84698">
        <w:rPr>
          <w:rFonts w:ascii="Times New Roman" w:hAnsi="Times New Roman" w:cs="Times New Roman"/>
          <w:i/>
          <w:iCs/>
        </w:rPr>
        <w:t>t</w:t>
      </w:r>
      <w:r w:rsidRPr="00C84698">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CU</m:t>
            </m:r>
          </m:e>
          <m:sub>
            <m:r>
              <w:rPr>
                <w:rFonts w:ascii="Cambria Math" w:hAnsi="Cambria Math" w:cs="Times New Roman"/>
              </w:rPr>
              <m:t>B,t</m:t>
            </m:r>
          </m:sub>
        </m:sSub>
      </m:oMath>
      <w:r w:rsidRPr="00C84698">
        <w:rPr>
          <w:rFonts w:ascii="Times New Roman" w:hAnsi="Times New Roman" w:cs="Times New Roman"/>
        </w:rPr>
        <w:t xml:space="preserve"> is the total Rio Bravo basin thermoelectric consumption, </w:t>
      </w:r>
      <w:r w:rsidRPr="00C84698">
        <w:rPr>
          <w:rFonts w:ascii="Times New Roman" w:hAnsi="Times New Roman" w:cs="Times New Roman"/>
          <w:i/>
          <w:iCs/>
        </w:rPr>
        <w:t>B</w:t>
      </w:r>
      <w:r w:rsidRPr="00C84698">
        <w:rPr>
          <w:rFonts w:ascii="Times New Roman" w:hAnsi="Times New Roman" w:cs="Times New Roman"/>
        </w:rPr>
        <w:t xml:space="preserve">, in year </w:t>
      </w:r>
      <w:r w:rsidRPr="00C84698">
        <w:rPr>
          <w:rFonts w:ascii="Times New Roman" w:hAnsi="Times New Roman" w:cs="Times New Roman"/>
          <w:i/>
          <w:iCs/>
        </w:rPr>
        <w:t>t</w:t>
      </w:r>
      <w:r w:rsidRPr="00C84698">
        <w:rPr>
          <w:rFonts w:ascii="Times New Roman" w:hAnsi="Times New Roman" w:cs="Times New Roman"/>
        </w:rPr>
        <w:t>. This approach assumes that water use scales linearly with installed capacity and that plants within a given HUC-8 are otherwise homogeneous in operational characteristics such as cooling technology and water use intensity. While simplified, this method offers a transparent and reproducible means of spatially disaggregating aggregate water use values in the absence of detailed plant-level consumption data and plant operational characteristics.</w:t>
      </w:r>
    </w:p>
    <w:p w14:paraId="77B16ACB" w14:textId="77777777" w:rsidR="00C84698" w:rsidRPr="00C84698" w:rsidRDefault="00C84698" w:rsidP="00C84698">
      <w:pPr>
        <w:spacing w:after="0"/>
        <w:rPr>
          <w:rFonts w:ascii="Times New Roman" w:hAnsi="Times New Roman" w:cs="Times New Roman"/>
        </w:rPr>
      </w:pPr>
    </w:p>
    <w:p w14:paraId="6C5AF67D" w14:textId="46E63F56" w:rsidR="00C84698" w:rsidRPr="00C84698" w:rsidRDefault="00C84698" w:rsidP="00C84698">
      <w:pPr>
        <w:spacing w:after="0"/>
        <w:rPr>
          <w:rFonts w:ascii="Times New Roman" w:hAnsi="Times New Roman" w:cs="Times New Roman"/>
          <w:b/>
          <w:bCs/>
          <w:i/>
          <w:iCs/>
        </w:rPr>
      </w:pPr>
      <w:r w:rsidRPr="00C84698">
        <w:rPr>
          <w:rFonts w:ascii="Times New Roman" w:hAnsi="Times New Roman" w:cs="Times New Roman"/>
          <w:b/>
          <w:bCs/>
          <w:i/>
          <w:iCs/>
        </w:rPr>
        <w:t>Table S</w:t>
      </w:r>
      <w:r>
        <w:rPr>
          <w:rFonts w:ascii="Times New Roman" w:hAnsi="Times New Roman" w:cs="Times New Roman"/>
          <w:b/>
          <w:bCs/>
          <w:i/>
          <w:iCs/>
        </w:rPr>
        <w:t>I-5</w:t>
      </w:r>
      <w:r w:rsidRPr="00C84698">
        <w:rPr>
          <w:rFonts w:ascii="Times New Roman" w:hAnsi="Times New Roman" w:cs="Times New Roman"/>
          <w:b/>
          <w:bCs/>
          <w:i/>
          <w:iCs/>
        </w:rPr>
        <w:t>. List of Mexican thermoelectric power generation units located within the Rio Grande/Río Bravo (RGRB) basin in Mexico, including plant name, unit number, fuel type, generation technology, installed capacity (MW), operational start year, and associated RGRB sub-basin. The dataset covers facilities using a range of generator technologies and fuels. Several facilities consist of multiple units commissioned in different years. Sub-basin classification reflects the geographic location of each plant relative to major hydrologic divisions of the Rio Grande/Río Bravo. This data was manually collected using the Global Energy Monitor Wiki (GEM, 2025).</w:t>
      </w:r>
    </w:p>
    <w:tbl>
      <w:tblPr>
        <w:tblStyle w:val="TableGrid"/>
        <w:tblW w:w="9355"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189"/>
        <w:gridCol w:w="670"/>
        <w:gridCol w:w="1207"/>
        <w:gridCol w:w="1457"/>
        <w:gridCol w:w="1136"/>
        <w:gridCol w:w="736"/>
        <w:gridCol w:w="1960"/>
      </w:tblGrid>
      <w:tr w:rsidR="00C84698" w:rsidRPr="00C84698" w14:paraId="7D467061" w14:textId="77777777" w:rsidTr="0077351B">
        <w:trPr>
          <w:trHeight w:val="495"/>
        </w:trPr>
        <w:tc>
          <w:tcPr>
            <w:tcW w:w="2335" w:type="dxa"/>
            <w:tcBorders>
              <w:top w:val="single" w:sz="18" w:space="0" w:color="auto"/>
              <w:bottom w:val="single" w:sz="18" w:space="0" w:color="auto"/>
            </w:tcBorders>
            <w:vAlign w:val="center"/>
          </w:tcPr>
          <w:p w14:paraId="78AF0647"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Plant Name</w:t>
            </w:r>
          </w:p>
        </w:tc>
        <w:tc>
          <w:tcPr>
            <w:tcW w:w="540" w:type="dxa"/>
            <w:tcBorders>
              <w:top w:val="single" w:sz="18" w:space="0" w:color="auto"/>
              <w:bottom w:val="single" w:sz="18" w:space="0" w:color="auto"/>
            </w:tcBorders>
            <w:vAlign w:val="center"/>
          </w:tcPr>
          <w:p w14:paraId="6D90CF25"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Unit</w:t>
            </w:r>
          </w:p>
        </w:tc>
        <w:tc>
          <w:tcPr>
            <w:tcW w:w="1260" w:type="dxa"/>
            <w:tcBorders>
              <w:top w:val="single" w:sz="18" w:space="0" w:color="auto"/>
              <w:bottom w:val="single" w:sz="18" w:space="0" w:color="auto"/>
            </w:tcBorders>
            <w:vAlign w:val="center"/>
          </w:tcPr>
          <w:p w14:paraId="6767BA4C"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Fuel</w:t>
            </w:r>
          </w:p>
        </w:tc>
        <w:tc>
          <w:tcPr>
            <w:tcW w:w="1470" w:type="dxa"/>
            <w:tcBorders>
              <w:top w:val="single" w:sz="18" w:space="0" w:color="auto"/>
              <w:bottom w:val="single" w:sz="18" w:space="0" w:color="auto"/>
            </w:tcBorders>
            <w:vAlign w:val="center"/>
          </w:tcPr>
          <w:p w14:paraId="1162D931"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Technology</w:t>
            </w:r>
          </w:p>
        </w:tc>
        <w:tc>
          <w:tcPr>
            <w:tcW w:w="983" w:type="dxa"/>
            <w:tcBorders>
              <w:top w:val="single" w:sz="18" w:space="0" w:color="auto"/>
              <w:bottom w:val="single" w:sz="18" w:space="0" w:color="auto"/>
            </w:tcBorders>
            <w:vAlign w:val="center"/>
          </w:tcPr>
          <w:p w14:paraId="1832EFA4"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Capacity</w:t>
            </w:r>
          </w:p>
          <w:p w14:paraId="75201AF3"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(MW)</w:t>
            </w:r>
          </w:p>
        </w:tc>
        <w:tc>
          <w:tcPr>
            <w:tcW w:w="650" w:type="dxa"/>
            <w:tcBorders>
              <w:top w:val="single" w:sz="18" w:space="0" w:color="auto"/>
              <w:bottom w:val="single" w:sz="18" w:space="0" w:color="auto"/>
            </w:tcBorders>
            <w:vAlign w:val="center"/>
          </w:tcPr>
          <w:p w14:paraId="6BB6DB34"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Start Year</w:t>
            </w:r>
          </w:p>
        </w:tc>
        <w:tc>
          <w:tcPr>
            <w:tcW w:w="2117" w:type="dxa"/>
            <w:tcBorders>
              <w:top w:val="single" w:sz="18" w:space="0" w:color="auto"/>
              <w:bottom w:val="single" w:sz="18" w:space="0" w:color="auto"/>
            </w:tcBorders>
            <w:vAlign w:val="center"/>
          </w:tcPr>
          <w:p w14:paraId="61044E8D" w14:textId="77777777" w:rsidR="00C84698" w:rsidRPr="00C84698" w:rsidRDefault="00C84698" w:rsidP="00C84698">
            <w:pPr>
              <w:spacing w:line="278" w:lineRule="auto"/>
              <w:rPr>
                <w:rFonts w:ascii="Times New Roman" w:hAnsi="Times New Roman" w:cs="Times New Roman"/>
                <w:b/>
                <w:bCs/>
              </w:rPr>
            </w:pPr>
            <w:r w:rsidRPr="00C84698">
              <w:rPr>
                <w:rFonts w:ascii="Times New Roman" w:hAnsi="Times New Roman" w:cs="Times New Roman"/>
                <w:b/>
                <w:bCs/>
              </w:rPr>
              <w:t>RGRB Subbasin</w:t>
            </w:r>
          </w:p>
        </w:tc>
      </w:tr>
      <w:tr w:rsidR="00C84698" w:rsidRPr="00C84698" w14:paraId="71E876FA" w14:textId="77777777" w:rsidTr="0077351B">
        <w:tc>
          <w:tcPr>
            <w:tcW w:w="2335" w:type="dxa"/>
            <w:tcBorders>
              <w:top w:val="single" w:sz="18" w:space="0" w:color="auto"/>
            </w:tcBorders>
            <w:vAlign w:val="center"/>
          </w:tcPr>
          <w:p w14:paraId="12522E6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CCC Norte-III power station</w:t>
            </w:r>
          </w:p>
        </w:tc>
        <w:tc>
          <w:tcPr>
            <w:tcW w:w="540" w:type="dxa"/>
            <w:tcBorders>
              <w:top w:val="single" w:sz="18" w:space="0" w:color="auto"/>
            </w:tcBorders>
            <w:vAlign w:val="center"/>
          </w:tcPr>
          <w:p w14:paraId="75CBE8B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tcBorders>
              <w:top w:val="single" w:sz="18" w:space="0" w:color="auto"/>
            </w:tcBorders>
            <w:vAlign w:val="center"/>
          </w:tcPr>
          <w:p w14:paraId="2AAC45A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tcBorders>
              <w:top w:val="single" w:sz="18" w:space="0" w:color="auto"/>
            </w:tcBorders>
            <w:vAlign w:val="center"/>
          </w:tcPr>
          <w:p w14:paraId="2DF9950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tcBorders>
              <w:top w:val="single" w:sz="18" w:space="0" w:color="auto"/>
            </w:tcBorders>
            <w:vAlign w:val="center"/>
          </w:tcPr>
          <w:p w14:paraId="5AD5FFB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453</w:t>
            </w:r>
          </w:p>
        </w:tc>
        <w:tc>
          <w:tcPr>
            <w:tcW w:w="650" w:type="dxa"/>
            <w:tcBorders>
              <w:top w:val="single" w:sz="18" w:space="0" w:color="auto"/>
            </w:tcBorders>
            <w:vAlign w:val="center"/>
          </w:tcPr>
          <w:p w14:paraId="5EBFB35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2020</w:t>
            </w:r>
          </w:p>
        </w:tc>
        <w:tc>
          <w:tcPr>
            <w:tcW w:w="2117" w:type="dxa"/>
            <w:tcBorders>
              <w:top w:val="single" w:sz="18" w:space="0" w:color="auto"/>
            </w:tcBorders>
            <w:vAlign w:val="center"/>
          </w:tcPr>
          <w:p w14:paraId="7B511D9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El Paso to Fort Quitman</w:t>
            </w:r>
          </w:p>
        </w:tc>
      </w:tr>
      <w:tr w:rsidR="00C84698" w:rsidRPr="00C84698" w14:paraId="58A32F08" w14:textId="77777777" w:rsidTr="0077351B">
        <w:tc>
          <w:tcPr>
            <w:tcW w:w="2335" w:type="dxa"/>
            <w:vAlign w:val="center"/>
          </w:tcPr>
          <w:p w14:paraId="7E29484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CCC Norte-III power station</w:t>
            </w:r>
          </w:p>
        </w:tc>
        <w:tc>
          <w:tcPr>
            <w:tcW w:w="540" w:type="dxa"/>
            <w:vAlign w:val="center"/>
          </w:tcPr>
          <w:p w14:paraId="10C6EEE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w:t>
            </w:r>
          </w:p>
        </w:tc>
        <w:tc>
          <w:tcPr>
            <w:tcW w:w="1260" w:type="dxa"/>
            <w:vAlign w:val="center"/>
          </w:tcPr>
          <w:p w14:paraId="3AC84B1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30F69C0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7FCBD7F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453</w:t>
            </w:r>
          </w:p>
        </w:tc>
        <w:tc>
          <w:tcPr>
            <w:tcW w:w="650" w:type="dxa"/>
            <w:vAlign w:val="center"/>
          </w:tcPr>
          <w:p w14:paraId="4A28CD0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2020</w:t>
            </w:r>
          </w:p>
        </w:tc>
        <w:tc>
          <w:tcPr>
            <w:tcW w:w="2117" w:type="dxa"/>
            <w:vAlign w:val="center"/>
          </w:tcPr>
          <w:p w14:paraId="1A4EB5D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El Paso to Fort Quitman</w:t>
            </w:r>
          </w:p>
        </w:tc>
      </w:tr>
      <w:tr w:rsidR="00C84698" w:rsidRPr="00C84698" w14:paraId="288AD43A" w14:textId="77777777" w:rsidTr="0077351B">
        <w:tc>
          <w:tcPr>
            <w:tcW w:w="2335" w:type="dxa"/>
            <w:vAlign w:val="center"/>
          </w:tcPr>
          <w:p w14:paraId="075020A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Chihuahua II (El Encino) power station</w:t>
            </w:r>
          </w:p>
        </w:tc>
        <w:tc>
          <w:tcPr>
            <w:tcW w:w="540" w:type="dxa"/>
            <w:vAlign w:val="center"/>
          </w:tcPr>
          <w:p w14:paraId="2801328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50FB738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598BD4C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646E2B0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619</w:t>
            </w:r>
          </w:p>
        </w:tc>
        <w:tc>
          <w:tcPr>
            <w:tcW w:w="650" w:type="dxa"/>
            <w:vAlign w:val="center"/>
          </w:tcPr>
          <w:p w14:paraId="7176BFB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2003</w:t>
            </w:r>
          </w:p>
        </w:tc>
        <w:tc>
          <w:tcPr>
            <w:tcW w:w="2117" w:type="dxa"/>
            <w:vAlign w:val="center"/>
          </w:tcPr>
          <w:p w14:paraId="73A553C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Conchos</w:t>
            </w:r>
          </w:p>
        </w:tc>
      </w:tr>
      <w:tr w:rsidR="00C84698" w:rsidRPr="00C84698" w14:paraId="757B1D84" w14:textId="77777777" w:rsidTr="0077351B">
        <w:tc>
          <w:tcPr>
            <w:tcW w:w="2335" w:type="dxa"/>
            <w:vAlign w:val="center"/>
          </w:tcPr>
          <w:p w14:paraId="70FC891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Chihuahua III power station</w:t>
            </w:r>
          </w:p>
        </w:tc>
        <w:tc>
          <w:tcPr>
            <w:tcW w:w="540" w:type="dxa"/>
            <w:vAlign w:val="center"/>
          </w:tcPr>
          <w:p w14:paraId="23231C6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1505835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F8C9E5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20A31B2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327</w:t>
            </w:r>
          </w:p>
        </w:tc>
        <w:tc>
          <w:tcPr>
            <w:tcW w:w="650" w:type="dxa"/>
            <w:vAlign w:val="center"/>
          </w:tcPr>
          <w:p w14:paraId="2C54FC0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2003</w:t>
            </w:r>
          </w:p>
        </w:tc>
        <w:tc>
          <w:tcPr>
            <w:tcW w:w="2117" w:type="dxa"/>
            <w:vAlign w:val="center"/>
          </w:tcPr>
          <w:p w14:paraId="5354C0F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Conchos</w:t>
            </w:r>
          </w:p>
        </w:tc>
      </w:tr>
      <w:tr w:rsidR="00C84698" w:rsidRPr="00C84698" w14:paraId="6A68B8E8" w14:textId="77777777" w:rsidTr="0077351B">
        <w:tc>
          <w:tcPr>
            <w:tcW w:w="2335" w:type="dxa"/>
            <w:vAlign w:val="center"/>
          </w:tcPr>
          <w:p w14:paraId="0F2838B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Norte II power station</w:t>
            </w:r>
          </w:p>
        </w:tc>
        <w:tc>
          <w:tcPr>
            <w:tcW w:w="540" w:type="dxa"/>
            <w:vAlign w:val="center"/>
          </w:tcPr>
          <w:p w14:paraId="1515277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6796D4C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206E592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445FB64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433</w:t>
            </w:r>
          </w:p>
        </w:tc>
        <w:tc>
          <w:tcPr>
            <w:tcW w:w="650" w:type="dxa"/>
            <w:vAlign w:val="center"/>
          </w:tcPr>
          <w:p w14:paraId="26E01AE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2014</w:t>
            </w:r>
          </w:p>
        </w:tc>
        <w:tc>
          <w:tcPr>
            <w:tcW w:w="2117" w:type="dxa"/>
            <w:vAlign w:val="center"/>
          </w:tcPr>
          <w:p w14:paraId="7E7505B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Conchos</w:t>
            </w:r>
          </w:p>
        </w:tc>
      </w:tr>
      <w:tr w:rsidR="00C84698" w:rsidRPr="00C84698" w14:paraId="5F6CAC8B" w14:textId="77777777" w:rsidTr="0077351B">
        <w:tc>
          <w:tcPr>
            <w:tcW w:w="2335" w:type="dxa"/>
            <w:vAlign w:val="center"/>
          </w:tcPr>
          <w:p w14:paraId="4E8A997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lastRenderedPageBreak/>
              <w:t>Francisco Villa power station</w:t>
            </w:r>
          </w:p>
        </w:tc>
        <w:tc>
          <w:tcPr>
            <w:tcW w:w="540" w:type="dxa"/>
            <w:vAlign w:val="center"/>
          </w:tcPr>
          <w:p w14:paraId="362F17E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w:t>
            </w:r>
          </w:p>
        </w:tc>
        <w:tc>
          <w:tcPr>
            <w:tcW w:w="1260" w:type="dxa"/>
            <w:vAlign w:val="center"/>
          </w:tcPr>
          <w:p w14:paraId="47B46A9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 Heavy Fuel Oil</w:t>
            </w:r>
          </w:p>
        </w:tc>
        <w:tc>
          <w:tcPr>
            <w:tcW w:w="1470" w:type="dxa"/>
            <w:vAlign w:val="center"/>
          </w:tcPr>
          <w:p w14:paraId="6F6AA1E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Steam Turbine</w:t>
            </w:r>
          </w:p>
        </w:tc>
        <w:tc>
          <w:tcPr>
            <w:tcW w:w="983" w:type="dxa"/>
            <w:vAlign w:val="center"/>
          </w:tcPr>
          <w:p w14:paraId="68D24D2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150</w:t>
            </w:r>
          </w:p>
        </w:tc>
        <w:tc>
          <w:tcPr>
            <w:tcW w:w="650" w:type="dxa"/>
            <w:vAlign w:val="center"/>
          </w:tcPr>
          <w:p w14:paraId="66E76F9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1981</w:t>
            </w:r>
          </w:p>
        </w:tc>
        <w:tc>
          <w:tcPr>
            <w:tcW w:w="2117" w:type="dxa"/>
            <w:vAlign w:val="center"/>
          </w:tcPr>
          <w:p w14:paraId="57B1EA0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Conchos</w:t>
            </w:r>
          </w:p>
        </w:tc>
      </w:tr>
      <w:tr w:rsidR="00C84698" w:rsidRPr="00C84698" w14:paraId="4B12A4C6" w14:textId="77777777" w:rsidTr="0077351B">
        <w:tc>
          <w:tcPr>
            <w:tcW w:w="2335" w:type="dxa"/>
            <w:vAlign w:val="center"/>
          </w:tcPr>
          <w:p w14:paraId="672436B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Francisco Villa power station</w:t>
            </w:r>
          </w:p>
        </w:tc>
        <w:tc>
          <w:tcPr>
            <w:tcW w:w="540" w:type="dxa"/>
            <w:vAlign w:val="center"/>
          </w:tcPr>
          <w:p w14:paraId="7353419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5</w:t>
            </w:r>
          </w:p>
        </w:tc>
        <w:tc>
          <w:tcPr>
            <w:tcW w:w="1260" w:type="dxa"/>
            <w:vAlign w:val="center"/>
          </w:tcPr>
          <w:p w14:paraId="5C07885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 Heavy Fuel Oil</w:t>
            </w:r>
          </w:p>
        </w:tc>
        <w:tc>
          <w:tcPr>
            <w:tcW w:w="1470" w:type="dxa"/>
            <w:vAlign w:val="center"/>
          </w:tcPr>
          <w:p w14:paraId="2806F0B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Stream Turbine</w:t>
            </w:r>
          </w:p>
        </w:tc>
        <w:tc>
          <w:tcPr>
            <w:tcW w:w="983" w:type="dxa"/>
            <w:vAlign w:val="center"/>
          </w:tcPr>
          <w:p w14:paraId="2D4E48C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150</w:t>
            </w:r>
          </w:p>
        </w:tc>
        <w:tc>
          <w:tcPr>
            <w:tcW w:w="650" w:type="dxa"/>
            <w:vAlign w:val="center"/>
          </w:tcPr>
          <w:p w14:paraId="2F4B6E3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1981</w:t>
            </w:r>
          </w:p>
        </w:tc>
        <w:tc>
          <w:tcPr>
            <w:tcW w:w="2117" w:type="dxa"/>
            <w:vAlign w:val="center"/>
          </w:tcPr>
          <w:p w14:paraId="7BCEE42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Conchos</w:t>
            </w:r>
          </w:p>
        </w:tc>
      </w:tr>
      <w:tr w:rsidR="00C84698" w:rsidRPr="00C84698" w14:paraId="2B531455" w14:textId="77777777" w:rsidTr="0077351B">
        <w:tc>
          <w:tcPr>
            <w:tcW w:w="2335" w:type="dxa"/>
            <w:vAlign w:val="center"/>
          </w:tcPr>
          <w:p w14:paraId="2548113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Ramos cogeneration power station</w:t>
            </w:r>
          </w:p>
        </w:tc>
        <w:tc>
          <w:tcPr>
            <w:tcW w:w="540" w:type="dxa"/>
            <w:vAlign w:val="center"/>
          </w:tcPr>
          <w:p w14:paraId="58C9BAF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4E17120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661AED5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320FB37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52</w:t>
            </w:r>
          </w:p>
        </w:tc>
        <w:tc>
          <w:tcPr>
            <w:tcW w:w="650" w:type="dxa"/>
            <w:vAlign w:val="center"/>
          </w:tcPr>
          <w:p w14:paraId="1F64B10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2016</w:t>
            </w:r>
          </w:p>
        </w:tc>
        <w:tc>
          <w:tcPr>
            <w:tcW w:w="2117" w:type="dxa"/>
            <w:vAlign w:val="center"/>
          </w:tcPr>
          <w:p w14:paraId="74E90AD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0C04C2D0" w14:textId="77777777" w:rsidTr="0077351B">
        <w:tc>
          <w:tcPr>
            <w:tcW w:w="2335" w:type="dxa"/>
            <w:vAlign w:val="center"/>
          </w:tcPr>
          <w:p w14:paraId="2D3FDC5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Saltillo power station</w:t>
            </w:r>
          </w:p>
        </w:tc>
        <w:tc>
          <w:tcPr>
            <w:tcW w:w="540" w:type="dxa"/>
            <w:vAlign w:val="center"/>
          </w:tcPr>
          <w:p w14:paraId="05F5D3A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42C638F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498325A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4748690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247.5</w:t>
            </w:r>
          </w:p>
        </w:tc>
        <w:tc>
          <w:tcPr>
            <w:tcW w:w="650" w:type="dxa"/>
            <w:vAlign w:val="center"/>
          </w:tcPr>
          <w:p w14:paraId="3FF2514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2001</w:t>
            </w:r>
          </w:p>
        </w:tc>
        <w:tc>
          <w:tcPr>
            <w:tcW w:w="2117" w:type="dxa"/>
            <w:vAlign w:val="center"/>
          </w:tcPr>
          <w:p w14:paraId="4E25679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060B5ED7" w14:textId="77777777" w:rsidTr="0077351B">
        <w:tc>
          <w:tcPr>
            <w:tcW w:w="2335" w:type="dxa"/>
            <w:vAlign w:val="center"/>
          </w:tcPr>
          <w:p w14:paraId="2DB251B2"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Tractebel</w:t>
            </w:r>
            <w:proofErr w:type="spellEnd"/>
            <w:r w:rsidRPr="00C84698">
              <w:rPr>
                <w:rFonts w:ascii="Times New Roman" w:hAnsi="Times New Roman" w:cs="Times New Roman"/>
              </w:rPr>
              <w:t xml:space="preserve"> Monterrey power station</w:t>
            </w:r>
          </w:p>
        </w:tc>
        <w:tc>
          <w:tcPr>
            <w:tcW w:w="540" w:type="dxa"/>
            <w:vAlign w:val="center"/>
          </w:tcPr>
          <w:p w14:paraId="2CF4F2F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4C1A4E7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284014E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3D6F93B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284</w:t>
            </w:r>
          </w:p>
        </w:tc>
        <w:tc>
          <w:tcPr>
            <w:tcW w:w="650" w:type="dxa"/>
            <w:vAlign w:val="center"/>
          </w:tcPr>
          <w:p w14:paraId="7C821E6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2003</w:t>
            </w:r>
          </w:p>
        </w:tc>
        <w:tc>
          <w:tcPr>
            <w:tcW w:w="2117" w:type="dxa"/>
            <w:vAlign w:val="center"/>
          </w:tcPr>
          <w:p w14:paraId="26D64B1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66A18108" w14:textId="77777777" w:rsidTr="0077351B">
        <w:tc>
          <w:tcPr>
            <w:tcW w:w="2335" w:type="dxa"/>
            <w:vAlign w:val="center"/>
          </w:tcPr>
          <w:p w14:paraId="7D421B65"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Deacero</w:t>
            </w:r>
            <w:proofErr w:type="spellEnd"/>
            <w:r w:rsidRPr="00C84698">
              <w:rPr>
                <w:rFonts w:ascii="Times New Roman" w:hAnsi="Times New Roman" w:cs="Times New Roman"/>
              </w:rPr>
              <w:t xml:space="preserve"> power station</w:t>
            </w:r>
          </w:p>
        </w:tc>
        <w:tc>
          <w:tcPr>
            <w:tcW w:w="540" w:type="dxa"/>
            <w:vAlign w:val="center"/>
          </w:tcPr>
          <w:p w14:paraId="6C21E1D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6AE28B9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1012E60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Gas Turbine</w:t>
            </w:r>
          </w:p>
        </w:tc>
        <w:tc>
          <w:tcPr>
            <w:tcW w:w="983" w:type="dxa"/>
            <w:vAlign w:val="center"/>
          </w:tcPr>
          <w:p w14:paraId="400F1B8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w:t>
            </w:r>
          </w:p>
        </w:tc>
        <w:tc>
          <w:tcPr>
            <w:tcW w:w="650" w:type="dxa"/>
            <w:vAlign w:val="center"/>
          </w:tcPr>
          <w:p w14:paraId="1E9F7EA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2015</w:t>
            </w:r>
          </w:p>
        </w:tc>
        <w:tc>
          <w:tcPr>
            <w:tcW w:w="2117" w:type="dxa"/>
            <w:vAlign w:val="center"/>
          </w:tcPr>
          <w:p w14:paraId="67CAB57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2DBC913C" w14:textId="77777777" w:rsidTr="0077351B">
        <w:tc>
          <w:tcPr>
            <w:tcW w:w="2335" w:type="dxa"/>
            <w:vAlign w:val="center"/>
          </w:tcPr>
          <w:p w14:paraId="5CDFFD13"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Huinalá</w:t>
            </w:r>
            <w:proofErr w:type="spellEnd"/>
            <w:r w:rsidRPr="00C84698">
              <w:rPr>
                <w:rFonts w:ascii="Times New Roman" w:hAnsi="Times New Roman" w:cs="Times New Roman"/>
              </w:rPr>
              <w:t xml:space="preserve"> CC power station</w:t>
            </w:r>
          </w:p>
        </w:tc>
        <w:tc>
          <w:tcPr>
            <w:tcW w:w="540" w:type="dxa"/>
            <w:vAlign w:val="center"/>
          </w:tcPr>
          <w:p w14:paraId="17FCB4B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54ACCEA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47FD8A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37A709D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378</w:t>
            </w:r>
          </w:p>
        </w:tc>
        <w:tc>
          <w:tcPr>
            <w:tcW w:w="650" w:type="dxa"/>
            <w:vAlign w:val="center"/>
          </w:tcPr>
          <w:p w14:paraId="1E310CB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1981</w:t>
            </w:r>
          </w:p>
        </w:tc>
        <w:tc>
          <w:tcPr>
            <w:tcW w:w="2117" w:type="dxa"/>
            <w:vAlign w:val="center"/>
          </w:tcPr>
          <w:p w14:paraId="5AC0B3B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78F2F460" w14:textId="77777777" w:rsidTr="0077351B">
        <w:tc>
          <w:tcPr>
            <w:tcW w:w="2335" w:type="dxa"/>
            <w:vAlign w:val="center"/>
          </w:tcPr>
          <w:p w14:paraId="361C8563"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(Monterrey) power station</w:t>
            </w:r>
          </w:p>
        </w:tc>
        <w:tc>
          <w:tcPr>
            <w:tcW w:w="540" w:type="dxa"/>
            <w:vAlign w:val="center"/>
          </w:tcPr>
          <w:p w14:paraId="7F35F19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w:t>
            </w:r>
          </w:p>
        </w:tc>
        <w:tc>
          <w:tcPr>
            <w:tcW w:w="1260" w:type="dxa"/>
            <w:vAlign w:val="center"/>
          </w:tcPr>
          <w:p w14:paraId="53822AC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43AF4CE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3725765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459</w:t>
            </w:r>
          </w:p>
        </w:tc>
        <w:tc>
          <w:tcPr>
            <w:tcW w:w="650" w:type="dxa"/>
            <w:vAlign w:val="center"/>
          </w:tcPr>
          <w:p w14:paraId="33397AD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2000</w:t>
            </w:r>
          </w:p>
        </w:tc>
        <w:tc>
          <w:tcPr>
            <w:tcW w:w="2117" w:type="dxa"/>
            <w:vAlign w:val="center"/>
          </w:tcPr>
          <w:p w14:paraId="3F2B3DE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4CB154CF" w14:textId="77777777" w:rsidTr="0077351B">
        <w:tc>
          <w:tcPr>
            <w:tcW w:w="2335" w:type="dxa"/>
            <w:vAlign w:val="center"/>
          </w:tcPr>
          <w:p w14:paraId="1B95F3D3"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(Monterrey) power station</w:t>
            </w:r>
          </w:p>
        </w:tc>
        <w:tc>
          <w:tcPr>
            <w:tcW w:w="540" w:type="dxa"/>
            <w:vAlign w:val="center"/>
          </w:tcPr>
          <w:p w14:paraId="62B79D2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391591A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B827AE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27B0EC3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252</w:t>
            </w:r>
          </w:p>
        </w:tc>
        <w:tc>
          <w:tcPr>
            <w:tcW w:w="650" w:type="dxa"/>
            <w:vAlign w:val="center"/>
          </w:tcPr>
          <w:p w14:paraId="4962079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2002</w:t>
            </w:r>
          </w:p>
        </w:tc>
        <w:tc>
          <w:tcPr>
            <w:tcW w:w="2117" w:type="dxa"/>
            <w:vAlign w:val="center"/>
          </w:tcPr>
          <w:p w14:paraId="50C9118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3B26BB3A" w14:textId="77777777" w:rsidTr="0077351B">
        <w:tc>
          <w:tcPr>
            <w:tcW w:w="2335" w:type="dxa"/>
            <w:vAlign w:val="center"/>
          </w:tcPr>
          <w:p w14:paraId="4A0F65F6"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(Monterrey) power station</w:t>
            </w:r>
          </w:p>
        </w:tc>
        <w:tc>
          <w:tcPr>
            <w:tcW w:w="540" w:type="dxa"/>
            <w:vAlign w:val="center"/>
          </w:tcPr>
          <w:p w14:paraId="4BC7634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w:t>
            </w:r>
          </w:p>
        </w:tc>
        <w:tc>
          <w:tcPr>
            <w:tcW w:w="1260" w:type="dxa"/>
            <w:vAlign w:val="center"/>
          </w:tcPr>
          <w:p w14:paraId="3B37D37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67B832B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207DFF4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252</w:t>
            </w:r>
          </w:p>
        </w:tc>
        <w:tc>
          <w:tcPr>
            <w:tcW w:w="650" w:type="dxa"/>
            <w:vAlign w:val="center"/>
          </w:tcPr>
          <w:p w14:paraId="1CB62E9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2002</w:t>
            </w:r>
          </w:p>
        </w:tc>
        <w:tc>
          <w:tcPr>
            <w:tcW w:w="2117" w:type="dxa"/>
            <w:vAlign w:val="center"/>
          </w:tcPr>
          <w:p w14:paraId="14271A4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0C0F5152" w14:textId="77777777" w:rsidTr="0077351B">
        <w:tc>
          <w:tcPr>
            <w:tcW w:w="2335" w:type="dxa"/>
            <w:vAlign w:val="center"/>
          </w:tcPr>
          <w:p w14:paraId="57E97FD4"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(Monterrey) power station</w:t>
            </w:r>
          </w:p>
        </w:tc>
        <w:tc>
          <w:tcPr>
            <w:tcW w:w="540" w:type="dxa"/>
            <w:vAlign w:val="center"/>
          </w:tcPr>
          <w:p w14:paraId="33D9C71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w:t>
            </w:r>
          </w:p>
        </w:tc>
        <w:tc>
          <w:tcPr>
            <w:tcW w:w="1260" w:type="dxa"/>
            <w:vAlign w:val="center"/>
          </w:tcPr>
          <w:p w14:paraId="44B7F72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6092652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6B400B1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252</w:t>
            </w:r>
          </w:p>
        </w:tc>
        <w:tc>
          <w:tcPr>
            <w:tcW w:w="650" w:type="dxa"/>
            <w:vAlign w:val="center"/>
          </w:tcPr>
          <w:p w14:paraId="12F5935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2002</w:t>
            </w:r>
          </w:p>
        </w:tc>
        <w:tc>
          <w:tcPr>
            <w:tcW w:w="2117" w:type="dxa"/>
            <w:vAlign w:val="center"/>
          </w:tcPr>
          <w:p w14:paraId="72218C4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1CA67983" w14:textId="77777777" w:rsidTr="0077351B">
        <w:tc>
          <w:tcPr>
            <w:tcW w:w="2335" w:type="dxa"/>
            <w:vAlign w:val="center"/>
          </w:tcPr>
          <w:p w14:paraId="42AF5BE1"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II power station</w:t>
            </w:r>
          </w:p>
        </w:tc>
        <w:tc>
          <w:tcPr>
            <w:tcW w:w="540" w:type="dxa"/>
            <w:vAlign w:val="center"/>
          </w:tcPr>
          <w:p w14:paraId="5C649D3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w:t>
            </w:r>
          </w:p>
        </w:tc>
        <w:tc>
          <w:tcPr>
            <w:tcW w:w="1260" w:type="dxa"/>
            <w:vAlign w:val="center"/>
          </w:tcPr>
          <w:p w14:paraId="1AEFC54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7B6F47F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7729E55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252</w:t>
            </w:r>
          </w:p>
        </w:tc>
        <w:tc>
          <w:tcPr>
            <w:tcW w:w="650" w:type="dxa"/>
            <w:vAlign w:val="center"/>
          </w:tcPr>
          <w:p w14:paraId="1D51180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2002</w:t>
            </w:r>
          </w:p>
        </w:tc>
        <w:tc>
          <w:tcPr>
            <w:tcW w:w="2117" w:type="dxa"/>
            <w:vAlign w:val="center"/>
          </w:tcPr>
          <w:p w14:paraId="4B126B2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20DCE4B7" w14:textId="77777777" w:rsidTr="0077351B">
        <w:tc>
          <w:tcPr>
            <w:tcW w:w="2335" w:type="dxa"/>
            <w:vAlign w:val="center"/>
          </w:tcPr>
          <w:p w14:paraId="39905A1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Noreste (Escobedo) power station</w:t>
            </w:r>
          </w:p>
        </w:tc>
        <w:tc>
          <w:tcPr>
            <w:tcW w:w="540" w:type="dxa"/>
            <w:vAlign w:val="center"/>
          </w:tcPr>
          <w:p w14:paraId="71DD642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5558C5D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49AA016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1A04866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300</w:t>
            </w:r>
          </w:p>
        </w:tc>
        <w:tc>
          <w:tcPr>
            <w:tcW w:w="650" w:type="dxa"/>
            <w:vAlign w:val="center"/>
          </w:tcPr>
          <w:p w14:paraId="3AA55A9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2016</w:t>
            </w:r>
          </w:p>
        </w:tc>
        <w:tc>
          <w:tcPr>
            <w:tcW w:w="2117" w:type="dxa"/>
            <w:vAlign w:val="center"/>
          </w:tcPr>
          <w:p w14:paraId="7492052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5BD7E557" w14:textId="77777777" w:rsidTr="0077351B">
        <w:tc>
          <w:tcPr>
            <w:tcW w:w="2335" w:type="dxa"/>
            <w:vAlign w:val="center"/>
          </w:tcPr>
          <w:p w14:paraId="553F0CD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Ternium Monterrey power station</w:t>
            </w:r>
          </w:p>
        </w:tc>
        <w:tc>
          <w:tcPr>
            <w:tcW w:w="540" w:type="dxa"/>
            <w:vAlign w:val="center"/>
          </w:tcPr>
          <w:p w14:paraId="6EDC24B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0E7A4CF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4E66AC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169B3B1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878</w:t>
            </w:r>
          </w:p>
        </w:tc>
        <w:tc>
          <w:tcPr>
            <w:tcW w:w="650" w:type="dxa"/>
            <w:vAlign w:val="center"/>
          </w:tcPr>
          <w:p w14:paraId="5C36E9A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2019</w:t>
            </w:r>
          </w:p>
        </w:tc>
        <w:tc>
          <w:tcPr>
            <w:tcW w:w="2117" w:type="dxa"/>
            <w:vAlign w:val="center"/>
          </w:tcPr>
          <w:p w14:paraId="41AE6EA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76D21826" w14:textId="77777777" w:rsidTr="0077351B">
        <w:tc>
          <w:tcPr>
            <w:tcW w:w="2335" w:type="dxa"/>
            <w:vAlign w:val="center"/>
          </w:tcPr>
          <w:p w14:paraId="0486314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El Carmen Nuevo Leon power station</w:t>
            </w:r>
          </w:p>
        </w:tc>
        <w:tc>
          <w:tcPr>
            <w:tcW w:w="540" w:type="dxa"/>
            <w:vAlign w:val="center"/>
          </w:tcPr>
          <w:p w14:paraId="2B1DD94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3326044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547F4FE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Gas Turbine</w:t>
            </w:r>
          </w:p>
        </w:tc>
        <w:tc>
          <w:tcPr>
            <w:tcW w:w="983" w:type="dxa"/>
            <w:vAlign w:val="center"/>
          </w:tcPr>
          <w:p w14:paraId="3328C2D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50</w:t>
            </w:r>
          </w:p>
        </w:tc>
        <w:tc>
          <w:tcPr>
            <w:tcW w:w="650" w:type="dxa"/>
            <w:vAlign w:val="center"/>
          </w:tcPr>
          <w:p w14:paraId="3DC7398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1992</w:t>
            </w:r>
          </w:p>
        </w:tc>
        <w:tc>
          <w:tcPr>
            <w:tcW w:w="2117" w:type="dxa"/>
            <w:vAlign w:val="center"/>
          </w:tcPr>
          <w:p w14:paraId="1EF6A2D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0AC63753" w14:textId="77777777" w:rsidTr="0077351B">
        <w:tc>
          <w:tcPr>
            <w:tcW w:w="2335" w:type="dxa"/>
            <w:vAlign w:val="center"/>
          </w:tcPr>
          <w:p w14:paraId="74F56848"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Pemcorp</w:t>
            </w:r>
            <w:proofErr w:type="spellEnd"/>
            <w:r w:rsidRPr="00C84698">
              <w:rPr>
                <w:rFonts w:ascii="Times New Roman" w:hAnsi="Times New Roman" w:cs="Times New Roman"/>
              </w:rPr>
              <w:t xml:space="preserve"> Energy power station</w:t>
            </w:r>
          </w:p>
        </w:tc>
        <w:tc>
          <w:tcPr>
            <w:tcW w:w="540" w:type="dxa"/>
            <w:vAlign w:val="center"/>
          </w:tcPr>
          <w:p w14:paraId="05AE836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12F2BF0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59788D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2169B8B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866</w:t>
            </w:r>
          </w:p>
        </w:tc>
        <w:tc>
          <w:tcPr>
            <w:tcW w:w="650" w:type="dxa"/>
            <w:vAlign w:val="center"/>
          </w:tcPr>
          <w:p w14:paraId="6FE0DE3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2019</w:t>
            </w:r>
          </w:p>
        </w:tc>
        <w:tc>
          <w:tcPr>
            <w:tcW w:w="2117" w:type="dxa"/>
            <w:vAlign w:val="center"/>
          </w:tcPr>
          <w:p w14:paraId="20B9964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18FC5028" w14:textId="77777777" w:rsidTr="0077351B">
        <w:tc>
          <w:tcPr>
            <w:tcW w:w="2335" w:type="dxa"/>
            <w:vAlign w:val="center"/>
          </w:tcPr>
          <w:p w14:paraId="71451A5B"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lastRenderedPageBreak/>
              <w:t>Pesquería</w:t>
            </w:r>
            <w:proofErr w:type="spellEnd"/>
            <w:r w:rsidRPr="00C84698">
              <w:rPr>
                <w:rFonts w:ascii="Times New Roman" w:hAnsi="Times New Roman" w:cs="Times New Roman"/>
              </w:rPr>
              <w:t xml:space="preserve"> power station</w:t>
            </w:r>
          </w:p>
        </w:tc>
        <w:tc>
          <w:tcPr>
            <w:tcW w:w="540" w:type="dxa"/>
            <w:vAlign w:val="center"/>
          </w:tcPr>
          <w:p w14:paraId="0310FF8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3E27E29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1B2CA11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Internal Combustion</w:t>
            </w:r>
          </w:p>
        </w:tc>
        <w:tc>
          <w:tcPr>
            <w:tcW w:w="983" w:type="dxa"/>
            <w:vAlign w:val="center"/>
          </w:tcPr>
          <w:p w14:paraId="1A2BA40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130.9</w:t>
            </w:r>
          </w:p>
        </w:tc>
        <w:tc>
          <w:tcPr>
            <w:tcW w:w="650" w:type="dxa"/>
            <w:vAlign w:val="center"/>
          </w:tcPr>
          <w:p w14:paraId="173F6EE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2018</w:t>
            </w:r>
          </w:p>
        </w:tc>
        <w:tc>
          <w:tcPr>
            <w:tcW w:w="2117" w:type="dxa"/>
            <w:vAlign w:val="center"/>
          </w:tcPr>
          <w:p w14:paraId="778DE0F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7370F807" w14:textId="77777777" w:rsidTr="0077351B">
        <w:tc>
          <w:tcPr>
            <w:tcW w:w="2335" w:type="dxa"/>
            <w:vAlign w:val="center"/>
          </w:tcPr>
          <w:p w14:paraId="229BBBB7"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Refinería</w:t>
            </w:r>
            <w:proofErr w:type="spellEnd"/>
            <w:r w:rsidRPr="00C84698">
              <w:rPr>
                <w:rFonts w:ascii="Times New Roman" w:hAnsi="Times New Roman" w:cs="Times New Roman"/>
              </w:rPr>
              <w:t xml:space="preserve"> Hector Lara Sosa power station</w:t>
            </w:r>
          </w:p>
        </w:tc>
        <w:tc>
          <w:tcPr>
            <w:tcW w:w="540" w:type="dxa"/>
            <w:vAlign w:val="center"/>
          </w:tcPr>
          <w:p w14:paraId="4B7D234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1ABE9BA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1D65449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5105D55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900</w:t>
            </w:r>
          </w:p>
        </w:tc>
        <w:tc>
          <w:tcPr>
            <w:tcW w:w="650" w:type="dxa"/>
            <w:vAlign w:val="center"/>
          </w:tcPr>
          <w:p w14:paraId="67D614B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2016</w:t>
            </w:r>
          </w:p>
        </w:tc>
        <w:tc>
          <w:tcPr>
            <w:tcW w:w="2117" w:type="dxa"/>
            <w:vAlign w:val="center"/>
          </w:tcPr>
          <w:p w14:paraId="1AE58D7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687DDAD6" w14:textId="77777777" w:rsidTr="0077351B">
        <w:tc>
          <w:tcPr>
            <w:tcW w:w="2335" w:type="dxa"/>
            <w:vAlign w:val="center"/>
          </w:tcPr>
          <w:p w14:paraId="4FE810A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Los Ramones power station</w:t>
            </w:r>
          </w:p>
        </w:tc>
        <w:tc>
          <w:tcPr>
            <w:tcW w:w="540" w:type="dxa"/>
            <w:vAlign w:val="center"/>
          </w:tcPr>
          <w:p w14:paraId="14D427C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2A076F0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 Fuel Oil</w:t>
            </w:r>
          </w:p>
        </w:tc>
        <w:tc>
          <w:tcPr>
            <w:tcW w:w="1470" w:type="dxa"/>
            <w:vAlign w:val="center"/>
          </w:tcPr>
          <w:p w14:paraId="7A3A9EE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Steam Turbine</w:t>
            </w:r>
          </w:p>
        </w:tc>
        <w:tc>
          <w:tcPr>
            <w:tcW w:w="983" w:type="dxa"/>
            <w:vAlign w:val="center"/>
          </w:tcPr>
          <w:p w14:paraId="35EE00F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79</w:t>
            </w:r>
          </w:p>
        </w:tc>
        <w:tc>
          <w:tcPr>
            <w:tcW w:w="650" w:type="dxa"/>
            <w:vAlign w:val="center"/>
          </w:tcPr>
          <w:p w14:paraId="06A70A4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2007</w:t>
            </w:r>
          </w:p>
        </w:tc>
        <w:tc>
          <w:tcPr>
            <w:tcW w:w="2117" w:type="dxa"/>
            <w:vAlign w:val="center"/>
          </w:tcPr>
          <w:p w14:paraId="5141E86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0D2A9C9B" w14:textId="77777777" w:rsidTr="0077351B">
        <w:tc>
          <w:tcPr>
            <w:tcW w:w="2335" w:type="dxa"/>
            <w:vAlign w:val="center"/>
          </w:tcPr>
          <w:p w14:paraId="3F4123A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Los Ramones power station</w:t>
            </w:r>
          </w:p>
        </w:tc>
        <w:tc>
          <w:tcPr>
            <w:tcW w:w="540" w:type="dxa"/>
            <w:vAlign w:val="center"/>
          </w:tcPr>
          <w:p w14:paraId="4101845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723E490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5A8397E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Gas Turbine</w:t>
            </w:r>
          </w:p>
        </w:tc>
        <w:tc>
          <w:tcPr>
            <w:tcW w:w="983" w:type="dxa"/>
            <w:vAlign w:val="center"/>
          </w:tcPr>
          <w:p w14:paraId="05688D4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277</w:t>
            </w:r>
          </w:p>
        </w:tc>
        <w:tc>
          <w:tcPr>
            <w:tcW w:w="650" w:type="dxa"/>
            <w:vAlign w:val="center"/>
          </w:tcPr>
          <w:p w14:paraId="1701CF3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2020</w:t>
            </w:r>
          </w:p>
        </w:tc>
        <w:tc>
          <w:tcPr>
            <w:tcW w:w="2117" w:type="dxa"/>
            <w:vAlign w:val="center"/>
          </w:tcPr>
          <w:p w14:paraId="3B78323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3443E0A7" w14:textId="77777777" w:rsidTr="0077351B">
        <w:tc>
          <w:tcPr>
            <w:tcW w:w="2335" w:type="dxa"/>
            <w:vAlign w:val="center"/>
          </w:tcPr>
          <w:p w14:paraId="36C6A42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José López Portillo power station</w:t>
            </w:r>
          </w:p>
        </w:tc>
        <w:tc>
          <w:tcPr>
            <w:tcW w:w="540" w:type="dxa"/>
            <w:vAlign w:val="center"/>
          </w:tcPr>
          <w:p w14:paraId="7D9333D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w:t>
            </w:r>
          </w:p>
        </w:tc>
        <w:tc>
          <w:tcPr>
            <w:tcW w:w="1260" w:type="dxa"/>
            <w:vAlign w:val="center"/>
          </w:tcPr>
          <w:p w14:paraId="1338C59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401809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Gas Turbine</w:t>
            </w:r>
          </w:p>
        </w:tc>
        <w:tc>
          <w:tcPr>
            <w:tcW w:w="983" w:type="dxa"/>
            <w:vAlign w:val="center"/>
          </w:tcPr>
          <w:p w14:paraId="48AEB39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277</w:t>
            </w:r>
          </w:p>
        </w:tc>
        <w:tc>
          <w:tcPr>
            <w:tcW w:w="650" w:type="dxa"/>
            <w:vAlign w:val="center"/>
          </w:tcPr>
          <w:p w14:paraId="712C6B1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2020</w:t>
            </w:r>
          </w:p>
        </w:tc>
        <w:tc>
          <w:tcPr>
            <w:tcW w:w="2117" w:type="dxa"/>
            <w:vAlign w:val="center"/>
          </w:tcPr>
          <w:p w14:paraId="5014426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San Juan Mex Tributary</w:t>
            </w:r>
          </w:p>
        </w:tc>
      </w:tr>
      <w:tr w:rsidR="00C84698" w:rsidRPr="00C84698" w14:paraId="081D72FE" w14:textId="77777777" w:rsidTr="0077351B">
        <w:tc>
          <w:tcPr>
            <w:tcW w:w="2335" w:type="dxa"/>
            <w:vAlign w:val="center"/>
          </w:tcPr>
          <w:p w14:paraId="2B0E36D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José López Portillo power station</w:t>
            </w:r>
          </w:p>
        </w:tc>
        <w:tc>
          <w:tcPr>
            <w:tcW w:w="540" w:type="dxa"/>
            <w:vAlign w:val="center"/>
          </w:tcPr>
          <w:p w14:paraId="5B5ABD9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4327D10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Coal</w:t>
            </w:r>
          </w:p>
        </w:tc>
        <w:tc>
          <w:tcPr>
            <w:tcW w:w="1470" w:type="dxa"/>
            <w:vAlign w:val="center"/>
          </w:tcPr>
          <w:p w14:paraId="698BA3F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Subcritical</w:t>
            </w:r>
          </w:p>
        </w:tc>
        <w:tc>
          <w:tcPr>
            <w:tcW w:w="983" w:type="dxa"/>
            <w:vAlign w:val="center"/>
          </w:tcPr>
          <w:p w14:paraId="2D1EC03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300</w:t>
            </w:r>
          </w:p>
        </w:tc>
        <w:tc>
          <w:tcPr>
            <w:tcW w:w="650" w:type="dxa"/>
            <w:vAlign w:val="center"/>
          </w:tcPr>
          <w:p w14:paraId="0FC16E6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1982</w:t>
            </w:r>
          </w:p>
        </w:tc>
        <w:tc>
          <w:tcPr>
            <w:tcW w:w="2117" w:type="dxa"/>
            <w:vAlign w:val="center"/>
          </w:tcPr>
          <w:p w14:paraId="0AB6210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33D73F39" w14:textId="77777777" w:rsidTr="0077351B">
        <w:tc>
          <w:tcPr>
            <w:tcW w:w="2335" w:type="dxa"/>
            <w:vAlign w:val="center"/>
          </w:tcPr>
          <w:p w14:paraId="6CD13A4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José López Portillo power station</w:t>
            </w:r>
          </w:p>
        </w:tc>
        <w:tc>
          <w:tcPr>
            <w:tcW w:w="540" w:type="dxa"/>
            <w:vAlign w:val="center"/>
          </w:tcPr>
          <w:p w14:paraId="31B4FAD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w:t>
            </w:r>
          </w:p>
        </w:tc>
        <w:tc>
          <w:tcPr>
            <w:tcW w:w="1260" w:type="dxa"/>
            <w:vAlign w:val="center"/>
          </w:tcPr>
          <w:p w14:paraId="07074C7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Coal</w:t>
            </w:r>
          </w:p>
        </w:tc>
        <w:tc>
          <w:tcPr>
            <w:tcW w:w="1470" w:type="dxa"/>
            <w:vAlign w:val="center"/>
          </w:tcPr>
          <w:p w14:paraId="3E0C521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Subcritical</w:t>
            </w:r>
          </w:p>
        </w:tc>
        <w:tc>
          <w:tcPr>
            <w:tcW w:w="983" w:type="dxa"/>
            <w:vAlign w:val="center"/>
          </w:tcPr>
          <w:p w14:paraId="79B5D0F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300</w:t>
            </w:r>
          </w:p>
        </w:tc>
        <w:tc>
          <w:tcPr>
            <w:tcW w:w="650" w:type="dxa"/>
            <w:vAlign w:val="center"/>
          </w:tcPr>
          <w:p w14:paraId="4F1E455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1983</w:t>
            </w:r>
          </w:p>
        </w:tc>
        <w:tc>
          <w:tcPr>
            <w:tcW w:w="2117" w:type="dxa"/>
            <w:vAlign w:val="center"/>
          </w:tcPr>
          <w:p w14:paraId="5756B12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641A1D6B" w14:textId="77777777" w:rsidTr="0077351B">
        <w:tc>
          <w:tcPr>
            <w:tcW w:w="2335" w:type="dxa"/>
            <w:vAlign w:val="center"/>
          </w:tcPr>
          <w:p w14:paraId="63A1329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José López Portillo power station</w:t>
            </w:r>
          </w:p>
        </w:tc>
        <w:tc>
          <w:tcPr>
            <w:tcW w:w="540" w:type="dxa"/>
            <w:vAlign w:val="center"/>
          </w:tcPr>
          <w:p w14:paraId="3A1DBBB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w:t>
            </w:r>
          </w:p>
        </w:tc>
        <w:tc>
          <w:tcPr>
            <w:tcW w:w="1260" w:type="dxa"/>
            <w:vAlign w:val="center"/>
          </w:tcPr>
          <w:p w14:paraId="21B8446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Coal</w:t>
            </w:r>
          </w:p>
        </w:tc>
        <w:tc>
          <w:tcPr>
            <w:tcW w:w="1470" w:type="dxa"/>
            <w:vAlign w:val="center"/>
          </w:tcPr>
          <w:p w14:paraId="3525489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Subcritical</w:t>
            </w:r>
          </w:p>
        </w:tc>
        <w:tc>
          <w:tcPr>
            <w:tcW w:w="983" w:type="dxa"/>
            <w:vAlign w:val="center"/>
          </w:tcPr>
          <w:p w14:paraId="725D7CA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300</w:t>
            </w:r>
          </w:p>
        </w:tc>
        <w:tc>
          <w:tcPr>
            <w:tcW w:w="650" w:type="dxa"/>
            <w:vAlign w:val="center"/>
          </w:tcPr>
          <w:p w14:paraId="0784D3D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1985</w:t>
            </w:r>
          </w:p>
        </w:tc>
        <w:tc>
          <w:tcPr>
            <w:tcW w:w="2117" w:type="dxa"/>
            <w:vAlign w:val="center"/>
          </w:tcPr>
          <w:p w14:paraId="0DBE99A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3A9CFC1E" w14:textId="77777777" w:rsidTr="0077351B">
        <w:tc>
          <w:tcPr>
            <w:tcW w:w="2335" w:type="dxa"/>
            <w:vAlign w:val="center"/>
          </w:tcPr>
          <w:p w14:paraId="58E78C14"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Carbón</w:t>
            </w:r>
            <w:proofErr w:type="spellEnd"/>
            <w:r w:rsidRPr="00C84698">
              <w:rPr>
                <w:rFonts w:ascii="Times New Roman" w:hAnsi="Times New Roman" w:cs="Times New Roman"/>
              </w:rPr>
              <w:t xml:space="preserve"> II power station</w:t>
            </w:r>
          </w:p>
        </w:tc>
        <w:tc>
          <w:tcPr>
            <w:tcW w:w="540" w:type="dxa"/>
            <w:vAlign w:val="center"/>
          </w:tcPr>
          <w:p w14:paraId="45F5BEE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w:t>
            </w:r>
          </w:p>
        </w:tc>
        <w:tc>
          <w:tcPr>
            <w:tcW w:w="1260" w:type="dxa"/>
            <w:vAlign w:val="center"/>
          </w:tcPr>
          <w:p w14:paraId="7FAA2D8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Coal</w:t>
            </w:r>
          </w:p>
        </w:tc>
        <w:tc>
          <w:tcPr>
            <w:tcW w:w="1470" w:type="dxa"/>
            <w:vAlign w:val="center"/>
          </w:tcPr>
          <w:p w14:paraId="3EA1DDC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Subcritical</w:t>
            </w:r>
          </w:p>
        </w:tc>
        <w:tc>
          <w:tcPr>
            <w:tcW w:w="983" w:type="dxa"/>
            <w:vAlign w:val="center"/>
          </w:tcPr>
          <w:p w14:paraId="62C4E7B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300</w:t>
            </w:r>
          </w:p>
        </w:tc>
        <w:tc>
          <w:tcPr>
            <w:tcW w:w="650" w:type="dxa"/>
            <w:vAlign w:val="center"/>
          </w:tcPr>
          <w:p w14:paraId="36F93C1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1987</w:t>
            </w:r>
          </w:p>
        </w:tc>
        <w:tc>
          <w:tcPr>
            <w:tcW w:w="2117" w:type="dxa"/>
            <w:vAlign w:val="center"/>
          </w:tcPr>
          <w:p w14:paraId="1282AFB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23E63DBD" w14:textId="77777777" w:rsidTr="0077351B">
        <w:tc>
          <w:tcPr>
            <w:tcW w:w="2335" w:type="dxa"/>
            <w:vAlign w:val="center"/>
          </w:tcPr>
          <w:p w14:paraId="3380DA8C"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Carbón</w:t>
            </w:r>
            <w:proofErr w:type="spellEnd"/>
            <w:r w:rsidRPr="00C84698">
              <w:rPr>
                <w:rFonts w:ascii="Times New Roman" w:hAnsi="Times New Roman" w:cs="Times New Roman"/>
              </w:rPr>
              <w:t xml:space="preserve"> II power station</w:t>
            </w:r>
          </w:p>
        </w:tc>
        <w:tc>
          <w:tcPr>
            <w:tcW w:w="540" w:type="dxa"/>
            <w:vAlign w:val="center"/>
          </w:tcPr>
          <w:p w14:paraId="714D09E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33826D2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Coal</w:t>
            </w:r>
          </w:p>
        </w:tc>
        <w:tc>
          <w:tcPr>
            <w:tcW w:w="1470" w:type="dxa"/>
            <w:vAlign w:val="center"/>
          </w:tcPr>
          <w:p w14:paraId="2DA1BFC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Subcritical</w:t>
            </w:r>
          </w:p>
        </w:tc>
        <w:tc>
          <w:tcPr>
            <w:tcW w:w="983" w:type="dxa"/>
            <w:vAlign w:val="center"/>
          </w:tcPr>
          <w:p w14:paraId="31478DB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350</w:t>
            </w:r>
          </w:p>
        </w:tc>
        <w:tc>
          <w:tcPr>
            <w:tcW w:w="650" w:type="dxa"/>
            <w:vAlign w:val="center"/>
          </w:tcPr>
          <w:p w14:paraId="2113629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1993</w:t>
            </w:r>
          </w:p>
        </w:tc>
        <w:tc>
          <w:tcPr>
            <w:tcW w:w="2117" w:type="dxa"/>
            <w:vAlign w:val="center"/>
          </w:tcPr>
          <w:p w14:paraId="7FBA29E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0274D70F" w14:textId="77777777" w:rsidTr="0077351B">
        <w:tc>
          <w:tcPr>
            <w:tcW w:w="2335" w:type="dxa"/>
            <w:vAlign w:val="center"/>
          </w:tcPr>
          <w:p w14:paraId="52DB45C3"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Carbón</w:t>
            </w:r>
            <w:proofErr w:type="spellEnd"/>
            <w:r w:rsidRPr="00C84698">
              <w:rPr>
                <w:rFonts w:ascii="Times New Roman" w:hAnsi="Times New Roman" w:cs="Times New Roman"/>
              </w:rPr>
              <w:t xml:space="preserve"> II power station</w:t>
            </w:r>
          </w:p>
        </w:tc>
        <w:tc>
          <w:tcPr>
            <w:tcW w:w="540" w:type="dxa"/>
            <w:vAlign w:val="center"/>
          </w:tcPr>
          <w:p w14:paraId="41103C5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w:t>
            </w:r>
          </w:p>
        </w:tc>
        <w:tc>
          <w:tcPr>
            <w:tcW w:w="1260" w:type="dxa"/>
            <w:vAlign w:val="center"/>
          </w:tcPr>
          <w:p w14:paraId="26E7515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Coal</w:t>
            </w:r>
          </w:p>
        </w:tc>
        <w:tc>
          <w:tcPr>
            <w:tcW w:w="1470" w:type="dxa"/>
            <w:vAlign w:val="center"/>
          </w:tcPr>
          <w:p w14:paraId="13281C8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Subcritical</w:t>
            </w:r>
          </w:p>
        </w:tc>
        <w:tc>
          <w:tcPr>
            <w:tcW w:w="983" w:type="dxa"/>
            <w:vAlign w:val="center"/>
          </w:tcPr>
          <w:p w14:paraId="04DAF0B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350</w:t>
            </w:r>
          </w:p>
        </w:tc>
        <w:tc>
          <w:tcPr>
            <w:tcW w:w="650" w:type="dxa"/>
            <w:vAlign w:val="center"/>
          </w:tcPr>
          <w:p w14:paraId="5E513A2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1993</w:t>
            </w:r>
          </w:p>
        </w:tc>
        <w:tc>
          <w:tcPr>
            <w:tcW w:w="2117" w:type="dxa"/>
            <w:vAlign w:val="center"/>
          </w:tcPr>
          <w:p w14:paraId="6D30C14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1A9EB4D1" w14:textId="77777777" w:rsidTr="0077351B">
        <w:tc>
          <w:tcPr>
            <w:tcW w:w="2335" w:type="dxa"/>
            <w:vAlign w:val="center"/>
          </w:tcPr>
          <w:p w14:paraId="576B0861"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Carbón</w:t>
            </w:r>
            <w:proofErr w:type="spellEnd"/>
            <w:r w:rsidRPr="00C84698">
              <w:rPr>
                <w:rFonts w:ascii="Times New Roman" w:hAnsi="Times New Roman" w:cs="Times New Roman"/>
              </w:rPr>
              <w:t xml:space="preserve"> II power station</w:t>
            </w:r>
          </w:p>
        </w:tc>
        <w:tc>
          <w:tcPr>
            <w:tcW w:w="540" w:type="dxa"/>
            <w:vAlign w:val="center"/>
          </w:tcPr>
          <w:p w14:paraId="402D585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w:t>
            </w:r>
          </w:p>
        </w:tc>
        <w:tc>
          <w:tcPr>
            <w:tcW w:w="1260" w:type="dxa"/>
            <w:vAlign w:val="center"/>
          </w:tcPr>
          <w:p w14:paraId="26A2F00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Coal</w:t>
            </w:r>
          </w:p>
        </w:tc>
        <w:tc>
          <w:tcPr>
            <w:tcW w:w="1470" w:type="dxa"/>
            <w:vAlign w:val="center"/>
          </w:tcPr>
          <w:p w14:paraId="53DFF28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Subcritical</w:t>
            </w:r>
          </w:p>
        </w:tc>
        <w:tc>
          <w:tcPr>
            <w:tcW w:w="983" w:type="dxa"/>
            <w:vAlign w:val="center"/>
          </w:tcPr>
          <w:p w14:paraId="5167C35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350</w:t>
            </w:r>
          </w:p>
        </w:tc>
        <w:tc>
          <w:tcPr>
            <w:tcW w:w="650" w:type="dxa"/>
            <w:vAlign w:val="center"/>
          </w:tcPr>
          <w:p w14:paraId="14BCBC9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1995</w:t>
            </w:r>
          </w:p>
        </w:tc>
        <w:tc>
          <w:tcPr>
            <w:tcW w:w="2117" w:type="dxa"/>
            <w:vAlign w:val="center"/>
          </w:tcPr>
          <w:p w14:paraId="279BAF3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5C9108C9" w14:textId="77777777" w:rsidTr="0077351B">
        <w:tc>
          <w:tcPr>
            <w:tcW w:w="2335" w:type="dxa"/>
            <w:vAlign w:val="center"/>
          </w:tcPr>
          <w:p w14:paraId="558B80D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Río Bravo III (Lomas del Real) power station</w:t>
            </w:r>
          </w:p>
        </w:tc>
        <w:tc>
          <w:tcPr>
            <w:tcW w:w="540" w:type="dxa"/>
            <w:vAlign w:val="center"/>
          </w:tcPr>
          <w:p w14:paraId="63DB1D9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w:t>
            </w:r>
          </w:p>
        </w:tc>
        <w:tc>
          <w:tcPr>
            <w:tcW w:w="1260" w:type="dxa"/>
            <w:vAlign w:val="center"/>
          </w:tcPr>
          <w:p w14:paraId="680BD18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Coal</w:t>
            </w:r>
          </w:p>
        </w:tc>
        <w:tc>
          <w:tcPr>
            <w:tcW w:w="1470" w:type="dxa"/>
            <w:vAlign w:val="center"/>
          </w:tcPr>
          <w:p w14:paraId="2871D21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Subcritical</w:t>
            </w:r>
          </w:p>
        </w:tc>
        <w:tc>
          <w:tcPr>
            <w:tcW w:w="983" w:type="dxa"/>
            <w:vAlign w:val="center"/>
          </w:tcPr>
          <w:p w14:paraId="31951F4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350</w:t>
            </w:r>
          </w:p>
        </w:tc>
        <w:tc>
          <w:tcPr>
            <w:tcW w:w="650" w:type="dxa"/>
            <w:vAlign w:val="center"/>
          </w:tcPr>
          <w:p w14:paraId="40DDFB1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1996</w:t>
            </w:r>
          </w:p>
        </w:tc>
        <w:tc>
          <w:tcPr>
            <w:tcW w:w="2117" w:type="dxa"/>
            <w:vAlign w:val="center"/>
          </w:tcPr>
          <w:p w14:paraId="1EF5F3A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17609447" w14:textId="77777777" w:rsidTr="0077351B">
        <w:tc>
          <w:tcPr>
            <w:tcW w:w="2335" w:type="dxa"/>
            <w:vAlign w:val="center"/>
          </w:tcPr>
          <w:p w14:paraId="430AECE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Río Bravo IV (Valle Hermoso) power station</w:t>
            </w:r>
          </w:p>
        </w:tc>
        <w:tc>
          <w:tcPr>
            <w:tcW w:w="540" w:type="dxa"/>
            <w:vAlign w:val="center"/>
          </w:tcPr>
          <w:p w14:paraId="152FF4C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w:t>
            </w:r>
          </w:p>
        </w:tc>
        <w:tc>
          <w:tcPr>
            <w:tcW w:w="1260" w:type="dxa"/>
            <w:vAlign w:val="center"/>
          </w:tcPr>
          <w:p w14:paraId="6BCE1E0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5D61F08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1155D8C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495</w:t>
            </w:r>
          </w:p>
        </w:tc>
        <w:tc>
          <w:tcPr>
            <w:tcW w:w="650" w:type="dxa"/>
            <w:vAlign w:val="center"/>
          </w:tcPr>
          <w:p w14:paraId="256AA47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2004</w:t>
            </w:r>
          </w:p>
        </w:tc>
        <w:tc>
          <w:tcPr>
            <w:tcW w:w="2117" w:type="dxa"/>
            <w:vAlign w:val="center"/>
          </w:tcPr>
          <w:p w14:paraId="0735007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7F525749" w14:textId="77777777" w:rsidTr="0077351B">
        <w:tc>
          <w:tcPr>
            <w:tcW w:w="2335" w:type="dxa"/>
            <w:vAlign w:val="center"/>
          </w:tcPr>
          <w:p w14:paraId="6F252B9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lastRenderedPageBreak/>
              <w:t>Río Bravo II (Anahuac) power station</w:t>
            </w:r>
          </w:p>
        </w:tc>
        <w:tc>
          <w:tcPr>
            <w:tcW w:w="540" w:type="dxa"/>
            <w:vAlign w:val="center"/>
          </w:tcPr>
          <w:p w14:paraId="00069B8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w:t>
            </w:r>
          </w:p>
        </w:tc>
        <w:tc>
          <w:tcPr>
            <w:tcW w:w="1260" w:type="dxa"/>
            <w:vAlign w:val="center"/>
          </w:tcPr>
          <w:p w14:paraId="188A133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40FF82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73AFC92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500</w:t>
            </w:r>
          </w:p>
        </w:tc>
        <w:tc>
          <w:tcPr>
            <w:tcW w:w="650" w:type="dxa"/>
            <w:vAlign w:val="center"/>
          </w:tcPr>
          <w:p w14:paraId="39C3B9E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2005</w:t>
            </w:r>
          </w:p>
        </w:tc>
        <w:tc>
          <w:tcPr>
            <w:tcW w:w="2117" w:type="dxa"/>
            <w:vAlign w:val="center"/>
          </w:tcPr>
          <w:p w14:paraId="24C0463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692A32D4" w14:textId="77777777" w:rsidTr="0077351B">
        <w:tc>
          <w:tcPr>
            <w:tcW w:w="2335" w:type="dxa"/>
            <w:vAlign w:val="center"/>
          </w:tcPr>
          <w:p w14:paraId="14EB8B4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Emilio Portes Gil power station</w:t>
            </w:r>
          </w:p>
        </w:tc>
        <w:tc>
          <w:tcPr>
            <w:tcW w:w="540" w:type="dxa"/>
            <w:vAlign w:val="center"/>
          </w:tcPr>
          <w:p w14:paraId="2B4ACAB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w:t>
            </w:r>
          </w:p>
        </w:tc>
        <w:tc>
          <w:tcPr>
            <w:tcW w:w="1260" w:type="dxa"/>
            <w:vAlign w:val="center"/>
          </w:tcPr>
          <w:p w14:paraId="6F503AA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73E706E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010013C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495</w:t>
            </w:r>
          </w:p>
        </w:tc>
        <w:tc>
          <w:tcPr>
            <w:tcW w:w="650" w:type="dxa"/>
            <w:vAlign w:val="center"/>
          </w:tcPr>
          <w:p w14:paraId="7B04512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2002</w:t>
            </w:r>
          </w:p>
        </w:tc>
        <w:tc>
          <w:tcPr>
            <w:tcW w:w="2117" w:type="dxa"/>
            <w:vAlign w:val="center"/>
          </w:tcPr>
          <w:p w14:paraId="6FAA090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278F8B26" w14:textId="77777777" w:rsidTr="0077351B">
        <w:tc>
          <w:tcPr>
            <w:tcW w:w="2335" w:type="dxa"/>
            <w:vAlign w:val="center"/>
          </w:tcPr>
          <w:p w14:paraId="12ECD9A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Emilio Portes Gil power station</w:t>
            </w:r>
          </w:p>
        </w:tc>
        <w:tc>
          <w:tcPr>
            <w:tcW w:w="540" w:type="dxa"/>
            <w:vAlign w:val="center"/>
          </w:tcPr>
          <w:p w14:paraId="23662E4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w:t>
            </w:r>
          </w:p>
        </w:tc>
        <w:tc>
          <w:tcPr>
            <w:tcW w:w="1260" w:type="dxa"/>
            <w:vAlign w:val="center"/>
          </w:tcPr>
          <w:p w14:paraId="2209975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64FF6D4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Steam Turbine</w:t>
            </w:r>
          </w:p>
        </w:tc>
        <w:tc>
          <w:tcPr>
            <w:tcW w:w="983" w:type="dxa"/>
            <w:vAlign w:val="center"/>
          </w:tcPr>
          <w:p w14:paraId="3610D92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300</w:t>
            </w:r>
          </w:p>
        </w:tc>
        <w:tc>
          <w:tcPr>
            <w:tcW w:w="650" w:type="dxa"/>
            <w:vAlign w:val="center"/>
          </w:tcPr>
          <w:p w14:paraId="3F6746C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1982</w:t>
            </w:r>
          </w:p>
        </w:tc>
        <w:tc>
          <w:tcPr>
            <w:tcW w:w="2117" w:type="dxa"/>
            <w:vAlign w:val="center"/>
          </w:tcPr>
          <w:p w14:paraId="7813B83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0978C1F8" w14:textId="77777777" w:rsidTr="0077351B">
        <w:tc>
          <w:tcPr>
            <w:tcW w:w="2335" w:type="dxa"/>
            <w:vAlign w:val="center"/>
          </w:tcPr>
          <w:p w14:paraId="48D9F0DE"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(Monterrey) power station</w:t>
            </w:r>
          </w:p>
        </w:tc>
        <w:tc>
          <w:tcPr>
            <w:tcW w:w="540" w:type="dxa"/>
            <w:vAlign w:val="center"/>
          </w:tcPr>
          <w:p w14:paraId="6BFA5A1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w:t>
            </w:r>
          </w:p>
        </w:tc>
        <w:tc>
          <w:tcPr>
            <w:tcW w:w="1260" w:type="dxa"/>
            <w:vAlign w:val="center"/>
          </w:tcPr>
          <w:p w14:paraId="7E5F6F08"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2E33932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0BA0DB6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211</w:t>
            </w:r>
          </w:p>
        </w:tc>
        <w:tc>
          <w:tcPr>
            <w:tcW w:w="650" w:type="dxa"/>
            <w:vAlign w:val="center"/>
          </w:tcPr>
          <w:p w14:paraId="350E5DB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2007</w:t>
            </w:r>
          </w:p>
        </w:tc>
        <w:tc>
          <w:tcPr>
            <w:tcW w:w="2117" w:type="dxa"/>
            <w:vAlign w:val="center"/>
          </w:tcPr>
          <w:p w14:paraId="032DA75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Amistad dam to Gulf of Mexico</w:t>
            </w:r>
          </w:p>
        </w:tc>
      </w:tr>
      <w:tr w:rsidR="00C84698" w:rsidRPr="00C84698" w14:paraId="2F62746E" w14:textId="77777777" w:rsidTr="0077351B">
        <w:tc>
          <w:tcPr>
            <w:tcW w:w="2335" w:type="dxa"/>
            <w:vAlign w:val="center"/>
          </w:tcPr>
          <w:p w14:paraId="78B5FE04"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(Monterrey) power station</w:t>
            </w:r>
          </w:p>
        </w:tc>
        <w:tc>
          <w:tcPr>
            <w:tcW w:w="540" w:type="dxa"/>
            <w:vAlign w:val="center"/>
          </w:tcPr>
          <w:p w14:paraId="78DED5C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17BB36D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43394F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49E6D72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453</w:t>
            </w:r>
          </w:p>
        </w:tc>
        <w:tc>
          <w:tcPr>
            <w:tcW w:w="650" w:type="dxa"/>
            <w:vAlign w:val="center"/>
          </w:tcPr>
          <w:p w14:paraId="37D8733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2020</w:t>
            </w:r>
          </w:p>
        </w:tc>
        <w:tc>
          <w:tcPr>
            <w:tcW w:w="2117" w:type="dxa"/>
            <w:vAlign w:val="center"/>
          </w:tcPr>
          <w:p w14:paraId="05C9F25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El Paso to Fort Quitman</w:t>
            </w:r>
          </w:p>
        </w:tc>
      </w:tr>
      <w:tr w:rsidR="00C84698" w:rsidRPr="00C84698" w14:paraId="0C740449" w14:textId="77777777" w:rsidTr="0077351B">
        <w:tc>
          <w:tcPr>
            <w:tcW w:w="2335" w:type="dxa"/>
            <w:vAlign w:val="center"/>
          </w:tcPr>
          <w:p w14:paraId="6F1979B9"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(Monterrey) power station</w:t>
            </w:r>
          </w:p>
        </w:tc>
        <w:tc>
          <w:tcPr>
            <w:tcW w:w="540" w:type="dxa"/>
            <w:vAlign w:val="center"/>
          </w:tcPr>
          <w:p w14:paraId="3F5F9F4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w:t>
            </w:r>
          </w:p>
        </w:tc>
        <w:tc>
          <w:tcPr>
            <w:tcW w:w="1260" w:type="dxa"/>
            <w:vAlign w:val="center"/>
          </w:tcPr>
          <w:p w14:paraId="526E1E04"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6582544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53E7CC9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453</w:t>
            </w:r>
          </w:p>
        </w:tc>
        <w:tc>
          <w:tcPr>
            <w:tcW w:w="650" w:type="dxa"/>
            <w:vAlign w:val="center"/>
          </w:tcPr>
          <w:p w14:paraId="7EA05115"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2020</w:t>
            </w:r>
          </w:p>
        </w:tc>
        <w:tc>
          <w:tcPr>
            <w:tcW w:w="2117" w:type="dxa"/>
            <w:vAlign w:val="center"/>
          </w:tcPr>
          <w:p w14:paraId="6753947A"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RGRB El Paso to Fort Quitman</w:t>
            </w:r>
          </w:p>
        </w:tc>
      </w:tr>
      <w:tr w:rsidR="00C84698" w:rsidRPr="00C84698" w14:paraId="4D8F4724" w14:textId="77777777" w:rsidTr="0077351B">
        <w:tc>
          <w:tcPr>
            <w:tcW w:w="2335" w:type="dxa"/>
            <w:vAlign w:val="center"/>
          </w:tcPr>
          <w:p w14:paraId="59D51093"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(Monterrey) power station</w:t>
            </w:r>
          </w:p>
        </w:tc>
        <w:tc>
          <w:tcPr>
            <w:tcW w:w="540" w:type="dxa"/>
            <w:vAlign w:val="center"/>
          </w:tcPr>
          <w:p w14:paraId="5DE9D01C"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6DE1B3E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06BFE78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0B21356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619</w:t>
            </w:r>
          </w:p>
        </w:tc>
        <w:tc>
          <w:tcPr>
            <w:tcW w:w="650" w:type="dxa"/>
            <w:vAlign w:val="center"/>
          </w:tcPr>
          <w:p w14:paraId="140B703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2003</w:t>
            </w:r>
          </w:p>
        </w:tc>
        <w:tc>
          <w:tcPr>
            <w:tcW w:w="2117" w:type="dxa"/>
            <w:vAlign w:val="center"/>
          </w:tcPr>
          <w:p w14:paraId="15DCAAC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Conchos</w:t>
            </w:r>
          </w:p>
        </w:tc>
      </w:tr>
      <w:tr w:rsidR="00C84698" w:rsidRPr="00C84698" w14:paraId="4DF4ADC1" w14:textId="77777777" w:rsidTr="0077351B">
        <w:tc>
          <w:tcPr>
            <w:tcW w:w="2335" w:type="dxa"/>
            <w:vAlign w:val="center"/>
          </w:tcPr>
          <w:p w14:paraId="0CA8FD2F" w14:textId="77777777" w:rsidR="00C84698" w:rsidRPr="00C84698" w:rsidRDefault="00C84698" w:rsidP="00C84698">
            <w:pPr>
              <w:spacing w:line="278" w:lineRule="auto"/>
              <w:rPr>
                <w:rFonts w:ascii="Times New Roman" w:hAnsi="Times New Roman" w:cs="Times New Roman"/>
              </w:rPr>
            </w:pPr>
            <w:proofErr w:type="spellStart"/>
            <w:r w:rsidRPr="00C84698">
              <w:rPr>
                <w:rFonts w:ascii="Times New Roman" w:hAnsi="Times New Roman" w:cs="Times New Roman"/>
              </w:rPr>
              <w:t>Dulces</w:t>
            </w:r>
            <w:proofErr w:type="spellEnd"/>
            <w:r w:rsidRPr="00C84698">
              <w:rPr>
                <w:rFonts w:ascii="Times New Roman" w:hAnsi="Times New Roman" w:cs="Times New Roman"/>
              </w:rPr>
              <w:t xml:space="preserve"> </w:t>
            </w:r>
            <w:proofErr w:type="spellStart"/>
            <w:r w:rsidRPr="00C84698">
              <w:rPr>
                <w:rFonts w:ascii="Times New Roman" w:hAnsi="Times New Roman" w:cs="Times New Roman"/>
              </w:rPr>
              <w:t>Nombres</w:t>
            </w:r>
            <w:proofErr w:type="spellEnd"/>
            <w:r w:rsidRPr="00C84698">
              <w:rPr>
                <w:rFonts w:ascii="Times New Roman" w:hAnsi="Times New Roman" w:cs="Times New Roman"/>
              </w:rPr>
              <w:t xml:space="preserve"> II power station</w:t>
            </w:r>
          </w:p>
        </w:tc>
        <w:tc>
          <w:tcPr>
            <w:tcW w:w="540" w:type="dxa"/>
            <w:vAlign w:val="center"/>
          </w:tcPr>
          <w:p w14:paraId="4A05A407"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557283F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253DC2B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4D63EFD3"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327</w:t>
            </w:r>
          </w:p>
        </w:tc>
        <w:tc>
          <w:tcPr>
            <w:tcW w:w="650" w:type="dxa"/>
            <w:vAlign w:val="center"/>
          </w:tcPr>
          <w:p w14:paraId="0DF44979"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2003</w:t>
            </w:r>
          </w:p>
        </w:tc>
        <w:tc>
          <w:tcPr>
            <w:tcW w:w="2117" w:type="dxa"/>
            <w:vAlign w:val="center"/>
          </w:tcPr>
          <w:p w14:paraId="6FB355EF"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Conchos</w:t>
            </w:r>
          </w:p>
        </w:tc>
      </w:tr>
      <w:tr w:rsidR="00C84698" w:rsidRPr="00C84698" w14:paraId="3BE4785A" w14:textId="77777777" w:rsidTr="0077351B">
        <w:tc>
          <w:tcPr>
            <w:tcW w:w="2335" w:type="dxa"/>
            <w:vAlign w:val="center"/>
          </w:tcPr>
          <w:p w14:paraId="3EBAAF96"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Noreste (Escobedo) power station</w:t>
            </w:r>
          </w:p>
        </w:tc>
        <w:tc>
          <w:tcPr>
            <w:tcW w:w="540" w:type="dxa"/>
            <w:vAlign w:val="center"/>
          </w:tcPr>
          <w:p w14:paraId="1AEEEB9B"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1</w:t>
            </w:r>
          </w:p>
        </w:tc>
        <w:tc>
          <w:tcPr>
            <w:tcW w:w="1260" w:type="dxa"/>
            <w:vAlign w:val="center"/>
          </w:tcPr>
          <w:p w14:paraId="5AD1522E"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Natural Gas</w:t>
            </w:r>
          </w:p>
        </w:tc>
        <w:tc>
          <w:tcPr>
            <w:tcW w:w="1470" w:type="dxa"/>
            <w:vAlign w:val="center"/>
          </w:tcPr>
          <w:p w14:paraId="2B4A8362"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Combined Cycle</w:t>
            </w:r>
          </w:p>
        </w:tc>
        <w:tc>
          <w:tcPr>
            <w:tcW w:w="983" w:type="dxa"/>
            <w:vAlign w:val="center"/>
          </w:tcPr>
          <w:p w14:paraId="649F03D1"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433</w:t>
            </w:r>
          </w:p>
        </w:tc>
        <w:tc>
          <w:tcPr>
            <w:tcW w:w="650" w:type="dxa"/>
            <w:vAlign w:val="center"/>
          </w:tcPr>
          <w:p w14:paraId="43625220"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2014</w:t>
            </w:r>
          </w:p>
        </w:tc>
        <w:tc>
          <w:tcPr>
            <w:tcW w:w="2117" w:type="dxa"/>
            <w:vAlign w:val="center"/>
          </w:tcPr>
          <w:p w14:paraId="2DF5705D" w14:textId="77777777" w:rsidR="00C84698" w:rsidRPr="00C84698" w:rsidRDefault="00C84698" w:rsidP="00C84698">
            <w:pPr>
              <w:spacing w:line="278" w:lineRule="auto"/>
              <w:rPr>
                <w:rFonts w:ascii="Times New Roman" w:hAnsi="Times New Roman" w:cs="Times New Roman"/>
              </w:rPr>
            </w:pPr>
            <w:r w:rsidRPr="00C84698">
              <w:rPr>
                <w:rFonts w:ascii="Times New Roman" w:hAnsi="Times New Roman" w:cs="Times New Roman"/>
              </w:rPr>
              <w:t>Rio Conchos</w:t>
            </w:r>
          </w:p>
        </w:tc>
      </w:tr>
    </w:tbl>
    <w:p w14:paraId="46E9E2FF" w14:textId="77777777" w:rsidR="00C84698" w:rsidRPr="00C84698" w:rsidRDefault="00C84698" w:rsidP="00C84698">
      <w:pPr>
        <w:spacing w:after="0"/>
        <w:rPr>
          <w:rFonts w:ascii="Times New Roman" w:hAnsi="Times New Roman" w:cs="Times New Roman"/>
        </w:rPr>
      </w:pPr>
    </w:p>
    <w:p w14:paraId="7B76A114" w14:textId="77777777" w:rsidR="00C84698" w:rsidRPr="00C84698" w:rsidRDefault="00C84698" w:rsidP="00C84698">
      <w:pPr>
        <w:spacing w:after="0"/>
        <w:rPr>
          <w:rFonts w:ascii="Times New Roman" w:hAnsi="Times New Roman" w:cs="Times New Roman"/>
          <w:b/>
          <w:bCs/>
        </w:rPr>
      </w:pPr>
      <w:r w:rsidRPr="00C84698">
        <w:rPr>
          <w:rFonts w:ascii="Times New Roman" w:hAnsi="Times New Roman" w:cs="Times New Roman"/>
          <w:b/>
          <w:bCs/>
        </w:rPr>
        <w:t xml:space="preserve">Supplemental Information References </w:t>
      </w:r>
    </w:p>
    <w:p w14:paraId="110E7D4C"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Akaike, H., 1974. A new look at the statistical model identification. </w:t>
      </w:r>
      <w:r w:rsidRPr="00C84698">
        <w:rPr>
          <w:rFonts w:ascii="Times New Roman" w:hAnsi="Times New Roman" w:cs="Times New Roman"/>
          <w:i/>
          <w:iCs/>
        </w:rPr>
        <w:t>IEEE Transactions on Automatic Control</w:t>
      </w:r>
      <w:r w:rsidRPr="00C84698">
        <w:rPr>
          <w:rFonts w:ascii="Times New Roman" w:hAnsi="Times New Roman" w:cs="Times New Roman"/>
        </w:rPr>
        <w:t>, 19(6), pp.716–723.</w:t>
      </w:r>
    </w:p>
    <w:p w14:paraId="73E977D7"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Box, G.E., Jenkins, G.M., Reinsel, G.C. and Ljung, G.M., 2015. </w:t>
      </w:r>
      <w:r w:rsidRPr="00C84698">
        <w:rPr>
          <w:rFonts w:ascii="Times New Roman" w:hAnsi="Times New Roman" w:cs="Times New Roman"/>
          <w:i/>
          <w:iCs/>
        </w:rPr>
        <w:t>Time Series Analysis: Forecasting and Control</w:t>
      </w:r>
      <w:r w:rsidRPr="00C84698">
        <w:rPr>
          <w:rFonts w:ascii="Times New Roman" w:hAnsi="Times New Roman" w:cs="Times New Roman"/>
        </w:rPr>
        <w:t>. John Wiley &amp; Sons.</w:t>
      </w:r>
    </w:p>
    <w:p w14:paraId="5EA76BE3"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Byers, L., Friedrich, J., Hennig, R., </w:t>
      </w:r>
      <w:proofErr w:type="spellStart"/>
      <w:r w:rsidRPr="00C84698">
        <w:rPr>
          <w:rFonts w:ascii="Times New Roman" w:hAnsi="Times New Roman" w:cs="Times New Roman"/>
        </w:rPr>
        <w:t>Kressig</w:t>
      </w:r>
      <w:proofErr w:type="spellEnd"/>
      <w:r w:rsidRPr="00C84698">
        <w:rPr>
          <w:rFonts w:ascii="Times New Roman" w:hAnsi="Times New Roman" w:cs="Times New Roman"/>
        </w:rPr>
        <w:t>, A., Li, X., McCormick, C.O.L.I.N. and Valeri, L.M., 2018. A global database of power plants. </w:t>
      </w:r>
      <w:r w:rsidRPr="00C84698">
        <w:rPr>
          <w:rFonts w:ascii="Times New Roman" w:hAnsi="Times New Roman" w:cs="Times New Roman"/>
          <w:i/>
          <w:iCs/>
        </w:rPr>
        <w:t>World Resources Institute</w:t>
      </w:r>
      <w:r w:rsidRPr="00C84698">
        <w:rPr>
          <w:rFonts w:ascii="Times New Roman" w:hAnsi="Times New Roman" w:cs="Times New Roman"/>
        </w:rPr>
        <w:t>, </w:t>
      </w:r>
      <w:r w:rsidRPr="00C84698">
        <w:rPr>
          <w:rFonts w:ascii="Times New Roman" w:hAnsi="Times New Roman" w:cs="Times New Roman"/>
          <w:i/>
          <w:iCs/>
        </w:rPr>
        <w:t>18</w:t>
      </w:r>
      <w:r w:rsidRPr="00C84698">
        <w:rPr>
          <w:rFonts w:ascii="Times New Roman" w:hAnsi="Times New Roman" w:cs="Times New Roman"/>
        </w:rPr>
        <w:t>.</w:t>
      </w:r>
    </w:p>
    <w:p w14:paraId="57E2DC2C"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Breusch, T.S. and Pagan, A.R., 1979. A simple test for heteroscedasticity and random coefficient variation. </w:t>
      </w:r>
      <w:proofErr w:type="spellStart"/>
      <w:r w:rsidRPr="00C84698">
        <w:rPr>
          <w:rFonts w:ascii="Times New Roman" w:hAnsi="Times New Roman" w:cs="Times New Roman"/>
          <w:i/>
          <w:iCs/>
        </w:rPr>
        <w:t>Econometrica</w:t>
      </w:r>
      <w:proofErr w:type="spellEnd"/>
      <w:r w:rsidRPr="00C84698">
        <w:rPr>
          <w:rFonts w:ascii="Times New Roman" w:hAnsi="Times New Roman" w:cs="Times New Roman"/>
          <w:i/>
          <w:iCs/>
        </w:rPr>
        <w:t>: Journal of the Econometric Society</w:t>
      </w:r>
      <w:r w:rsidRPr="00C84698">
        <w:rPr>
          <w:rFonts w:ascii="Times New Roman" w:hAnsi="Times New Roman" w:cs="Times New Roman"/>
        </w:rPr>
        <w:t>, pp.1287–1294.</w:t>
      </w:r>
    </w:p>
    <w:p w14:paraId="352575BA"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Energy Information Administration (EIA). 2025. </w:t>
      </w:r>
      <w:r w:rsidRPr="00C84698">
        <w:rPr>
          <w:rFonts w:ascii="Times New Roman" w:hAnsi="Times New Roman" w:cs="Times New Roman"/>
          <w:i/>
          <w:iCs/>
        </w:rPr>
        <w:t>Form EIA-923 detailed data with previous form data (EIA-906/920)</w:t>
      </w:r>
      <w:r w:rsidRPr="00C84698">
        <w:rPr>
          <w:rFonts w:ascii="Times New Roman" w:hAnsi="Times New Roman" w:cs="Times New Roman"/>
        </w:rPr>
        <w:t xml:space="preserve">. Accessible from: </w:t>
      </w:r>
      <w:hyperlink r:id="rId29" w:history="1">
        <w:r w:rsidRPr="00C84698">
          <w:rPr>
            <w:rStyle w:val="Hyperlink"/>
            <w:rFonts w:ascii="Times New Roman" w:hAnsi="Times New Roman" w:cs="Times New Roman"/>
          </w:rPr>
          <w:t>https://www.eia.gov/electricity/data/eia923/</w:t>
        </w:r>
      </w:hyperlink>
      <w:r w:rsidRPr="00C84698">
        <w:rPr>
          <w:rFonts w:ascii="Times New Roman" w:hAnsi="Times New Roman" w:cs="Times New Roman"/>
        </w:rPr>
        <w:t xml:space="preserve"> (Accessed on 11.15.2024)</w:t>
      </w:r>
    </w:p>
    <w:p w14:paraId="79223011"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Jarque, C.M. and Bera, A.K., 1980. Efficient tests for normality, homoscedasticity and serial independence of regression residuals. </w:t>
      </w:r>
      <w:r w:rsidRPr="00C84698">
        <w:rPr>
          <w:rFonts w:ascii="Times New Roman" w:hAnsi="Times New Roman" w:cs="Times New Roman"/>
          <w:i/>
          <w:iCs/>
        </w:rPr>
        <w:t>Economics Letters</w:t>
      </w:r>
      <w:r w:rsidRPr="00C84698">
        <w:rPr>
          <w:rFonts w:ascii="Times New Roman" w:hAnsi="Times New Roman" w:cs="Times New Roman"/>
        </w:rPr>
        <w:t>, 6(3), pp.255–259.</w:t>
      </w:r>
    </w:p>
    <w:p w14:paraId="2F9AF1AA"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lastRenderedPageBreak/>
        <w:t xml:space="preserve">Jones, P.D. and Hulme, M., 1996. Calculating regional climatic time series for temperature and precipitation: methods and illustrations. </w:t>
      </w:r>
      <w:r w:rsidRPr="00C84698">
        <w:rPr>
          <w:rFonts w:ascii="Times New Roman" w:hAnsi="Times New Roman" w:cs="Times New Roman"/>
          <w:i/>
          <w:iCs/>
        </w:rPr>
        <w:t>International Journal of Climatology: A Journal of the Royal Meteorological Society</w:t>
      </w:r>
      <w:r w:rsidRPr="00C84698">
        <w:rPr>
          <w:rFonts w:ascii="Times New Roman" w:hAnsi="Times New Roman" w:cs="Times New Roman"/>
        </w:rPr>
        <w:t>, 16(4), pp.361–377.</w:t>
      </w:r>
    </w:p>
    <w:p w14:paraId="6635D967"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Kim, J., Kim, H., Kim, H., Lee, D. and Yoon, S., 2024. A Comprehensive Survey of Time Series Forecasting: Architectural Diversity and Open Challenges. </w:t>
      </w:r>
      <w:proofErr w:type="spellStart"/>
      <w:r w:rsidRPr="00C84698">
        <w:rPr>
          <w:rFonts w:ascii="Times New Roman" w:hAnsi="Times New Roman" w:cs="Times New Roman"/>
          <w:i/>
          <w:iCs/>
        </w:rPr>
        <w:t>arXiv</w:t>
      </w:r>
      <w:proofErr w:type="spellEnd"/>
      <w:r w:rsidRPr="00C84698">
        <w:rPr>
          <w:rFonts w:ascii="Times New Roman" w:hAnsi="Times New Roman" w:cs="Times New Roman"/>
          <w:i/>
          <w:iCs/>
        </w:rPr>
        <w:t xml:space="preserve"> preprint</w:t>
      </w:r>
      <w:r w:rsidRPr="00C84698">
        <w:rPr>
          <w:rFonts w:ascii="Times New Roman" w:hAnsi="Times New Roman" w:cs="Times New Roman"/>
        </w:rPr>
        <w:t xml:space="preserve"> arXiv:2411.05793.</w:t>
      </w:r>
    </w:p>
    <w:p w14:paraId="3AE22BAB"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Ljung, G.M. and Box, G.E., 1978. On a measure of lack of fit in time series models. </w:t>
      </w:r>
      <w:proofErr w:type="spellStart"/>
      <w:r w:rsidRPr="00C84698">
        <w:rPr>
          <w:rFonts w:ascii="Times New Roman" w:hAnsi="Times New Roman" w:cs="Times New Roman"/>
          <w:i/>
          <w:iCs/>
        </w:rPr>
        <w:t>Biometrika</w:t>
      </w:r>
      <w:proofErr w:type="spellEnd"/>
      <w:r w:rsidRPr="00C84698">
        <w:rPr>
          <w:rFonts w:ascii="Times New Roman" w:hAnsi="Times New Roman" w:cs="Times New Roman"/>
        </w:rPr>
        <w:t>, 65(2), pp.297–303.</w:t>
      </w:r>
    </w:p>
    <w:p w14:paraId="11B22481" w14:textId="77777777" w:rsidR="00C84698" w:rsidRPr="00C84698" w:rsidRDefault="00C84698" w:rsidP="00C84698">
      <w:pPr>
        <w:numPr>
          <w:ilvl w:val="0"/>
          <w:numId w:val="7"/>
        </w:numPr>
        <w:spacing w:after="0"/>
        <w:rPr>
          <w:rFonts w:ascii="Times New Roman" w:hAnsi="Times New Roman" w:cs="Times New Roman"/>
        </w:rPr>
      </w:pPr>
      <w:proofErr w:type="spellStart"/>
      <w:r w:rsidRPr="00C84698">
        <w:rPr>
          <w:rFonts w:ascii="Times New Roman" w:hAnsi="Times New Roman" w:cs="Times New Roman"/>
        </w:rPr>
        <w:t>Miaou</w:t>
      </w:r>
      <w:proofErr w:type="spellEnd"/>
      <w:r w:rsidRPr="00C84698">
        <w:rPr>
          <w:rFonts w:ascii="Times New Roman" w:hAnsi="Times New Roman" w:cs="Times New Roman"/>
        </w:rPr>
        <w:t xml:space="preserve">, S.P., 1990. A class of time series urban water demand models with nonlinear climatic effects. </w:t>
      </w:r>
      <w:r w:rsidRPr="00C84698">
        <w:rPr>
          <w:rFonts w:ascii="Times New Roman" w:hAnsi="Times New Roman" w:cs="Times New Roman"/>
          <w:i/>
          <w:iCs/>
        </w:rPr>
        <w:t>Water Resources Research</w:t>
      </w:r>
      <w:r w:rsidRPr="00C84698">
        <w:rPr>
          <w:rFonts w:ascii="Times New Roman" w:hAnsi="Times New Roman" w:cs="Times New Roman"/>
        </w:rPr>
        <w:t>, 26(2), pp.169–178.</w:t>
      </w:r>
    </w:p>
    <w:p w14:paraId="7A2F131F"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Schwarz, G., 1978. Estimating the dimension of a model. </w:t>
      </w:r>
      <w:r w:rsidRPr="00C84698">
        <w:rPr>
          <w:rFonts w:ascii="Times New Roman" w:hAnsi="Times New Roman" w:cs="Times New Roman"/>
          <w:i/>
          <w:iCs/>
        </w:rPr>
        <w:t>The Annals of Statistics</w:t>
      </w:r>
      <w:r w:rsidRPr="00C84698">
        <w:rPr>
          <w:rFonts w:ascii="Times New Roman" w:hAnsi="Times New Roman" w:cs="Times New Roman"/>
        </w:rPr>
        <w:t>, pp.461–464.</w:t>
      </w:r>
    </w:p>
    <w:p w14:paraId="7AFD772E" w14:textId="77777777" w:rsidR="00C84698" w:rsidRPr="00C84698" w:rsidRDefault="00C84698" w:rsidP="00C84698">
      <w:pPr>
        <w:numPr>
          <w:ilvl w:val="0"/>
          <w:numId w:val="7"/>
        </w:numPr>
        <w:spacing w:after="0"/>
        <w:rPr>
          <w:rFonts w:ascii="Times New Roman" w:hAnsi="Times New Roman" w:cs="Times New Roman"/>
        </w:rPr>
      </w:pPr>
      <w:proofErr w:type="spellStart"/>
      <w:r w:rsidRPr="00C84698">
        <w:rPr>
          <w:rFonts w:ascii="Times New Roman" w:hAnsi="Times New Roman" w:cs="Times New Roman"/>
        </w:rPr>
        <w:t>Sibeijn</w:t>
      </w:r>
      <w:proofErr w:type="spellEnd"/>
      <w:r w:rsidRPr="00C84698">
        <w:rPr>
          <w:rFonts w:ascii="Times New Roman" w:hAnsi="Times New Roman" w:cs="Times New Roman"/>
        </w:rPr>
        <w:t xml:space="preserve">, M. and </w:t>
      </w:r>
      <w:proofErr w:type="spellStart"/>
      <w:r w:rsidRPr="00C84698">
        <w:rPr>
          <w:rFonts w:ascii="Times New Roman" w:hAnsi="Times New Roman" w:cs="Times New Roman"/>
        </w:rPr>
        <w:t>Pequito</w:t>
      </w:r>
      <w:proofErr w:type="spellEnd"/>
      <w:r w:rsidRPr="00C84698">
        <w:rPr>
          <w:rFonts w:ascii="Times New Roman" w:hAnsi="Times New Roman" w:cs="Times New Roman"/>
        </w:rPr>
        <w:t xml:space="preserve">, S., 2022. A time-reversed model selection approach to time series forecasting. </w:t>
      </w:r>
      <w:r w:rsidRPr="00C84698">
        <w:rPr>
          <w:rFonts w:ascii="Times New Roman" w:hAnsi="Times New Roman" w:cs="Times New Roman"/>
          <w:i/>
          <w:iCs/>
        </w:rPr>
        <w:t>Scientific Reports</w:t>
      </w:r>
      <w:r w:rsidRPr="00C84698">
        <w:rPr>
          <w:rFonts w:ascii="Times New Roman" w:hAnsi="Times New Roman" w:cs="Times New Roman"/>
        </w:rPr>
        <w:t>, 12(1), p.10912.</w:t>
      </w:r>
    </w:p>
    <w:p w14:paraId="68D227B4"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Sistema Nacional de </w:t>
      </w:r>
      <w:proofErr w:type="spellStart"/>
      <w:r w:rsidRPr="00C84698">
        <w:rPr>
          <w:rFonts w:ascii="Times New Roman" w:hAnsi="Times New Roman" w:cs="Times New Roman"/>
        </w:rPr>
        <w:t>Información</w:t>
      </w:r>
      <w:proofErr w:type="spellEnd"/>
      <w:r w:rsidRPr="00C84698">
        <w:rPr>
          <w:rFonts w:ascii="Times New Roman" w:hAnsi="Times New Roman" w:cs="Times New Roman"/>
        </w:rPr>
        <w:t xml:space="preserve"> del Agua. 2025. </w:t>
      </w:r>
      <w:r w:rsidRPr="00C84698">
        <w:rPr>
          <w:rFonts w:ascii="Times New Roman" w:hAnsi="Times New Roman" w:cs="Times New Roman"/>
          <w:i/>
          <w:iCs/>
        </w:rPr>
        <w:t xml:space="preserve">Portal de </w:t>
      </w:r>
      <w:proofErr w:type="spellStart"/>
      <w:r w:rsidRPr="00C84698">
        <w:rPr>
          <w:rFonts w:ascii="Times New Roman" w:hAnsi="Times New Roman" w:cs="Times New Roman"/>
          <w:i/>
          <w:iCs/>
        </w:rPr>
        <w:t>Publicaciones</w:t>
      </w:r>
      <w:proofErr w:type="spellEnd"/>
      <w:r w:rsidRPr="00C84698">
        <w:rPr>
          <w:rFonts w:ascii="Times New Roman" w:hAnsi="Times New Roman" w:cs="Times New Roman"/>
        </w:rPr>
        <w:t>. Accessible from: https://sinav30.conagua.gob.mx:8080/port_publicaciones.html (Accessed on 01.10.2025)</w:t>
      </w:r>
    </w:p>
    <w:p w14:paraId="614A184E" w14:textId="77777777" w:rsidR="00C84698" w:rsidRPr="00C84698" w:rsidRDefault="00C84698" w:rsidP="00C84698">
      <w:pPr>
        <w:numPr>
          <w:ilvl w:val="0"/>
          <w:numId w:val="7"/>
        </w:numPr>
        <w:spacing w:after="0"/>
        <w:rPr>
          <w:rFonts w:ascii="Times New Roman" w:hAnsi="Times New Roman" w:cs="Times New Roman"/>
        </w:rPr>
      </w:pPr>
      <w:proofErr w:type="spellStart"/>
      <w:r w:rsidRPr="00C84698">
        <w:rPr>
          <w:rFonts w:ascii="Times New Roman" w:hAnsi="Times New Roman" w:cs="Times New Roman"/>
        </w:rPr>
        <w:t>Tawakuli</w:t>
      </w:r>
      <w:proofErr w:type="spellEnd"/>
      <w:r w:rsidRPr="00C84698">
        <w:rPr>
          <w:rFonts w:ascii="Times New Roman" w:hAnsi="Times New Roman" w:cs="Times New Roman"/>
        </w:rPr>
        <w:t xml:space="preserve">, A., Havers, B., Gulisano, V., Kaiser, D. and Engel, T., 2024. Survey: Time-series data preprocessing: A survey and an empirical analysis. </w:t>
      </w:r>
      <w:r w:rsidRPr="00C84698">
        <w:rPr>
          <w:rFonts w:ascii="Times New Roman" w:hAnsi="Times New Roman" w:cs="Times New Roman"/>
          <w:i/>
          <w:iCs/>
        </w:rPr>
        <w:t>Journal of Engineering Research</w:t>
      </w:r>
      <w:r w:rsidRPr="00C84698">
        <w:rPr>
          <w:rFonts w:ascii="Times New Roman" w:hAnsi="Times New Roman" w:cs="Times New Roman"/>
        </w:rPr>
        <w:t>.</w:t>
      </w:r>
    </w:p>
    <w:p w14:paraId="72934219" w14:textId="77777777" w:rsidR="00C84698" w:rsidRPr="00C84698" w:rsidRDefault="00C84698" w:rsidP="00C84698">
      <w:pPr>
        <w:numPr>
          <w:ilvl w:val="0"/>
          <w:numId w:val="7"/>
        </w:numPr>
        <w:spacing w:after="0"/>
        <w:rPr>
          <w:rFonts w:ascii="Times New Roman" w:hAnsi="Times New Roman" w:cs="Times New Roman"/>
        </w:rPr>
      </w:pPr>
      <w:r w:rsidRPr="00C84698">
        <w:rPr>
          <w:rFonts w:ascii="Times New Roman" w:hAnsi="Times New Roman" w:cs="Times New Roman"/>
        </w:rPr>
        <w:t xml:space="preserve">The Global Energy Monitor (GEM). 2025. </w:t>
      </w:r>
      <w:r w:rsidRPr="00C84698">
        <w:rPr>
          <w:rFonts w:ascii="Times New Roman" w:hAnsi="Times New Roman" w:cs="Times New Roman"/>
          <w:i/>
          <w:iCs/>
        </w:rPr>
        <w:t>Global Energy Monitor Wiki</w:t>
      </w:r>
      <w:r w:rsidRPr="00C84698">
        <w:rPr>
          <w:rFonts w:ascii="Times New Roman" w:hAnsi="Times New Roman" w:cs="Times New Roman"/>
        </w:rPr>
        <w:t>. Accessible from: https://www.gem.wiki/Main_Page (Accessed on 01.10.2025)</w:t>
      </w:r>
    </w:p>
    <w:p w14:paraId="49F8AE30" w14:textId="77777777" w:rsidR="00C84698" w:rsidRPr="00FA0276" w:rsidRDefault="00C84698" w:rsidP="00A25328">
      <w:pPr>
        <w:spacing w:after="0"/>
        <w:rPr>
          <w:rFonts w:ascii="Times New Roman" w:hAnsi="Times New Roman" w:cs="Times New Roman"/>
        </w:rPr>
      </w:pPr>
    </w:p>
    <w:sectPr w:rsidR="00C84698" w:rsidRPr="00FA0276" w:rsidSect="006D2AF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6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6AE9"/>
    <w:multiLevelType w:val="hybridMultilevel"/>
    <w:tmpl w:val="50462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2E72A7"/>
    <w:multiLevelType w:val="hybridMultilevel"/>
    <w:tmpl w:val="61E0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0B1F25"/>
    <w:multiLevelType w:val="hybridMultilevel"/>
    <w:tmpl w:val="2B0C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BD5006"/>
    <w:multiLevelType w:val="hybridMultilevel"/>
    <w:tmpl w:val="4F78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8B71D8"/>
    <w:multiLevelType w:val="hybridMultilevel"/>
    <w:tmpl w:val="8A30B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24520B"/>
    <w:multiLevelType w:val="hybridMultilevel"/>
    <w:tmpl w:val="6526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525178"/>
    <w:multiLevelType w:val="hybridMultilevel"/>
    <w:tmpl w:val="705A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991817">
    <w:abstractNumId w:val="4"/>
  </w:num>
  <w:num w:numId="2" w16cid:durableId="1711301176">
    <w:abstractNumId w:val="3"/>
  </w:num>
  <w:num w:numId="3" w16cid:durableId="2137289251">
    <w:abstractNumId w:val="5"/>
  </w:num>
  <w:num w:numId="4" w16cid:durableId="606697954">
    <w:abstractNumId w:val="1"/>
  </w:num>
  <w:num w:numId="5" w16cid:durableId="1845317673">
    <w:abstractNumId w:val="0"/>
  </w:num>
  <w:num w:numId="6" w16cid:durableId="1832478462">
    <w:abstractNumId w:val="6"/>
  </w:num>
  <w:num w:numId="7" w16cid:durableId="2114395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328"/>
    <w:rsid w:val="00020A94"/>
    <w:rsid w:val="000D6DA7"/>
    <w:rsid w:val="00146BAD"/>
    <w:rsid w:val="00150B30"/>
    <w:rsid w:val="00186D0C"/>
    <w:rsid w:val="002058DB"/>
    <w:rsid w:val="00271785"/>
    <w:rsid w:val="00325BD3"/>
    <w:rsid w:val="00422A3F"/>
    <w:rsid w:val="00451F90"/>
    <w:rsid w:val="00651C86"/>
    <w:rsid w:val="006905F9"/>
    <w:rsid w:val="006D2AF2"/>
    <w:rsid w:val="0096551E"/>
    <w:rsid w:val="00992E9C"/>
    <w:rsid w:val="009931F6"/>
    <w:rsid w:val="00A25328"/>
    <w:rsid w:val="00A72293"/>
    <w:rsid w:val="00A85752"/>
    <w:rsid w:val="00AF17B3"/>
    <w:rsid w:val="00AF3E92"/>
    <w:rsid w:val="00BD1088"/>
    <w:rsid w:val="00C736CA"/>
    <w:rsid w:val="00C84698"/>
    <w:rsid w:val="00D459E8"/>
    <w:rsid w:val="00D77862"/>
    <w:rsid w:val="00DA5D7D"/>
    <w:rsid w:val="00DE31F6"/>
    <w:rsid w:val="00E46E55"/>
    <w:rsid w:val="00E512E0"/>
    <w:rsid w:val="00EE2615"/>
    <w:rsid w:val="00EF1766"/>
    <w:rsid w:val="00FA0276"/>
    <w:rsid w:val="00FC5DA9"/>
    <w:rsid w:val="00FD303F"/>
    <w:rsid w:val="00FD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A42B90"/>
  <w15:chartTrackingRefBased/>
  <w15:docId w15:val="{ACAF96D8-B33C-354D-A44B-7CBA9CC7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28"/>
  </w:style>
  <w:style w:type="paragraph" w:styleId="Heading1">
    <w:name w:val="heading 1"/>
    <w:basedOn w:val="Normal"/>
    <w:next w:val="Normal"/>
    <w:link w:val="Heading1Char"/>
    <w:uiPriority w:val="9"/>
    <w:qFormat/>
    <w:rsid w:val="00A253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53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53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53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53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53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53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53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53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53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53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53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53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53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53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53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53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5328"/>
    <w:rPr>
      <w:rFonts w:eastAsiaTheme="majorEastAsia" w:cstheme="majorBidi"/>
      <w:color w:val="272727" w:themeColor="text1" w:themeTint="D8"/>
    </w:rPr>
  </w:style>
  <w:style w:type="paragraph" w:styleId="Title">
    <w:name w:val="Title"/>
    <w:basedOn w:val="Normal"/>
    <w:next w:val="Normal"/>
    <w:link w:val="TitleChar"/>
    <w:uiPriority w:val="10"/>
    <w:qFormat/>
    <w:rsid w:val="00A253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3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53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53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5328"/>
    <w:pPr>
      <w:spacing w:before="160"/>
      <w:jc w:val="center"/>
    </w:pPr>
    <w:rPr>
      <w:i/>
      <w:iCs/>
      <w:color w:val="404040" w:themeColor="text1" w:themeTint="BF"/>
    </w:rPr>
  </w:style>
  <w:style w:type="character" w:customStyle="1" w:styleId="QuoteChar">
    <w:name w:val="Quote Char"/>
    <w:basedOn w:val="DefaultParagraphFont"/>
    <w:link w:val="Quote"/>
    <w:uiPriority w:val="29"/>
    <w:rsid w:val="00A25328"/>
    <w:rPr>
      <w:i/>
      <w:iCs/>
      <w:color w:val="404040" w:themeColor="text1" w:themeTint="BF"/>
    </w:rPr>
  </w:style>
  <w:style w:type="paragraph" w:styleId="ListParagraph">
    <w:name w:val="List Paragraph"/>
    <w:basedOn w:val="Normal"/>
    <w:uiPriority w:val="34"/>
    <w:qFormat/>
    <w:rsid w:val="00A25328"/>
    <w:pPr>
      <w:ind w:left="720"/>
      <w:contextualSpacing/>
    </w:pPr>
  </w:style>
  <w:style w:type="character" w:styleId="IntenseEmphasis">
    <w:name w:val="Intense Emphasis"/>
    <w:basedOn w:val="DefaultParagraphFont"/>
    <w:uiPriority w:val="21"/>
    <w:qFormat/>
    <w:rsid w:val="00A25328"/>
    <w:rPr>
      <w:i/>
      <w:iCs/>
      <w:color w:val="0F4761" w:themeColor="accent1" w:themeShade="BF"/>
    </w:rPr>
  </w:style>
  <w:style w:type="paragraph" w:styleId="IntenseQuote">
    <w:name w:val="Intense Quote"/>
    <w:basedOn w:val="Normal"/>
    <w:next w:val="Normal"/>
    <w:link w:val="IntenseQuoteChar"/>
    <w:uiPriority w:val="30"/>
    <w:qFormat/>
    <w:rsid w:val="00A253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5328"/>
    <w:rPr>
      <w:i/>
      <w:iCs/>
      <w:color w:val="0F4761" w:themeColor="accent1" w:themeShade="BF"/>
    </w:rPr>
  </w:style>
  <w:style w:type="character" w:styleId="IntenseReference">
    <w:name w:val="Intense Reference"/>
    <w:basedOn w:val="DefaultParagraphFont"/>
    <w:uiPriority w:val="32"/>
    <w:qFormat/>
    <w:rsid w:val="00A25328"/>
    <w:rPr>
      <w:b/>
      <w:bCs/>
      <w:smallCaps/>
      <w:color w:val="0F4761" w:themeColor="accent1" w:themeShade="BF"/>
      <w:spacing w:val="5"/>
    </w:rPr>
  </w:style>
  <w:style w:type="table" w:styleId="TableGrid">
    <w:name w:val="Table Grid"/>
    <w:basedOn w:val="TableNormal"/>
    <w:uiPriority w:val="39"/>
    <w:rsid w:val="00205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4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698"/>
  </w:style>
  <w:style w:type="paragraph" w:styleId="Footer">
    <w:name w:val="footer"/>
    <w:basedOn w:val="Normal"/>
    <w:link w:val="FooterChar"/>
    <w:uiPriority w:val="99"/>
    <w:unhideWhenUsed/>
    <w:rsid w:val="00C84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698"/>
  </w:style>
  <w:style w:type="character" w:styleId="PageNumber">
    <w:name w:val="page number"/>
    <w:basedOn w:val="DefaultParagraphFont"/>
    <w:uiPriority w:val="99"/>
    <w:semiHidden/>
    <w:unhideWhenUsed/>
    <w:rsid w:val="00C84698"/>
  </w:style>
  <w:style w:type="character" w:styleId="Hyperlink">
    <w:name w:val="Hyperlink"/>
    <w:basedOn w:val="DefaultParagraphFont"/>
    <w:uiPriority w:val="99"/>
    <w:unhideWhenUsed/>
    <w:rsid w:val="00C84698"/>
    <w:rPr>
      <w:color w:val="467886" w:themeColor="hyperlink"/>
      <w:u w:val="single"/>
    </w:rPr>
  </w:style>
  <w:style w:type="character" w:styleId="UnresolvedMention">
    <w:name w:val="Unresolved Mention"/>
    <w:basedOn w:val="DefaultParagraphFont"/>
    <w:uiPriority w:val="99"/>
    <w:semiHidden/>
    <w:unhideWhenUsed/>
    <w:rsid w:val="00C84698"/>
    <w:rPr>
      <w:color w:val="605E5C"/>
      <w:shd w:val="clear" w:color="auto" w:fill="E1DFDD"/>
    </w:rPr>
  </w:style>
  <w:style w:type="character" w:customStyle="1" w:styleId="s1">
    <w:name w:val="s1"/>
    <w:basedOn w:val="DefaultParagraphFont"/>
    <w:rsid w:val="00C84698"/>
  </w:style>
  <w:style w:type="character" w:styleId="PlaceholderText">
    <w:name w:val="Placeholder Text"/>
    <w:basedOn w:val="DefaultParagraphFont"/>
    <w:uiPriority w:val="99"/>
    <w:semiHidden/>
    <w:rsid w:val="00C84698"/>
    <w:rPr>
      <w:color w:val="666666"/>
    </w:rPr>
  </w:style>
  <w:style w:type="paragraph" w:customStyle="1" w:styleId="p1">
    <w:name w:val="p1"/>
    <w:basedOn w:val="Normal"/>
    <w:rsid w:val="00C8469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C846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doi.org/10.1038/ngeo133" TargetMode="External"/><Relationship Id="rId29" Type="http://schemas.openxmlformats.org/officeDocument/2006/relationships/hyperlink" Target="https://www.eia.gov/electricity/data/eia923/"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29</Pages>
  <Words>5352</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Richter</dc:creator>
  <cp:keywords/>
  <dc:description/>
  <cp:lastModifiedBy>Brian Richter</cp:lastModifiedBy>
  <cp:revision>16</cp:revision>
  <dcterms:created xsi:type="dcterms:W3CDTF">2025-07-17T14:22:00Z</dcterms:created>
  <dcterms:modified xsi:type="dcterms:W3CDTF">2025-08-02T13:39:00Z</dcterms:modified>
</cp:coreProperties>
</file>