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00E" w:rsidRDefault="00D0600E" w:rsidP="00D0600E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Table 3. Association of the METS-IR index and its components with UACR by sex</w:t>
      </w:r>
      <w:bookmarkStart w:id="0" w:name="_GoBack"/>
      <w:bookmarkEnd w:id="0"/>
    </w:p>
    <w:tbl>
      <w:tblPr>
        <w:tblStyle w:val="TableGrid"/>
        <w:tblW w:w="1402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0"/>
      </w:tblGrid>
      <w:tr w:rsidR="00D0600E" w:rsidTr="001A446B">
        <w:trPr>
          <w:trHeight w:val="155"/>
        </w:trPr>
        <w:tc>
          <w:tcPr>
            <w:tcW w:w="14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METS-IR                 Model 1                   Model 2                      Model 3                    Model 4                    Model 5</w:t>
            </w:r>
          </w:p>
          <w:p w:rsidR="00D0600E" w:rsidRDefault="00D0600E" w:rsidP="001A446B">
            <w:pPr>
              <w:spacing w:line="480" w:lineRule="auto"/>
              <w:ind w:firstLineChars="200" w:firstLine="300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                  OR (95% CI)        P value       OR (95% CI)      P value      OR (95% CI)      P value       OR (95% CI)     P value        OR (95% CI)    P value   </w:t>
            </w:r>
          </w:p>
        </w:tc>
      </w:tr>
      <w:tr w:rsidR="00D0600E" w:rsidTr="001A446B">
        <w:trPr>
          <w:trHeight w:val="1750"/>
        </w:trPr>
        <w:tc>
          <w:tcPr>
            <w:tcW w:w="14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Men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Q1 (18.98–32.95)       Reference                      Reference                     Reference                       Reference     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Q2 (32.96–37.78)    1.129 (0.910–1.400)    0.270    1.165 (0.935–1.452)   0.175    1.131 (0.930–1.376)   0.218     1.045 (0.858–1.273)   0.661      0.991 (0.735–1.129)   0.395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Q3 (37.79–42.71)    1.348 (1.155–1.573)   &lt;0.001    1.389 (1.131–1.707)  &lt;0.001    1.365 (1.166–1.598)  &lt;0.001     1.258 (1.073–1.476)   0.005      1.058 (0.882–1.269)   0.544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Q4 (42.72–115.22)   1.878 (1.559–2.263)   &lt;0.001    2.092 (1.722–2.540)  &lt;0.001    1.745 (1.525–1.970)  &lt;0.001     1.591 (1.387–1.824)   &lt;0.001     1.321 (1.104–1.579)   0.002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TG, mmol/L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&lt;1.7                 Reference                      Reference                  Reference                     Reference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1.7,&lt;2.3       1.182 (0.998–1.401)    0.053     1.175 (0.988–1.398)   0.068   1.173 (0.985–1.398)   0.074      1.473 (1.256–1.728)   &lt;0.001      0.929 (0.768–1.124)   0.451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2.3           1.667 (1.426–1.949)   &lt;0.001    1.531 (1.319–1.777)  &lt;0.001   1.547 (1.323–1.808)  &lt;0.001      1.100 (1.002–1.113)    0.009      1.166 (0.952–1.426)   0.137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FBG, mmol/L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&lt;5.6                 Reference                     Reference                  Reference                    Reference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5.6,&lt;7.0       1.359 (1.184–1.560)  &lt;0.001     1.051 (1.008–1.326)  &lt;0.001   1.033 (1.025–1.041)   &lt;0.001     1.051 (0.877–1.259)   0.589       1.060(0.909–1.237)   0.459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7.0           1.696 (1.529–1.882)   &lt;0.001    1.187 (1.065–1.324)   0.002   1.353 (1.170–1.563)   &lt;0.001     1.296 (1.120–1.499)   &lt;0.001      1.229(0.960–1.573)   0.101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BMI, kg/m</w:t>
            </w:r>
            <w:r>
              <w:rPr>
                <w:rFonts w:ascii="Arial" w:hAnsi="Arial" w:cs="Arial"/>
                <w:bCs/>
                <w:sz w:val="15"/>
                <w:szCs w:val="15"/>
                <w:vertAlign w:val="superscript"/>
              </w:rPr>
              <w:t>2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&lt;18.5              Reference                     Reference                   Reference                     Reference 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18.5,&lt;24       0.912 (0.621–1.340)   0.640    1.026 (0.694–1.516)   0.899    1.023 (0.687–1.522)    0.911     0.953 (0.640–1.421)   0.815      0.679 (0.433–1.065)    0.092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24,&lt;28        1.152 (0.786–1.687)   0.469     1.345 (1.080–1.674)   0.008    1.360 (0.914–2.023)   0.129     1.196 (0.954–1.499)   0.120       0.637 (0.393–1.032)   0.067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28            1.502 (1.009–2.235)   0.045    1.675 (1.448–1.976)   &lt;0.001   1.649 (1.285–1.955)    0.002     1.534 (1.242–1.895)   &lt;0.001     0.747 (0.435–1.282)    0.289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HDL, mmol/L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1                 Reference                      Reference                   Reference                     Reference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&lt;1            1.391 (1.211–1.598)   &lt;0.001    1.249 (1.146–1.360)  &lt;0.001    1.340 (1.157–1.553)   &lt;0.001     1.280 (1.103–1.485)  &lt;0.001      1.243 (1.040–1.485)   0.017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Women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Q1 (17.75–31.18)       Reference                      Reference                  Reference                    Reference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Q2 (31.19–35.37)    1.205 (1.086–1.337)    0.001    1.181 (1.061–1.315)  0.002    1.163 (1.041–1.299)    0.007     1.123 (1.005–1.255)   0.041      1.041 (0.989–1.245)   0.077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Q3 (35.38–40.27)    1.356 (1.222–1.504)   &lt;0.001    1.266 (1.136–1.411)  0.001    1.152 (1.052–1.262)   0.002     1.103 (1.006–1.209)   0.037       1.064 (0.960–1.180)   0.234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Q4 (40.28–137.55)  1.877 (1.697–2.077)   &lt;0.001    1.797 (1.614–2.000)  &lt;0.001    1.410 (1.302–1.526)   &lt;0.001    1.340 (1.233–1.456)   &lt;0.001      1.201 (1.083–1.330)   &lt;0.001</w:t>
            </w:r>
          </w:p>
        </w:tc>
      </w:tr>
      <w:tr w:rsidR="00D0600E" w:rsidTr="001A446B">
        <w:trPr>
          <w:trHeight w:val="1140"/>
        </w:trPr>
        <w:tc>
          <w:tcPr>
            <w:tcW w:w="14020" w:type="dxa"/>
            <w:tcBorders>
              <w:top w:val="nil"/>
              <w:left w:val="nil"/>
              <w:bottom w:val="nil"/>
              <w:right w:val="nil"/>
            </w:tcBorders>
          </w:tcPr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TG, mmol/L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&lt;1.7                 Reference                      Reference                 Reference                    Reference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1.7,&lt;2.3       1.540 (1.405–1.689)   &lt;0.001   1.278 (1.160–1.407)   &lt;0.001   1.262 (1.144–1.391)   &lt;0.001   1.214 (1.101–1.340)   &lt;0.001      0.996 (1.106–1.228)  0.060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2.3          1.817 (1.657–1.992)   &lt;0.001   1.325 (1.203–1.459 )   &lt;0.001   1.466 (1.329–1.617)   &lt;0.001   1.245 (1.128–1.375)   &lt;0.001      1.152 (1.023–1.297)   0.020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FBG, mmol/L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&lt;5.6                 Reference                     Reference                  Reference                   Reference 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5.6,&lt;7.0       1.234 (1.143–1.333)  &lt;0.001    1.142 (1.107–1.212)   &lt;0.001   1.036 (1.031–1.041)   &lt;0.001   1.114 (0.964–1.288)    0.142      0.981 (0.898–1.072)   0.671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7.0          1.640 (1.515–1.774)   &lt;0.001   1.220 (1.134–1.312)   &lt;0.001   1.153 (1.061–1.252)   0.001    1.108 (1.019–1.205)    0.016      1.001 (0.999–1.003)   0.246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BMI kg/m</w:t>
            </w:r>
            <w:r>
              <w:rPr>
                <w:rFonts w:ascii="Arial" w:hAnsi="Arial" w:cs="Arial"/>
                <w:bCs/>
                <w:sz w:val="15"/>
                <w:szCs w:val="15"/>
                <w:vertAlign w:val="superscript"/>
              </w:rPr>
              <w:t>2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&lt;18.5              Reference                     Reference                   Reference                   Reference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18.5,&lt;24       0.995 (0.795–1.246)  0.965     1.036 (0.821–1.307)  0.767     1.030 (0.814–1.303)   0.806    0.993 (0.785–1.257)   0.954      0.854 (0.662–1.102)   0.224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24,&lt;28         1.098 (0.876–1.377)  0.417     1.147 (1.006–1.309)  0.041    1.121 (0.981–1.281)   0.094    1.049 (0.917–1.199)   0.489      0.781 (0.595–1.024)    0.074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28           1.427 (1.128–1.806)  0 .003     1.373 (1.290–1.481)  &lt;0.001   1.353 (1.246–1.533)    &lt;0.001  1.397 (1.230–1.586)   &lt;0.001      0.934 (0.690–1.265)   0.659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HDL, mmol/L 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 w:hint="eastAsia"/>
                <w:bCs/>
                <w:sz w:val="15"/>
                <w:szCs w:val="15"/>
              </w:rPr>
              <w:t>≥</w:t>
            </w:r>
            <w:r>
              <w:rPr>
                <w:rFonts w:ascii="Arial" w:hAnsi="Arial" w:cs="Arial"/>
                <w:bCs/>
                <w:sz w:val="15"/>
                <w:szCs w:val="15"/>
              </w:rPr>
              <w:t>1                 Reference                     Reference                   Reference                   Reference                    Reference</w:t>
            </w:r>
          </w:p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15"/>
                <w:szCs w:val="15"/>
              </w:rPr>
            </w:pPr>
            <w:r>
              <w:rPr>
                <w:rFonts w:ascii="Arial" w:hAnsi="Arial" w:cs="Arial"/>
                <w:bCs/>
                <w:noProof/>
                <w:sz w:val="15"/>
                <w:szCs w:val="15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F725DC" wp14:editId="7F74398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226060</wp:posOffset>
                      </wp:positionV>
                      <wp:extent cx="9220200" cy="0"/>
                      <wp:effectExtent l="0" t="0" r="0" b="0"/>
                      <wp:wrapNone/>
                      <wp:docPr id="2" name="直线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20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6319797" id="直线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17.8pt" to="72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15"/>
                <w:szCs w:val="15"/>
              </w:rPr>
              <w:t>&lt;1              1.390 (1.258–1.537)  &lt;0.001    1.345 (1.080–1.474) &lt;0.001       1.200 (1.077–1.337)   0.001    1.143</w:t>
            </w:r>
            <w:r>
              <w:rPr>
                <w:rFonts w:ascii="Arial" w:hAnsi="Arial" w:cs="Arial" w:hint="eastAsia"/>
                <w:bCs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Cs/>
                <w:sz w:val="15"/>
                <w:szCs w:val="15"/>
              </w:rPr>
              <w:t>(1.024–1.275</w:t>
            </w:r>
            <w:r>
              <w:rPr>
                <w:rFonts w:ascii="Arial" w:hAnsi="Arial" w:cs="Arial" w:hint="eastAsia"/>
                <w:bCs/>
                <w:sz w:val="15"/>
                <w:szCs w:val="15"/>
              </w:rPr>
              <w:t>)</w:t>
            </w:r>
            <w:r>
              <w:rPr>
                <w:rFonts w:ascii="Arial" w:hAnsi="Arial" w:cs="Arial"/>
                <w:bCs/>
                <w:sz w:val="15"/>
                <w:szCs w:val="15"/>
              </w:rPr>
              <w:t xml:space="preserve">  0.017     1.068 (0.935–1.220)   0.334</w:t>
            </w:r>
          </w:p>
        </w:tc>
      </w:tr>
      <w:tr w:rsidR="00D0600E" w:rsidTr="001A446B">
        <w:trPr>
          <w:trHeight w:val="90"/>
        </w:trPr>
        <w:tc>
          <w:tcPr>
            <w:tcW w:w="14020" w:type="dxa"/>
            <w:tcBorders>
              <w:top w:val="nil"/>
              <w:left w:val="nil"/>
              <w:bottom w:val="nil"/>
              <w:right w:val="nil"/>
            </w:tcBorders>
          </w:tcPr>
          <w:p w:rsidR="00D0600E" w:rsidRDefault="00D0600E" w:rsidP="001A446B">
            <w:pPr>
              <w:spacing w:line="480" w:lineRule="auto"/>
              <w:rPr>
                <w:rFonts w:ascii="Arial" w:hAnsi="Arial" w:cs="Arial"/>
                <w:bCs/>
                <w:sz w:val="24"/>
              </w:rPr>
            </w:pPr>
          </w:p>
        </w:tc>
      </w:tr>
    </w:tbl>
    <w:p w:rsidR="00D0600E" w:rsidRDefault="00D0600E" w:rsidP="00D0600E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METS-IR, metabolic score for insulin resistance; TG, triglycerides; BMI, body mass index; FBG, fasting blood glucose; HDL-C, high-density lipoprotein cholesterol; CI, confidence interval; OR, odds ratio; UACR, urinary albumin–creatinine ratio.</w:t>
      </w:r>
    </w:p>
    <w:p w:rsidR="00D0600E" w:rsidRDefault="00D0600E" w:rsidP="00D0600E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Model 1: Unadjusted</w:t>
      </w:r>
    </w:p>
    <w:p w:rsidR="00D0600E" w:rsidRDefault="00D0600E" w:rsidP="00D0600E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Model 2: Adjusted for centre, age</w:t>
      </w:r>
    </w:p>
    <w:p w:rsidR="00D0600E" w:rsidRDefault="00D0600E" w:rsidP="00D0600E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t>Model 3: Further education status, smoking habits, drinking habits, CVD status</w:t>
      </w:r>
    </w:p>
    <w:p w:rsidR="00D0600E" w:rsidRDefault="00D0600E" w:rsidP="00D0600E">
      <w:pPr>
        <w:spacing w:after="0" w:line="480" w:lineRule="auto"/>
        <w:rPr>
          <w:rFonts w:ascii="Times New Roman" w:hAnsi="Times New Roman" w:cs="Times New Roman"/>
          <w:bCs/>
          <w:color w:val="000007"/>
          <w:szCs w:val="21"/>
        </w:rPr>
      </w:pPr>
      <w:r>
        <w:rPr>
          <w:rFonts w:ascii="Times New Roman" w:hAnsi="Times New Roman" w:cs="Times New Roman" w:hint="eastAsia"/>
          <w:bCs/>
          <w:color w:val="000007"/>
          <w:szCs w:val="21"/>
        </w:rPr>
        <w:lastRenderedPageBreak/>
        <w:t>Model 4: Further diabetes history, hypertension history, hypotensive drugs</w:t>
      </w:r>
    </w:p>
    <w:p w:rsidR="00DA32A0" w:rsidRDefault="00D0600E" w:rsidP="00D0600E">
      <w:r>
        <w:rPr>
          <w:rFonts w:ascii="Times New Roman" w:hAnsi="Times New Roman" w:cs="Times New Roman" w:hint="eastAsia"/>
          <w:bCs/>
          <w:color w:val="000007"/>
          <w:szCs w:val="21"/>
        </w:rPr>
        <w:t>Model 5: Further eGFR, LDL-C, TC, AST, ALT, GGT, HbA1c, SBP, DBP, WC, HR</w:t>
      </w:r>
    </w:p>
    <w:sectPr w:rsidR="00DA32A0" w:rsidSect="00D0600E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0E"/>
    <w:rsid w:val="0016198D"/>
    <w:rsid w:val="003E54F6"/>
    <w:rsid w:val="00D0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47286E-78C7-4EEE-8C06-263501FF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00E"/>
    <w:pPr>
      <w:widowControl w:val="0"/>
      <w:jc w:val="both"/>
    </w:pPr>
    <w:rPr>
      <w:rFonts w:eastAsiaTheme="minorEastAsia"/>
      <w:kern w:val="2"/>
      <w:sz w:val="21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D060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938</Words>
  <Characters>5353</Characters>
  <Application>Microsoft Office Word</Application>
  <DocSecurity>0</DocSecurity>
  <Lines>44</Lines>
  <Paragraphs>12</Paragraphs>
  <ScaleCrop>false</ScaleCrop>
  <Company>Springer Nature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2021-08-02T08:23:00Z</dcterms:created>
  <dcterms:modified xsi:type="dcterms:W3CDTF">2021-08-02T08:24:00Z</dcterms:modified>
</cp:coreProperties>
</file>