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1BCAB8" w14:textId="77777777" w:rsidR="005C2AE6" w:rsidRPr="008447A0" w:rsidRDefault="005C2AE6" w:rsidP="005C2AE6">
      <w:pPr>
        <w:snapToGrid w:val="0"/>
        <w:jc w:val="center"/>
        <w:rPr>
          <w:rStyle w:val="LineNumber"/>
          <w:b/>
          <w:bCs/>
          <w:color w:val="000000" w:themeColor="text1"/>
          <w:sz w:val="32"/>
          <w:szCs w:val="32"/>
        </w:rPr>
      </w:pPr>
      <w:r w:rsidRPr="008447A0">
        <w:rPr>
          <w:rFonts w:ascii="Times New Roman" w:hAnsi="Times New Roman" w:hint="eastAsia"/>
          <w:b/>
          <w:bCs/>
          <w:color w:val="000000" w:themeColor="text1"/>
          <w:sz w:val="32"/>
          <w:szCs w:val="32"/>
        </w:rPr>
        <w:t>Supplemental material</w:t>
      </w:r>
    </w:p>
    <w:p w14:paraId="2A3CC9AA" w14:textId="77777777" w:rsidR="005C2AE6" w:rsidRPr="008447A0" w:rsidRDefault="005C2AE6" w:rsidP="005C2AE6">
      <w:pPr>
        <w:snapToGrid w:val="0"/>
        <w:rPr>
          <w:rFonts w:ascii="Times New Roman" w:hAnsi="Times New Roman"/>
          <w:color w:val="000000" w:themeColor="text1"/>
          <w:sz w:val="22"/>
          <w:szCs w:val="22"/>
        </w:rPr>
      </w:pPr>
      <w:r w:rsidRPr="008447A0">
        <w:rPr>
          <w:rFonts w:ascii="Times New Roman" w:hAnsi="Times New Roman"/>
          <w:color w:val="000000" w:themeColor="text1"/>
          <w:sz w:val="22"/>
          <w:szCs w:val="22"/>
        </w:rPr>
        <w:t>Table</w:t>
      </w:r>
      <w:r w:rsidRPr="008447A0">
        <w:rPr>
          <w:rFonts w:ascii="Times New Roman" w:hAnsi="Times New Roman" w:hint="eastAsia"/>
          <w:color w:val="000000" w:themeColor="text1"/>
          <w:sz w:val="22"/>
          <w:szCs w:val="22"/>
        </w:rPr>
        <w:t xml:space="preserve"> S1 </w:t>
      </w:r>
    </w:p>
    <w:p w14:paraId="791149E8" w14:textId="77777777" w:rsidR="005C2AE6" w:rsidRPr="008447A0" w:rsidRDefault="005C2AE6" w:rsidP="005C2AE6">
      <w:pPr>
        <w:snapToGrid w:val="0"/>
        <w:rPr>
          <w:rFonts w:ascii="Times New Roman" w:hAnsi="Times New Roman"/>
          <w:color w:val="000000" w:themeColor="text1"/>
          <w:sz w:val="22"/>
          <w:szCs w:val="22"/>
        </w:rPr>
      </w:pPr>
      <w:r w:rsidRPr="008447A0">
        <w:rPr>
          <w:rFonts w:ascii="Times New Roman" w:hAnsi="Times New Roman"/>
          <w:color w:val="000000" w:themeColor="text1"/>
          <w:sz w:val="22"/>
          <w:szCs w:val="22"/>
        </w:rPr>
        <w:t>Correlations between</w:t>
      </w:r>
      <w:r w:rsidRPr="008447A0">
        <w:rPr>
          <w:rFonts w:ascii="Times New Roman" w:hAnsi="Times New Roman" w:hint="eastAsia"/>
          <w:color w:val="000000" w:themeColor="text1"/>
          <w:sz w:val="22"/>
          <w:szCs w:val="22"/>
        </w:rPr>
        <w:t xml:space="preserve"> ROI-based neuroimaging variables </w:t>
      </w:r>
      <w:r w:rsidRPr="008447A0">
        <w:rPr>
          <w:rFonts w:ascii="Times New Roman" w:hAnsi="Times New Roman"/>
          <w:color w:val="000000" w:themeColor="text1"/>
          <w:sz w:val="22"/>
          <w:szCs w:val="22"/>
        </w:rPr>
        <w:t>and</w:t>
      </w:r>
      <w:r w:rsidRPr="008447A0">
        <w:rPr>
          <w:rFonts w:ascii="Times New Roman" w:hAnsi="Times New Roman" w:hint="eastAsia"/>
          <w:color w:val="000000" w:themeColor="text1"/>
          <w:sz w:val="22"/>
          <w:szCs w:val="22"/>
        </w:rPr>
        <w:t xml:space="preserve"> clinical </w:t>
      </w:r>
      <w:r w:rsidRPr="008447A0">
        <w:rPr>
          <w:rFonts w:ascii="Times New Roman" w:hAnsi="Times New Roman"/>
          <w:color w:val="000000" w:themeColor="text1"/>
          <w:sz w:val="22"/>
          <w:szCs w:val="22"/>
        </w:rPr>
        <w:t>cognitive function</w:t>
      </w:r>
      <w:r w:rsidRPr="008447A0">
        <w:rPr>
          <w:rFonts w:ascii="Times New Roman" w:hAnsi="Times New Roman" w:hint="eastAsia"/>
          <w:color w:val="000000" w:themeColor="text1"/>
          <w:sz w:val="22"/>
          <w:szCs w:val="22"/>
        </w:rPr>
        <w:t xml:space="preserve"> scores in HC group</w:t>
      </w:r>
    </w:p>
    <w:p w14:paraId="274D509B" w14:textId="77777777" w:rsidR="005C2AE6" w:rsidRPr="008447A0" w:rsidRDefault="005C2AE6" w:rsidP="005C2AE6">
      <w:pPr>
        <w:snapToGrid w:val="0"/>
        <w:rPr>
          <w:rFonts w:ascii="Times New Roman" w:hAnsi="Times New Roman"/>
          <w:color w:val="000000" w:themeColor="text1"/>
          <w:sz w:val="22"/>
          <w:szCs w:val="22"/>
        </w:rPr>
      </w:pPr>
    </w:p>
    <w:tbl>
      <w:tblPr>
        <w:tblStyle w:val="TableGrid"/>
        <w:tblW w:w="8333" w:type="dxa"/>
        <w:tblInd w:w="102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50"/>
        <w:gridCol w:w="933"/>
        <w:gridCol w:w="1000"/>
        <w:gridCol w:w="1133"/>
        <w:gridCol w:w="1134"/>
        <w:gridCol w:w="1000"/>
        <w:gridCol w:w="883"/>
      </w:tblGrid>
      <w:tr w:rsidR="005C2AE6" w:rsidRPr="008447A0" w14:paraId="5B5F6F98" w14:textId="77777777" w:rsidTr="00412A43">
        <w:tc>
          <w:tcPr>
            <w:tcW w:w="2250" w:type="dxa"/>
            <w:vMerge w:val="restart"/>
            <w:vAlign w:val="center"/>
          </w:tcPr>
          <w:p w14:paraId="5C19FF95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color w:val="000000" w:themeColor="text1"/>
                <w:sz w:val="18"/>
                <w:szCs w:val="18"/>
              </w:rPr>
              <w:t>Cognitive system</w:t>
            </w:r>
          </w:p>
        </w:tc>
        <w:tc>
          <w:tcPr>
            <w:tcW w:w="1933" w:type="dxa"/>
            <w:gridSpan w:val="2"/>
          </w:tcPr>
          <w:p w14:paraId="6C6ED696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color w:val="000000" w:themeColor="text1"/>
                <w:sz w:val="18"/>
                <w:szCs w:val="18"/>
              </w:rPr>
              <w:t>Episodic memory</w:t>
            </w:r>
          </w:p>
        </w:tc>
        <w:tc>
          <w:tcPr>
            <w:tcW w:w="2267" w:type="dxa"/>
            <w:gridSpan w:val="2"/>
          </w:tcPr>
          <w:p w14:paraId="732B2210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color w:val="000000" w:themeColor="text1"/>
                <w:sz w:val="18"/>
                <w:szCs w:val="18"/>
              </w:rPr>
              <w:t>Semantic memory</w:t>
            </w:r>
          </w:p>
        </w:tc>
        <w:tc>
          <w:tcPr>
            <w:tcW w:w="1883" w:type="dxa"/>
            <w:gridSpan w:val="2"/>
          </w:tcPr>
          <w:p w14:paraId="58C6BD77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color w:val="000000" w:themeColor="text1"/>
                <w:sz w:val="18"/>
                <w:szCs w:val="18"/>
              </w:rPr>
              <w:t>Working memory</w:t>
            </w:r>
          </w:p>
        </w:tc>
      </w:tr>
      <w:tr w:rsidR="005C2AE6" w:rsidRPr="008447A0" w14:paraId="3C30E10F" w14:textId="77777777" w:rsidTr="00412A43">
        <w:tc>
          <w:tcPr>
            <w:tcW w:w="2250" w:type="dxa"/>
            <w:vMerge/>
            <w:tcBorders>
              <w:bottom w:val="single" w:sz="4" w:space="0" w:color="000000" w:themeColor="text1"/>
            </w:tcBorders>
          </w:tcPr>
          <w:p w14:paraId="77491399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3" w:type="dxa"/>
            <w:tcBorders>
              <w:bottom w:val="single" w:sz="4" w:space="0" w:color="000000" w:themeColor="text1"/>
            </w:tcBorders>
          </w:tcPr>
          <w:p w14:paraId="4981DEAD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rFonts w:hint="eastAsia"/>
                <w:color w:val="000000" w:themeColor="text1"/>
                <w:sz w:val="18"/>
                <w:szCs w:val="18"/>
              </w:rPr>
              <w:t>r</w:t>
            </w:r>
          </w:p>
        </w:tc>
        <w:tc>
          <w:tcPr>
            <w:tcW w:w="1000" w:type="dxa"/>
            <w:tcBorders>
              <w:bottom w:val="single" w:sz="4" w:space="0" w:color="000000" w:themeColor="text1"/>
            </w:tcBorders>
          </w:tcPr>
          <w:p w14:paraId="164863B3" w14:textId="77777777" w:rsidR="005C2AE6" w:rsidRPr="008447A0" w:rsidRDefault="005C2AE6" w:rsidP="00412A43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8447A0">
              <w:rPr>
                <w:i/>
                <w:color w:val="000000" w:themeColor="text1"/>
                <w:sz w:val="18"/>
                <w:szCs w:val="18"/>
              </w:rPr>
              <w:t>p</w:t>
            </w:r>
          </w:p>
        </w:tc>
        <w:tc>
          <w:tcPr>
            <w:tcW w:w="1133" w:type="dxa"/>
            <w:tcBorders>
              <w:bottom w:val="single" w:sz="4" w:space="0" w:color="000000" w:themeColor="text1"/>
            </w:tcBorders>
          </w:tcPr>
          <w:p w14:paraId="72257D20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rFonts w:hint="eastAsia"/>
                <w:color w:val="000000" w:themeColor="text1"/>
                <w:sz w:val="18"/>
                <w:szCs w:val="18"/>
              </w:rPr>
              <w:t>r</w:t>
            </w:r>
          </w:p>
        </w:tc>
        <w:tc>
          <w:tcPr>
            <w:tcW w:w="1134" w:type="dxa"/>
            <w:tcBorders>
              <w:bottom w:val="single" w:sz="4" w:space="0" w:color="000000" w:themeColor="text1"/>
            </w:tcBorders>
          </w:tcPr>
          <w:p w14:paraId="233E302F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i/>
                <w:color w:val="000000" w:themeColor="text1"/>
                <w:sz w:val="18"/>
                <w:szCs w:val="18"/>
              </w:rPr>
              <w:t>p</w:t>
            </w:r>
          </w:p>
        </w:tc>
        <w:tc>
          <w:tcPr>
            <w:tcW w:w="1000" w:type="dxa"/>
            <w:tcBorders>
              <w:bottom w:val="single" w:sz="4" w:space="0" w:color="000000" w:themeColor="text1"/>
            </w:tcBorders>
          </w:tcPr>
          <w:p w14:paraId="23CB42C8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rFonts w:hint="eastAsia"/>
                <w:color w:val="000000" w:themeColor="text1"/>
                <w:sz w:val="18"/>
                <w:szCs w:val="18"/>
              </w:rPr>
              <w:t>r</w:t>
            </w:r>
          </w:p>
        </w:tc>
        <w:tc>
          <w:tcPr>
            <w:tcW w:w="883" w:type="dxa"/>
            <w:tcBorders>
              <w:bottom w:val="single" w:sz="4" w:space="0" w:color="000000" w:themeColor="text1"/>
            </w:tcBorders>
          </w:tcPr>
          <w:p w14:paraId="47CDC5FA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i/>
                <w:color w:val="000000" w:themeColor="text1"/>
                <w:sz w:val="18"/>
                <w:szCs w:val="18"/>
              </w:rPr>
              <w:t>p</w:t>
            </w:r>
          </w:p>
        </w:tc>
      </w:tr>
      <w:tr w:rsidR="005C2AE6" w:rsidRPr="008447A0" w14:paraId="2F093055" w14:textId="77777777" w:rsidTr="00412A43">
        <w:tc>
          <w:tcPr>
            <w:tcW w:w="2250" w:type="dxa"/>
            <w:tcBorders>
              <w:bottom w:val="nil"/>
            </w:tcBorders>
            <w:vAlign w:val="center"/>
          </w:tcPr>
          <w:p w14:paraId="3A36E31A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rFonts w:hint="eastAsia"/>
                <w:color w:val="000000" w:themeColor="text1"/>
                <w:sz w:val="22"/>
                <w:szCs w:val="22"/>
                <w:vertAlign w:val="superscript"/>
              </w:rPr>
              <w:t>a</w:t>
            </w:r>
            <w:r w:rsidRPr="008447A0">
              <w:rPr>
                <w:color w:val="000000" w:themeColor="text1"/>
                <w:sz w:val="18"/>
                <w:szCs w:val="18"/>
              </w:rPr>
              <w:t>GMV of dACC</w:t>
            </w:r>
          </w:p>
        </w:tc>
        <w:tc>
          <w:tcPr>
            <w:tcW w:w="933" w:type="dxa"/>
            <w:tcBorders>
              <w:bottom w:val="nil"/>
            </w:tcBorders>
            <w:vAlign w:val="center"/>
          </w:tcPr>
          <w:p w14:paraId="66B33070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rFonts w:hint="eastAsia"/>
                <w:color w:val="000000" w:themeColor="text1"/>
                <w:sz w:val="18"/>
                <w:szCs w:val="18"/>
              </w:rPr>
              <w:t>-0.237</w:t>
            </w:r>
          </w:p>
        </w:tc>
        <w:tc>
          <w:tcPr>
            <w:tcW w:w="1000" w:type="dxa"/>
            <w:tcBorders>
              <w:bottom w:val="nil"/>
            </w:tcBorders>
            <w:vAlign w:val="center"/>
          </w:tcPr>
          <w:p w14:paraId="03562A48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rFonts w:hint="eastAsia"/>
                <w:color w:val="000000" w:themeColor="text1"/>
                <w:sz w:val="18"/>
                <w:szCs w:val="18"/>
              </w:rPr>
              <w:t>0.122</w:t>
            </w:r>
          </w:p>
        </w:tc>
        <w:tc>
          <w:tcPr>
            <w:tcW w:w="1133" w:type="dxa"/>
            <w:tcBorders>
              <w:bottom w:val="nil"/>
            </w:tcBorders>
            <w:vAlign w:val="center"/>
          </w:tcPr>
          <w:p w14:paraId="1BA0CDB9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rFonts w:hint="eastAsia"/>
                <w:color w:val="000000" w:themeColor="text1"/>
                <w:sz w:val="18"/>
                <w:szCs w:val="18"/>
              </w:rPr>
              <w:t>-0.407</w:t>
            </w:r>
          </w:p>
        </w:tc>
        <w:tc>
          <w:tcPr>
            <w:tcW w:w="1134" w:type="dxa"/>
            <w:tcBorders>
              <w:bottom w:val="nil"/>
            </w:tcBorders>
            <w:vAlign w:val="center"/>
          </w:tcPr>
          <w:p w14:paraId="0300E337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rFonts w:hint="eastAsia"/>
                <w:color w:val="000000" w:themeColor="text1"/>
                <w:sz w:val="18"/>
                <w:szCs w:val="18"/>
              </w:rPr>
              <w:t>0.006**</w:t>
            </w:r>
          </w:p>
        </w:tc>
        <w:tc>
          <w:tcPr>
            <w:tcW w:w="1000" w:type="dxa"/>
            <w:tcBorders>
              <w:bottom w:val="nil"/>
            </w:tcBorders>
            <w:vAlign w:val="center"/>
          </w:tcPr>
          <w:p w14:paraId="54196083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rFonts w:hint="eastAsia"/>
                <w:color w:val="000000" w:themeColor="text1"/>
                <w:sz w:val="18"/>
                <w:szCs w:val="18"/>
              </w:rPr>
              <w:t>0.107</w:t>
            </w:r>
          </w:p>
        </w:tc>
        <w:tc>
          <w:tcPr>
            <w:tcW w:w="883" w:type="dxa"/>
            <w:tcBorders>
              <w:bottom w:val="nil"/>
            </w:tcBorders>
            <w:vAlign w:val="center"/>
          </w:tcPr>
          <w:p w14:paraId="6C986FE2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rFonts w:hint="eastAsia"/>
                <w:color w:val="000000" w:themeColor="text1"/>
                <w:sz w:val="18"/>
                <w:szCs w:val="18"/>
              </w:rPr>
              <w:t>0.488</w:t>
            </w:r>
          </w:p>
        </w:tc>
      </w:tr>
      <w:tr w:rsidR="005C2AE6" w:rsidRPr="008447A0" w14:paraId="33F244F4" w14:textId="77777777" w:rsidTr="00412A43">
        <w:tc>
          <w:tcPr>
            <w:tcW w:w="2250" w:type="dxa"/>
            <w:tcBorders>
              <w:top w:val="nil"/>
              <w:bottom w:val="nil"/>
            </w:tcBorders>
            <w:vAlign w:val="center"/>
          </w:tcPr>
          <w:p w14:paraId="0E8FF0D8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rFonts w:hint="eastAsia"/>
                <w:color w:val="000000" w:themeColor="text1"/>
                <w:sz w:val="22"/>
                <w:szCs w:val="22"/>
                <w:vertAlign w:val="superscript"/>
              </w:rPr>
              <w:t>b</w:t>
            </w:r>
            <w:r w:rsidRPr="008447A0">
              <w:rPr>
                <w:color w:val="000000" w:themeColor="text1"/>
                <w:sz w:val="18"/>
                <w:szCs w:val="18"/>
              </w:rPr>
              <w:t>Re</w:t>
            </w:r>
            <w:r w:rsidRPr="008447A0">
              <w:rPr>
                <w:rFonts w:hint="eastAsia"/>
                <w:color w:val="000000" w:themeColor="text1"/>
                <w:sz w:val="18"/>
                <w:szCs w:val="18"/>
              </w:rPr>
              <w:t>H</w:t>
            </w:r>
            <w:r w:rsidRPr="008447A0">
              <w:rPr>
                <w:color w:val="000000" w:themeColor="text1"/>
                <w:sz w:val="18"/>
                <w:szCs w:val="18"/>
              </w:rPr>
              <w:t xml:space="preserve">o of left </w:t>
            </w:r>
            <w:r w:rsidRPr="008447A0">
              <w:rPr>
                <w:rFonts w:hint="eastAsia"/>
                <w:color w:val="000000" w:themeColor="text1"/>
                <w:sz w:val="18"/>
                <w:szCs w:val="18"/>
              </w:rPr>
              <w:t>a</w:t>
            </w:r>
            <w:r w:rsidRPr="008447A0">
              <w:rPr>
                <w:color w:val="000000" w:themeColor="text1"/>
                <w:sz w:val="18"/>
                <w:szCs w:val="18"/>
              </w:rPr>
              <w:t>ITC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center"/>
          </w:tcPr>
          <w:p w14:paraId="43173847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rFonts w:hint="eastAsia"/>
                <w:color w:val="000000" w:themeColor="text1"/>
                <w:sz w:val="18"/>
                <w:szCs w:val="18"/>
              </w:rPr>
              <w:t>-0.089</w:t>
            </w:r>
          </w:p>
        </w:tc>
        <w:tc>
          <w:tcPr>
            <w:tcW w:w="1000" w:type="dxa"/>
            <w:tcBorders>
              <w:top w:val="nil"/>
              <w:bottom w:val="nil"/>
            </w:tcBorders>
            <w:vAlign w:val="center"/>
          </w:tcPr>
          <w:p w14:paraId="6CD6E344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rFonts w:hint="eastAsia"/>
                <w:color w:val="000000" w:themeColor="text1"/>
                <w:sz w:val="18"/>
                <w:szCs w:val="18"/>
              </w:rPr>
              <w:t>0.564</w:t>
            </w:r>
          </w:p>
        </w:tc>
        <w:tc>
          <w:tcPr>
            <w:tcW w:w="1133" w:type="dxa"/>
            <w:tcBorders>
              <w:top w:val="nil"/>
              <w:bottom w:val="nil"/>
            </w:tcBorders>
            <w:vAlign w:val="center"/>
          </w:tcPr>
          <w:p w14:paraId="0AD9A1FD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rFonts w:hint="eastAsia"/>
                <w:color w:val="000000" w:themeColor="text1"/>
                <w:sz w:val="18"/>
                <w:szCs w:val="18"/>
              </w:rPr>
              <w:t>-0.152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5A282B2B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rFonts w:hint="eastAsia"/>
                <w:color w:val="000000" w:themeColor="text1"/>
                <w:sz w:val="18"/>
                <w:szCs w:val="18"/>
              </w:rPr>
              <w:t>0.326</w:t>
            </w:r>
          </w:p>
        </w:tc>
        <w:tc>
          <w:tcPr>
            <w:tcW w:w="1000" w:type="dxa"/>
            <w:tcBorders>
              <w:top w:val="nil"/>
              <w:bottom w:val="nil"/>
            </w:tcBorders>
            <w:vAlign w:val="center"/>
          </w:tcPr>
          <w:p w14:paraId="520CFCAB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rFonts w:hint="eastAsia"/>
                <w:color w:val="000000" w:themeColor="text1"/>
                <w:sz w:val="18"/>
                <w:szCs w:val="18"/>
              </w:rPr>
              <w:t>-0.06</w:t>
            </w:r>
          </w:p>
        </w:tc>
        <w:tc>
          <w:tcPr>
            <w:tcW w:w="883" w:type="dxa"/>
            <w:tcBorders>
              <w:top w:val="nil"/>
              <w:bottom w:val="nil"/>
            </w:tcBorders>
            <w:vAlign w:val="center"/>
          </w:tcPr>
          <w:p w14:paraId="5746031D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rFonts w:hint="eastAsia"/>
                <w:color w:val="000000" w:themeColor="text1"/>
                <w:sz w:val="18"/>
                <w:szCs w:val="18"/>
              </w:rPr>
              <w:t>0.7</w:t>
            </w:r>
          </w:p>
        </w:tc>
      </w:tr>
      <w:tr w:rsidR="005C2AE6" w:rsidRPr="008447A0" w14:paraId="1D17798B" w14:textId="77777777" w:rsidTr="00412A43">
        <w:tc>
          <w:tcPr>
            <w:tcW w:w="2250" w:type="dxa"/>
            <w:tcBorders>
              <w:top w:val="nil"/>
              <w:bottom w:val="nil"/>
            </w:tcBorders>
            <w:vAlign w:val="center"/>
          </w:tcPr>
          <w:p w14:paraId="704C212D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rFonts w:hint="eastAsia"/>
                <w:color w:val="000000" w:themeColor="text1"/>
                <w:sz w:val="22"/>
                <w:szCs w:val="22"/>
                <w:vertAlign w:val="superscript"/>
              </w:rPr>
              <w:t>b</w:t>
            </w:r>
            <w:r w:rsidRPr="008447A0">
              <w:rPr>
                <w:color w:val="000000" w:themeColor="text1"/>
                <w:sz w:val="18"/>
                <w:szCs w:val="18"/>
              </w:rPr>
              <w:t>Re</w:t>
            </w:r>
            <w:r w:rsidRPr="008447A0">
              <w:rPr>
                <w:rFonts w:hint="eastAsia"/>
                <w:color w:val="000000" w:themeColor="text1"/>
                <w:sz w:val="18"/>
                <w:szCs w:val="18"/>
              </w:rPr>
              <w:t>H</w:t>
            </w:r>
            <w:r w:rsidRPr="008447A0">
              <w:rPr>
                <w:color w:val="000000" w:themeColor="text1"/>
                <w:sz w:val="18"/>
                <w:szCs w:val="18"/>
              </w:rPr>
              <w:t>o of left pITC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center"/>
          </w:tcPr>
          <w:p w14:paraId="33A1A1B3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rFonts w:hint="eastAsia"/>
                <w:color w:val="000000" w:themeColor="text1"/>
                <w:sz w:val="18"/>
                <w:szCs w:val="18"/>
              </w:rPr>
              <w:t>-0.241</w:t>
            </w:r>
          </w:p>
        </w:tc>
        <w:tc>
          <w:tcPr>
            <w:tcW w:w="1000" w:type="dxa"/>
            <w:tcBorders>
              <w:top w:val="nil"/>
              <w:bottom w:val="nil"/>
            </w:tcBorders>
            <w:vAlign w:val="center"/>
          </w:tcPr>
          <w:p w14:paraId="5AC52EA9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rFonts w:hint="eastAsia"/>
                <w:color w:val="000000" w:themeColor="text1"/>
                <w:sz w:val="18"/>
                <w:szCs w:val="18"/>
              </w:rPr>
              <w:t>0.114</w:t>
            </w:r>
          </w:p>
        </w:tc>
        <w:tc>
          <w:tcPr>
            <w:tcW w:w="1133" w:type="dxa"/>
            <w:tcBorders>
              <w:top w:val="nil"/>
              <w:bottom w:val="nil"/>
            </w:tcBorders>
            <w:vAlign w:val="center"/>
          </w:tcPr>
          <w:p w14:paraId="599BF30B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rFonts w:hint="eastAsia"/>
                <w:color w:val="000000" w:themeColor="text1"/>
                <w:sz w:val="18"/>
                <w:szCs w:val="18"/>
              </w:rPr>
              <w:t>-0.039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4EC7CB2E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rFonts w:hint="eastAsia"/>
                <w:color w:val="000000" w:themeColor="text1"/>
                <w:sz w:val="18"/>
                <w:szCs w:val="18"/>
              </w:rPr>
              <w:t>0.801</w:t>
            </w:r>
          </w:p>
        </w:tc>
        <w:tc>
          <w:tcPr>
            <w:tcW w:w="1000" w:type="dxa"/>
            <w:tcBorders>
              <w:top w:val="nil"/>
              <w:bottom w:val="nil"/>
            </w:tcBorders>
            <w:vAlign w:val="center"/>
          </w:tcPr>
          <w:p w14:paraId="61CA89E9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rFonts w:hint="eastAsia"/>
                <w:color w:val="000000" w:themeColor="text1"/>
                <w:sz w:val="18"/>
                <w:szCs w:val="18"/>
              </w:rPr>
              <w:t>0.13</w:t>
            </w:r>
          </w:p>
        </w:tc>
        <w:tc>
          <w:tcPr>
            <w:tcW w:w="883" w:type="dxa"/>
            <w:tcBorders>
              <w:top w:val="nil"/>
              <w:bottom w:val="nil"/>
            </w:tcBorders>
            <w:vAlign w:val="center"/>
          </w:tcPr>
          <w:p w14:paraId="3219A68F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rFonts w:hint="eastAsia"/>
                <w:color w:val="000000" w:themeColor="text1"/>
                <w:sz w:val="18"/>
                <w:szCs w:val="18"/>
              </w:rPr>
              <w:t>0.399</w:t>
            </w:r>
          </w:p>
        </w:tc>
      </w:tr>
      <w:tr w:rsidR="005C2AE6" w:rsidRPr="008447A0" w14:paraId="48ADFEAF" w14:textId="77777777" w:rsidTr="00412A43">
        <w:tc>
          <w:tcPr>
            <w:tcW w:w="2250" w:type="dxa"/>
            <w:tcBorders>
              <w:top w:val="nil"/>
              <w:bottom w:val="nil"/>
            </w:tcBorders>
            <w:vAlign w:val="center"/>
          </w:tcPr>
          <w:p w14:paraId="289E88D0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b/>
                <w:color w:val="000000" w:themeColor="text1"/>
                <w:sz w:val="18"/>
                <w:szCs w:val="18"/>
              </w:rPr>
              <w:t>Left aITC rsFC</w:t>
            </w:r>
            <w:r w:rsidRPr="008447A0">
              <w:rPr>
                <w:rFonts w:hint="eastAsia"/>
                <w:color w:val="000000" w:themeColor="text1"/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center"/>
          </w:tcPr>
          <w:p w14:paraId="64F359B2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000" w:type="dxa"/>
            <w:tcBorders>
              <w:top w:val="nil"/>
              <w:bottom w:val="nil"/>
            </w:tcBorders>
            <w:vAlign w:val="center"/>
          </w:tcPr>
          <w:p w14:paraId="66C4DC1A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  <w:vAlign w:val="center"/>
          </w:tcPr>
          <w:p w14:paraId="293CB481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18E57149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000" w:type="dxa"/>
            <w:tcBorders>
              <w:top w:val="nil"/>
              <w:bottom w:val="nil"/>
            </w:tcBorders>
            <w:vAlign w:val="center"/>
          </w:tcPr>
          <w:p w14:paraId="3537CEBE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nil"/>
              <w:bottom w:val="nil"/>
            </w:tcBorders>
            <w:vAlign w:val="center"/>
          </w:tcPr>
          <w:p w14:paraId="390324F8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5C2AE6" w:rsidRPr="008447A0" w14:paraId="3885F7DE" w14:textId="77777777" w:rsidTr="00412A43">
        <w:tc>
          <w:tcPr>
            <w:tcW w:w="2250" w:type="dxa"/>
            <w:tcBorders>
              <w:top w:val="nil"/>
              <w:bottom w:val="nil"/>
            </w:tcBorders>
            <w:vAlign w:val="center"/>
          </w:tcPr>
          <w:p w14:paraId="56104914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rFonts w:hint="eastAsia"/>
                <w:color w:val="000000" w:themeColor="text1"/>
                <w:sz w:val="18"/>
                <w:szCs w:val="18"/>
              </w:rPr>
              <w:t>r</w:t>
            </w:r>
            <w:r w:rsidRPr="008447A0">
              <w:rPr>
                <w:color w:val="000000" w:themeColor="text1"/>
                <w:sz w:val="18"/>
                <w:szCs w:val="18"/>
              </w:rPr>
              <w:t>ight angular gyrus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center"/>
          </w:tcPr>
          <w:p w14:paraId="49D0655F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rFonts w:hint="eastAsia"/>
                <w:color w:val="000000" w:themeColor="text1"/>
                <w:sz w:val="18"/>
                <w:szCs w:val="18"/>
              </w:rPr>
              <w:t>0.039</w:t>
            </w:r>
          </w:p>
        </w:tc>
        <w:tc>
          <w:tcPr>
            <w:tcW w:w="1000" w:type="dxa"/>
            <w:tcBorders>
              <w:top w:val="nil"/>
              <w:bottom w:val="nil"/>
            </w:tcBorders>
            <w:vAlign w:val="center"/>
          </w:tcPr>
          <w:p w14:paraId="5ACDD6EF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rFonts w:hint="eastAsia"/>
                <w:color w:val="000000" w:themeColor="text1"/>
                <w:sz w:val="18"/>
                <w:szCs w:val="18"/>
              </w:rPr>
              <w:t>0.802</w:t>
            </w:r>
          </w:p>
        </w:tc>
        <w:tc>
          <w:tcPr>
            <w:tcW w:w="1133" w:type="dxa"/>
            <w:tcBorders>
              <w:top w:val="nil"/>
              <w:bottom w:val="nil"/>
            </w:tcBorders>
            <w:vAlign w:val="center"/>
          </w:tcPr>
          <w:p w14:paraId="25BB7E78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rFonts w:hint="eastAsia"/>
                <w:color w:val="000000" w:themeColor="text1"/>
                <w:sz w:val="18"/>
                <w:szCs w:val="18"/>
              </w:rPr>
              <w:t>0.014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24EF8DCC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rFonts w:hint="eastAsia"/>
                <w:color w:val="000000" w:themeColor="text1"/>
                <w:sz w:val="18"/>
                <w:szCs w:val="18"/>
              </w:rPr>
              <w:t>0.929</w:t>
            </w:r>
          </w:p>
        </w:tc>
        <w:tc>
          <w:tcPr>
            <w:tcW w:w="1000" w:type="dxa"/>
            <w:tcBorders>
              <w:top w:val="nil"/>
              <w:bottom w:val="nil"/>
            </w:tcBorders>
            <w:vAlign w:val="center"/>
          </w:tcPr>
          <w:p w14:paraId="151F9A89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rFonts w:hint="eastAsia"/>
                <w:color w:val="000000" w:themeColor="text1"/>
                <w:sz w:val="18"/>
                <w:szCs w:val="18"/>
              </w:rPr>
              <w:t>0.132</w:t>
            </w:r>
          </w:p>
        </w:tc>
        <w:tc>
          <w:tcPr>
            <w:tcW w:w="883" w:type="dxa"/>
            <w:tcBorders>
              <w:top w:val="nil"/>
              <w:bottom w:val="nil"/>
            </w:tcBorders>
            <w:vAlign w:val="center"/>
          </w:tcPr>
          <w:p w14:paraId="787841EC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rFonts w:hint="eastAsia"/>
                <w:color w:val="000000" w:themeColor="text1"/>
                <w:sz w:val="18"/>
                <w:szCs w:val="18"/>
              </w:rPr>
              <w:t>0.393</w:t>
            </w:r>
          </w:p>
        </w:tc>
      </w:tr>
      <w:tr w:rsidR="005C2AE6" w:rsidRPr="008447A0" w14:paraId="70FD0B63" w14:textId="77777777" w:rsidTr="00412A43">
        <w:tc>
          <w:tcPr>
            <w:tcW w:w="2250" w:type="dxa"/>
            <w:tcBorders>
              <w:top w:val="nil"/>
              <w:bottom w:val="nil"/>
            </w:tcBorders>
            <w:vAlign w:val="center"/>
          </w:tcPr>
          <w:p w14:paraId="0682C051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color w:val="000000" w:themeColor="text1"/>
                <w:sz w:val="18"/>
                <w:szCs w:val="18"/>
              </w:rPr>
              <w:t>Left mid</w:t>
            </w:r>
            <w:r w:rsidRPr="008447A0">
              <w:rPr>
                <w:rFonts w:hint="eastAsia"/>
                <w:color w:val="000000" w:themeColor="text1"/>
                <w:sz w:val="18"/>
                <w:szCs w:val="18"/>
              </w:rPr>
              <w:t>dle</w:t>
            </w:r>
            <w:r w:rsidRPr="008447A0">
              <w:rPr>
                <w:color w:val="000000" w:themeColor="text1"/>
                <w:sz w:val="18"/>
                <w:szCs w:val="18"/>
              </w:rPr>
              <w:t xml:space="preserve"> frontal cortex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center"/>
          </w:tcPr>
          <w:p w14:paraId="61188D89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rFonts w:hint="eastAsia"/>
                <w:color w:val="000000" w:themeColor="text1"/>
                <w:sz w:val="18"/>
                <w:szCs w:val="18"/>
              </w:rPr>
              <w:t>0.109</w:t>
            </w:r>
          </w:p>
        </w:tc>
        <w:tc>
          <w:tcPr>
            <w:tcW w:w="1000" w:type="dxa"/>
            <w:tcBorders>
              <w:top w:val="nil"/>
              <w:bottom w:val="nil"/>
            </w:tcBorders>
            <w:vAlign w:val="center"/>
          </w:tcPr>
          <w:p w14:paraId="05FA9DC2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rFonts w:hint="eastAsia"/>
                <w:color w:val="000000" w:themeColor="text1"/>
                <w:sz w:val="18"/>
                <w:szCs w:val="18"/>
              </w:rPr>
              <w:t>0.479</w:t>
            </w:r>
          </w:p>
        </w:tc>
        <w:tc>
          <w:tcPr>
            <w:tcW w:w="1133" w:type="dxa"/>
            <w:tcBorders>
              <w:top w:val="nil"/>
              <w:bottom w:val="nil"/>
            </w:tcBorders>
            <w:vAlign w:val="center"/>
          </w:tcPr>
          <w:p w14:paraId="7A82DEE9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rFonts w:hint="eastAsia"/>
                <w:color w:val="000000" w:themeColor="text1"/>
                <w:sz w:val="18"/>
                <w:szCs w:val="18"/>
              </w:rPr>
              <w:t>0.088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09AE7CC5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rFonts w:hint="eastAsia"/>
                <w:color w:val="000000" w:themeColor="text1"/>
                <w:sz w:val="18"/>
                <w:szCs w:val="18"/>
              </w:rPr>
              <w:t>0.571</w:t>
            </w:r>
          </w:p>
        </w:tc>
        <w:tc>
          <w:tcPr>
            <w:tcW w:w="1000" w:type="dxa"/>
            <w:tcBorders>
              <w:top w:val="nil"/>
              <w:bottom w:val="nil"/>
            </w:tcBorders>
            <w:vAlign w:val="center"/>
          </w:tcPr>
          <w:p w14:paraId="05F5493E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rFonts w:hint="eastAsia"/>
                <w:color w:val="000000" w:themeColor="text1"/>
                <w:sz w:val="18"/>
                <w:szCs w:val="18"/>
              </w:rPr>
              <w:t>0.027</w:t>
            </w:r>
          </w:p>
        </w:tc>
        <w:tc>
          <w:tcPr>
            <w:tcW w:w="883" w:type="dxa"/>
            <w:tcBorders>
              <w:top w:val="nil"/>
              <w:bottom w:val="nil"/>
            </w:tcBorders>
            <w:vAlign w:val="center"/>
          </w:tcPr>
          <w:p w14:paraId="2E07816D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rFonts w:hint="eastAsia"/>
                <w:color w:val="000000" w:themeColor="text1"/>
                <w:sz w:val="18"/>
                <w:szCs w:val="18"/>
              </w:rPr>
              <w:t>0.862</w:t>
            </w:r>
          </w:p>
        </w:tc>
      </w:tr>
      <w:tr w:rsidR="005C2AE6" w:rsidRPr="008447A0" w14:paraId="0D8985B2" w14:textId="77777777" w:rsidTr="00412A43">
        <w:tc>
          <w:tcPr>
            <w:tcW w:w="2250" w:type="dxa"/>
            <w:tcBorders>
              <w:top w:val="nil"/>
            </w:tcBorders>
            <w:vAlign w:val="center"/>
          </w:tcPr>
          <w:p w14:paraId="36AAB82C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color w:val="000000" w:themeColor="text1"/>
                <w:sz w:val="18"/>
                <w:szCs w:val="18"/>
              </w:rPr>
              <w:t>right superior frontal cortex</w:t>
            </w:r>
          </w:p>
        </w:tc>
        <w:tc>
          <w:tcPr>
            <w:tcW w:w="933" w:type="dxa"/>
            <w:tcBorders>
              <w:top w:val="nil"/>
            </w:tcBorders>
            <w:vAlign w:val="center"/>
          </w:tcPr>
          <w:p w14:paraId="4E683657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rFonts w:hint="eastAsia"/>
                <w:color w:val="000000" w:themeColor="text1"/>
                <w:sz w:val="18"/>
                <w:szCs w:val="18"/>
              </w:rPr>
              <w:t>0.03</w:t>
            </w:r>
          </w:p>
        </w:tc>
        <w:tc>
          <w:tcPr>
            <w:tcW w:w="1000" w:type="dxa"/>
            <w:tcBorders>
              <w:top w:val="nil"/>
            </w:tcBorders>
            <w:vAlign w:val="center"/>
          </w:tcPr>
          <w:p w14:paraId="0EF996F4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rFonts w:hint="eastAsia"/>
                <w:color w:val="000000" w:themeColor="text1"/>
                <w:sz w:val="18"/>
                <w:szCs w:val="18"/>
              </w:rPr>
              <w:t>0.848</w:t>
            </w:r>
          </w:p>
        </w:tc>
        <w:tc>
          <w:tcPr>
            <w:tcW w:w="1133" w:type="dxa"/>
            <w:tcBorders>
              <w:top w:val="nil"/>
            </w:tcBorders>
            <w:vAlign w:val="center"/>
          </w:tcPr>
          <w:p w14:paraId="1820BEF9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rFonts w:hint="eastAsia"/>
                <w:color w:val="000000" w:themeColor="text1"/>
                <w:sz w:val="18"/>
                <w:szCs w:val="18"/>
              </w:rPr>
              <w:t>-0.065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14:paraId="3B4B1001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rFonts w:hint="eastAsia"/>
                <w:color w:val="000000" w:themeColor="text1"/>
                <w:sz w:val="18"/>
                <w:szCs w:val="18"/>
              </w:rPr>
              <w:t>0.674</w:t>
            </w:r>
          </w:p>
        </w:tc>
        <w:tc>
          <w:tcPr>
            <w:tcW w:w="1000" w:type="dxa"/>
            <w:tcBorders>
              <w:top w:val="nil"/>
            </w:tcBorders>
            <w:vAlign w:val="center"/>
          </w:tcPr>
          <w:p w14:paraId="49B1BD05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rFonts w:hint="eastAsia"/>
                <w:color w:val="000000" w:themeColor="text1"/>
                <w:sz w:val="18"/>
                <w:szCs w:val="18"/>
              </w:rPr>
              <w:t>0.052</w:t>
            </w:r>
          </w:p>
        </w:tc>
        <w:tc>
          <w:tcPr>
            <w:tcW w:w="883" w:type="dxa"/>
            <w:tcBorders>
              <w:top w:val="nil"/>
            </w:tcBorders>
            <w:vAlign w:val="center"/>
          </w:tcPr>
          <w:p w14:paraId="42AD4DAC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rFonts w:hint="eastAsia"/>
                <w:color w:val="000000" w:themeColor="text1"/>
                <w:sz w:val="18"/>
                <w:szCs w:val="18"/>
              </w:rPr>
              <w:t>0.738</w:t>
            </w:r>
          </w:p>
        </w:tc>
      </w:tr>
    </w:tbl>
    <w:p w14:paraId="6FDAB8B4" w14:textId="77777777" w:rsidR="005C2AE6" w:rsidRPr="008447A0" w:rsidRDefault="005C2AE6" w:rsidP="005C2AE6">
      <w:pPr>
        <w:snapToGrid w:val="0"/>
        <w:rPr>
          <w:rFonts w:ascii="Times New Roman" w:hAnsi="Times New Roman"/>
          <w:color w:val="000000" w:themeColor="text1"/>
          <w:sz w:val="22"/>
          <w:szCs w:val="22"/>
        </w:rPr>
      </w:pPr>
      <w:r w:rsidRPr="008447A0">
        <w:rPr>
          <w:rFonts w:ascii="Times New Roman" w:hAnsi="Times New Roman" w:hint="eastAsia"/>
          <w:color w:val="000000" w:themeColor="text1"/>
          <w:sz w:val="22"/>
          <w:szCs w:val="22"/>
        </w:rPr>
        <w:t>T</w:t>
      </w:r>
      <w:r w:rsidRPr="008447A0">
        <w:rPr>
          <w:rFonts w:ascii="Times New Roman" w:hAnsi="Times New Roman"/>
          <w:color w:val="000000" w:themeColor="text1"/>
          <w:sz w:val="22"/>
          <w:szCs w:val="22"/>
        </w:rPr>
        <w:t>he relationship between</w:t>
      </w:r>
      <w:r w:rsidRPr="008447A0">
        <w:rPr>
          <w:rFonts w:ascii="Times New Roman" w:hAnsi="Times New Roman" w:hint="eastAsia"/>
          <w:color w:val="000000" w:themeColor="text1"/>
          <w:sz w:val="22"/>
          <w:szCs w:val="22"/>
        </w:rPr>
        <w:t xml:space="preserve"> </w:t>
      </w:r>
      <w:r w:rsidRPr="008447A0">
        <w:rPr>
          <w:rFonts w:ascii="Times New Roman" w:hAnsi="Times New Roman"/>
          <w:color w:val="000000" w:themeColor="text1"/>
          <w:sz w:val="22"/>
          <w:szCs w:val="22"/>
        </w:rPr>
        <w:t>neuroimaging variables</w:t>
      </w:r>
      <w:r w:rsidRPr="008447A0">
        <w:rPr>
          <w:rFonts w:ascii="Times New Roman" w:hAnsi="Times New Roman" w:hint="eastAsia"/>
          <w:color w:val="000000" w:themeColor="text1"/>
          <w:sz w:val="22"/>
          <w:szCs w:val="22"/>
        </w:rPr>
        <w:t xml:space="preserve"> </w:t>
      </w:r>
      <w:r w:rsidRPr="008447A0">
        <w:rPr>
          <w:rFonts w:ascii="Times New Roman" w:hAnsi="Times New Roman"/>
          <w:color w:val="000000" w:themeColor="text1"/>
          <w:sz w:val="22"/>
          <w:szCs w:val="22"/>
        </w:rPr>
        <w:t>and</w:t>
      </w:r>
      <w:r w:rsidRPr="008447A0">
        <w:rPr>
          <w:rFonts w:ascii="Times New Roman" w:hAnsi="Times New Roman" w:hint="eastAsia"/>
          <w:color w:val="000000" w:themeColor="text1"/>
          <w:sz w:val="22"/>
          <w:szCs w:val="22"/>
        </w:rPr>
        <w:t xml:space="preserve"> clinical </w:t>
      </w:r>
      <w:r w:rsidRPr="008447A0">
        <w:rPr>
          <w:rFonts w:ascii="Times New Roman" w:hAnsi="Times New Roman"/>
          <w:color w:val="000000" w:themeColor="text1"/>
          <w:sz w:val="22"/>
          <w:szCs w:val="22"/>
        </w:rPr>
        <w:t>cognitive function</w:t>
      </w:r>
      <w:r w:rsidRPr="008447A0">
        <w:rPr>
          <w:rFonts w:ascii="Times New Roman" w:hAnsi="Times New Roman" w:hint="eastAsia"/>
          <w:color w:val="000000" w:themeColor="text1"/>
          <w:sz w:val="22"/>
          <w:szCs w:val="22"/>
        </w:rPr>
        <w:t xml:space="preserve"> scores were</w:t>
      </w:r>
      <w:r w:rsidRPr="008447A0">
        <w:rPr>
          <w:rFonts w:ascii="Times New Roman" w:hAnsi="Times New Roman"/>
          <w:color w:val="000000" w:themeColor="text1"/>
          <w:sz w:val="22"/>
          <w:szCs w:val="22"/>
        </w:rPr>
        <w:t xml:space="preserve"> assessed by</w:t>
      </w:r>
      <w:r w:rsidRPr="008447A0">
        <w:rPr>
          <w:rFonts w:ascii="Times New Roman" w:hAnsi="Times New Roman" w:hint="eastAsia"/>
          <w:color w:val="000000" w:themeColor="text1"/>
          <w:sz w:val="22"/>
          <w:szCs w:val="22"/>
        </w:rPr>
        <w:t xml:space="preserve"> </w:t>
      </w:r>
      <w:r w:rsidRPr="008447A0">
        <w:rPr>
          <w:rFonts w:ascii="Times New Roman" w:hAnsi="Times New Roman"/>
          <w:color w:val="000000" w:themeColor="text1"/>
          <w:sz w:val="22"/>
          <w:szCs w:val="22"/>
        </w:rPr>
        <w:t>using</w:t>
      </w:r>
      <w:r w:rsidRPr="008447A0">
        <w:rPr>
          <w:rFonts w:ascii="Times New Roman" w:hAnsi="Times New Roman" w:hint="eastAsia"/>
          <w:color w:val="000000" w:themeColor="text1"/>
          <w:sz w:val="22"/>
          <w:szCs w:val="22"/>
        </w:rPr>
        <w:t xml:space="preserve"> Pearson correlation </w:t>
      </w:r>
      <w:r w:rsidRPr="008447A0">
        <w:rPr>
          <w:rFonts w:ascii="Times New Roman" w:hAnsi="Times New Roman"/>
          <w:color w:val="000000" w:themeColor="text1"/>
          <w:sz w:val="22"/>
          <w:szCs w:val="22"/>
        </w:rPr>
        <w:t>analysis</w:t>
      </w:r>
      <w:r w:rsidRPr="008447A0">
        <w:rPr>
          <w:rFonts w:ascii="Times New Roman" w:hAnsi="Times New Roman" w:hint="eastAsia"/>
          <w:color w:val="000000" w:themeColor="text1"/>
          <w:sz w:val="22"/>
          <w:szCs w:val="22"/>
        </w:rPr>
        <w:t>.</w:t>
      </w:r>
    </w:p>
    <w:p w14:paraId="34ECD6B0" w14:textId="77777777" w:rsidR="005C2AE6" w:rsidRPr="008447A0" w:rsidRDefault="005C2AE6" w:rsidP="005C2AE6">
      <w:pPr>
        <w:snapToGrid w:val="0"/>
        <w:rPr>
          <w:rFonts w:ascii="Times New Roman" w:hAnsi="Times New Roman" w:cs="Calibri"/>
          <w:color w:val="000000" w:themeColor="text1"/>
          <w:sz w:val="22"/>
          <w:szCs w:val="22"/>
        </w:rPr>
      </w:pPr>
      <w:r w:rsidRPr="008447A0">
        <w:rPr>
          <w:rFonts w:ascii="Times New Roman" w:hAnsi="Times New Roman" w:hint="eastAsia"/>
          <w:color w:val="000000" w:themeColor="text1"/>
          <w:sz w:val="22"/>
          <w:szCs w:val="22"/>
          <w:vertAlign w:val="superscript"/>
        </w:rPr>
        <w:t>a</w:t>
      </w:r>
      <w:r w:rsidRPr="008447A0">
        <w:rPr>
          <w:rFonts w:ascii="Times New Roman" w:hAnsi="Times New Roman"/>
          <w:color w:val="000000" w:themeColor="text1"/>
          <w:sz w:val="22"/>
          <w:szCs w:val="22"/>
        </w:rPr>
        <w:t xml:space="preserve">Adjusted for age, sex, </w:t>
      </w:r>
      <w:r w:rsidRPr="008447A0">
        <w:rPr>
          <w:rFonts w:ascii="Times New Roman" w:hAnsi="Times New Roman" w:hint="eastAsia"/>
          <w:color w:val="000000" w:themeColor="text1"/>
          <w:sz w:val="22"/>
          <w:szCs w:val="22"/>
        </w:rPr>
        <w:t>education</w:t>
      </w:r>
      <w:r w:rsidRPr="008447A0">
        <w:rPr>
          <w:rFonts w:ascii="Times New Roman" w:hAnsi="Times New Roman"/>
          <w:color w:val="000000" w:themeColor="text1"/>
          <w:sz w:val="22"/>
          <w:szCs w:val="22"/>
        </w:rPr>
        <w:t>, and</w:t>
      </w:r>
      <w:r w:rsidRPr="008447A0">
        <w:rPr>
          <w:rFonts w:ascii="Times New Roman" w:hAnsi="Times New Roman" w:hint="eastAsia"/>
          <w:color w:val="000000" w:themeColor="text1"/>
          <w:sz w:val="22"/>
          <w:szCs w:val="22"/>
        </w:rPr>
        <w:t xml:space="preserve"> TI</w:t>
      </w:r>
      <w:r w:rsidRPr="008447A0">
        <w:rPr>
          <w:rFonts w:ascii="Times New Roman" w:hAnsi="Times New Roman"/>
          <w:color w:val="000000" w:themeColor="text1"/>
          <w:sz w:val="22"/>
          <w:szCs w:val="22"/>
        </w:rPr>
        <w:t>V</w:t>
      </w:r>
      <w:r w:rsidRPr="008447A0">
        <w:rPr>
          <w:rFonts w:ascii="Times New Roman" w:hAnsi="Times New Roman" w:hint="eastAsia"/>
          <w:color w:val="000000" w:themeColor="text1"/>
          <w:sz w:val="22"/>
          <w:szCs w:val="22"/>
        </w:rPr>
        <w:t>.</w:t>
      </w:r>
    </w:p>
    <w:p w14:paraId="7CF4FD2B" w14:textId="77777777" w:rsidR="005C2AE6" w:rsidRPr="008447A0" w:rsidRDefault="005C2AE6" w:rsidP="005C2AE6">
      <w:pPr>
        <w:snapToGrid w:val="0"/>
        <w:rPr>
          <w:rFonts w:ascii="Times New Roman" w:hAnsi="Times New Roman"/>
          <w:color w:val="000000" w:themeColor="text1"/>
          <w:sz w:val="22"/>
          <w:szCs w:val="22"/>
        </w:rPr>
      </w:pPr>
      <w:r w:rsidRPr="008447A0">
        <w:rPr>
          <w:rFonts w:ascii="Times New Roman" w:hAnsi="Times New Roman" w:hint="eastAsia"/>
          <w:color w:val="000000" w:themeColor="text1"/>
          <w:sz w:val="22"/>
          <w:szCs w:val="22"/>
          <w:vertAlign w:val="superscript"/>
        </w:rPr>
        <w:t>b</w:t>
      </w:r>
      <w:r w:rsidRPr="008447A0">
        <w:rPr>
          <w:rFonts w:ascii="Times New Roman" w:hAnsi="Times New Roman"/>
          <w:color w:val="000000" w:themeColor="text1"/>
          <w:sz w:val="22"/>
          <w:szCs w:val="22"/>
        </w:rPr>
        <w:t xml:space="preserve">Adjusted for age, sex, </w:t>
      </w:r>
      <w:r w:rsidRPr="008447A0">
        <w:rPr>
          <w:rFonts w:ascii="Times New Roman" w:hAnsi="Times New Roman" w:hint="eastAsia"/>
          <w:color w:val="000000" w:themeColor="text1"/>
          <w:sz w:val="22"/>
          <w:szCs w:val="22"/>
        </w:rPr>
        <w:t>education</w:t>
      </w:r>
      <w:r w:rsidRPr="008447A0">
        <w:rPr>
          <w:rFonts w:ascii="Times New Roman" w:hAnsi="Times New Roman"/>
          <w:color w:val="000000" w:themeColor="text1"/>
          <w:sz w:val="22"/>
          <w:szCs w:val="22"/>
        </w:rPr>
        <w:t>, and head motion parameters</w:t>
      </w:r>
      <w:r w:rsidRPr="008447A0">
        <w:rPr>
          <w:rFonts w:ascii="Times New Roman" w:hAnsi="Times New Roman" w:hint="eastAsia"/>
          <w:color w:val="000000" w:themeColor="text1"/>
          <w:sz w:val="22"/>
          <w:szCs w:val="22"/>
        </w:rPr>
        <w:t>.</w:t>
      </w:r>
    </w:p>
    <w:p w14:paraId="5DA155A7" w14:textId="77777777" w:rsidR="005C2AE6" w:rsidRPr="008447A0" w:rsidRDefault="005C2AE6" w:rsidP="005C2AE6">
      <w:pPr>
        <w:snapToGrid w:val="0"/>
        <w:rPr>
          <w:rFonts w:ascii="Times New Roman" w:hAnsi="Times New Roman"/>
          <w:color w:val="000000" w:themeColor="text1"/>
          <w:sz w:val="22"/>
        </w:rPr>
      </w:pPr>
      <w:r w:rsidRPr="008447A0">
        <w:rPr>
          <w:rFonts w:ascii="Times New Roman" w:hAnsi="Times New Roman"/>
          <w:i/>
          <w:color w:val="000000" w:themeColor="text1"/>
          <w:sz w:val="22"/>
        </w:rPr>
        <w:t>P</w:t>
      </w:r>
      <w:r w:rsidRPr="008447A0">
        <w:rPr>
          <w:rFonts w:ascii="SimSun" w:hAnsi="SimSun" w:hint="eastAsia"/>
          <w:color w:val="000000" w:themeColor="text1"/>
          <w:sz w:val="22"/>
        </w:rPr>
        <w:t xml:space="preserve">＜ </w:t>
      </w:r>
      <w:r w:rsidRPr="008447A0">
        <w:rPr>
          <w:rFonts w:ascii="Times New Roman" w:hAnsi="Times New Roman" w:hint="eastAsia"/>
          <w:color w:val="000000" w:themeColor="text1"/>
          <w:sz w:val="22"/>
        </w:rPr>
        <w:t xml:space="preserve">0.05*, </w:t>
      </w:r>
      <w:r w:rsidRPr="008447A0">
        <w:rPr>
          <w:rFonts w:ascii="Times New Roman" w:hAnsi="Times New Roman" w:hint="eastAsia"/>
          <w:i/>
          <w:color w:val="000000" w:themeColor="text1"/>
          <w:sz w:val="22"/>
        </w:rPr>
        <w:t>P</w:t>
      </w:r>
      <w:r w:rsidRPr="008447A0">
        <w:rPr>
          <w:rFonts w:ascii="SimSun" w:hAnsi="SimSun" w:hint="eastAsia"/>
          <w:color w:val="000000" w:themeColor="text1"/>
          <w:sz w:val="22"/>
        </w:rPr>
        <w:t xml:space="preserve">＜ </w:t>
      </w:r>
      <w:r w:rsidRPr="008447A0">
        <w:rPr>
          <w:rFonts w:ascii="Times New Roman" w:hAnsi="Times New Roman" w:hint="eastAsia"/>
          <w:color w:val="000000" w:themeColor="text1"/>
          <w:sz w:val="22"/>
        </w:rPr>
        <w:t xml:space="preserve">0.01**, </w:t>
      </w:r>
      <w:r w:rsidRPr="008447A0">
        <w:rPr>
          <w:rFonts w:ascii="Times New Roman" w:hAnsi="Times New Roman" w:hint="eastAsia"/>
          <w:i/>
          <w:color w:val="000000" w:themeColor="text1"/>
          <w:sz w:val="22"/>
        </w:rPr>
        <w:t>P</w:t>
      </w:r>
      <w:r w:rsidRPr="008447A0">
        <w:rPr>
          <w:rFonts w:ascii="SimSun" w:hAnsi="SimSun" w:hint="eastAsia"/>
          <w:color w:val="000000" w:themeColor="text1"/>
          <w:sz w:val="22"/>
        </w:rPr>
        <w:t xml:space="preserve">＜ </w:t>
      </w:r>
      <w:r w:rsidRPr="008447A0">
        <w:rPr>
          <w:rFonts w:ascii="Times New Roman" w:hAnsi="Times New Roman" w:hint="eastAsia"/>
          <w:color w:val="000000" w:themeColor="text1"/>
          <w:sz w:val="22"/>
        </w:rPr>
        <w:t>0.001***</w:t>
      </w:r>
    </w:p>
    <w:p w14:paraId="115FCB67" w14:textId="77777777" w:rsidR="005C2AE6" w:rsidRPr="008447A0" w:rsidRDefault="005C2AE6" w:rsidP="005C2AE6">
      <w:pPr>
        <w:snapToGrid w:val="0"/>
        <w:rPr>
          <w:rFonts w:ascii="Times New Roman" w:hAnsi="Times New Roman"/>
          <w:color w:val="000000" w:themeColor="text1"/>
          <w:sz w:val="22"/>
          <w:szCs w:val="22"/>
        </w:rPr>
      </w:pPr>
      <w:r w:rsidRPr="008447A0">
        <w:rPr>
          <w:rFonts w:ascii="Times New Roman" w:hAnsi="Times New Roman" w:hint="eastAsia"/>
          <w:color w:val="000000" w:themeColor="text1"/>
          <w:sz w:val="22"/>
          <w:szCs w:val="22"/>
        </w:rPr>
        <w:t xml:space="preserve">Abbreviations: HC, healthy control; GMV, gray matter volume; ReHo, Regional Homogeneity; rsFC, resting-state functional connectivity; dACC, dorsal anterior cingulate cortex; aITC, anterior part of inferior temporal cortex; pITC, posterior part of inferior temporal cortex; TIV, total </w:t>
      </w:r>
      <w:r w:rsidRPr="008447A0">
        <w:rPr>
          <w:rFonts w:ascii="Times New Roman" w:hAnsi="Times New Roman"/>
          <w:color w:val="000000" w:themeColor="text1"/>
          <w:sz w:val="22"/>
          <w:szCs w:val="22"/>
        </w:rPr>
        <w:t>intracranial volume</w:t>
      </w:r>
      <w:r w:rsidRPr="008447A0">
        <w:rPr>
          <w:rFonts w:ascii="Times New Roman" w:hAnsi="Times New Roman" w:hint="eastAsia"/>
          <w:color w:val="000000" w:themeColor="text1"/>
          <w:sz w:val="22"/>
          <w:szCs w:val="22"/>
        </w:rPr>
        <w:t>; ROI, region of interest.</w:t>
      </w:r>
    </w:p>
    <w:p w14:paraId="230AD8D4" w14:textId="77777777" w:rsidR="005C2AE6" w:rsidRPr="008447A0" w:rsidRDefault="005C2AE6" w:rsidP="005C2AE6">
      <w:pPr>
        <w:snapToGrid w:val="0"/>
        <w:rPr>
          <w:rStyle w:val="LineNumber"/>
          <w:color w:val="000000" w:themeColor="text1"/>
        </w:rPr>
      </w:pPr>
    </w:p>
    <w:p w14:paraId="722D0F82" w14:textId="77777777" w:rsidR="005C2AE6" w:rsidRPr="008447A0" w:rsidRDefault="005C2AE6" w:rsidP="005C2AE6">
      <w:pPr>
        <w:snapToGrid w:val="0"/>
        <w:rPr>
          <w:rStyle w:val="LineNumber"/>
          <w:color w:val="000000" w:themeColor="text1"/>
        </w:rPr>
      </w:pPr>
    </w:p>
    <w:p w14:paraId="45B8EDE8" w14:textId="77777777" w:rsidR="005C2AE6" w:rsidRPr="008447A0" w:rsidRDefault="005C2AE6" w:rsidP="005C2AE6">
      <w:pPr>
        <w:snapToGrid w:val="0"/>
        <w:rPr>
          <w:rStyle w:val="LineNumber"/>
          <w:color w:val="000000" w:themeColor="text1"/>
        </w:rPr>
      </w:pPr>
    </w:p>
    <w:p w14:paraId="628BA489" w14:textId="77777777" w:rsidR="005C2AE6" w:rsidRPr="008447A0" w:rsidRDefault="005C2AE6" w:rsidP="005C2AE6">
      <w:pPr>
        <w:snapToGrid w:val="0"/>
        <w:rPr>
          <w:rFonts w:ascii="Times New Roman" w:hAnsi="Times New Roman"/>
          <w:color w:val="000000" w:themeColor="text1"/>
          <w:sz w:val="22"/>
          <w:szCs w:val="22"/>
        </w:rPr>
      </w:pPr>
      <w:r w:rsidRPr="008447A0">
        <w:rPr>
          <w:rFonts w:ascii="Times New Roman" w:hAnsi="Times New Roman"/>
          <w:color w:val="000000" w:themeColor="text1"/>
          <w:sz w:val="22"/>
          <w:szCs w:val="22"/>
        </w:rPr>
        <w:t>Table</w:t>
      </w:r>
      <w:r w:rsidRPr="008447A0">
        <w:rPr>
          <w:rFonts w:ascii="Times New Roman" w:hAnsi="Times New Roman" w:hint="eastAsia"/>
          <w:color w:val="000000" w:themeColor="text1"/>
          <w:sz w:val="22"/>
          <w:szCs w:val="22"/>
        </w:rPr>
        <w:t xml:space="preserve"> S2</w:t>
      </w:r>
      <w:r w:rsidRPr="008447A0">
        <w:rPr>
          <w:rFonts w:ascii="Times New Roman" w:hAnsi="Times New Roman"/>
          <w:color w:val="000000" w:themeColor="text1"/>
          <w:sz w:val="22"/>
          <w:szCs w:val="22"/>
        </w:rPr>
        <w:t xml:space="preserve"> </w:t>
      </w:r>
    </w:p>
    <w:p w14:paraId="22341202" w14:textId="77777777" w:rsidR="005C2AE6" w:rsidRPr="008447A0" w:rsidRDefault="005C2AE6" w:rsidP="005C2AE6">
      <w:pPr>
        <w:snapToGrid w:val="0"/>
        <w:rPr>
          <w:rFonts w:ascii="Times New Roman" w:hAnsi="Times New Roman"/>
          <w:color w:val="000000" w:themeColor="text1"/>
          <w:sz w:val="22"/>
          <w:szCs w:val="22"/>
        </w:rPr>
      </w:pPr>
      <w:r w:rsidRPr="008447A0">
        <w:rPr>
          <w:rFonts w:ascii="Times New Roman" w:hAnsi="Times New Roman"/>
          <w:color w:val="000000" w:themeColor="text1"/>
          <w:sz w:val="22"/>
          <w:szCs w:val="22"/>
        </w:rPr>
        <w:t>Correlations between</w:t>
      </w:r>
      <w:r w:rsidRPr="008447A0">
        <w:rPr>
          <w:rFonts w:ascii="Times New Roman" w:hAnsi="Times New Roman" w:hint="eastAsia"/>
          <w:color w:val="000000" w:themeColor="text1"/>
          <w:sz w:val="22"/>
          <w:szCs w:val="22"/>
        </w:rPr>
        <w:t xml:space="preserve"> ROI-based neuroimaging variables </w:t>
      </w:r>
      <w:r w:rsidRPr="008447A0">
        <w:rPr>
          <w:rFonts w:ascii="Times New Roman" w:hAnsi="Times New Roman"/>
          <w:color w:val="000000" w:themeColor="text1"/>
          <w:sz w:val="22"/>
          <w:szCs w:val="22"/>
        </w:rPr>
        <w:t>and</w:t>
      </w:r>
      <w:r w:rsidRPr="008447A0">
        <w:rPr>
          <w:rFonts w:ascii="Times New Roman" w:hAnsi="Times New Roman" w:hint="eastAsia"/>
          <w:color w:val="000000" w:themeColor="text1"/>
          <w:sz w:val="22"/>
          <w:szCs w:val="22"/>
        </w:rPr>
        <w:t xml:space="preserve"> clinical </w:t>
      </w:r>
      <w:r w:rsidRPr="008447A0">
        <w:rPr>
          <w:rFonts w:ascii="Times New Roman" w:hAnsi="Times New Roman"/>
          <w:color w:val="000000" w:themeColor="text1"/>
          <w:sz w:val="22"/>
          <w:szCs w:val="22"/>
        </w:rPr>
        <w:t>cognitive function</w:t>
      </w:r>
      <w:r w:rsidRPr="008447A0">
        <w:rPr>
          <w:rFonts w:ascii="Times New Roman" w:hAnsi="Times New Roman" w:hint="eastAsia"/>
          <w:color w:val="000000" w:themeColor="text1"/>
          <w:sz w:val="22"/>
          <w:szCs w:val="22"/>
        </w:rPr>
        <w:t xml:space="preserve"> scores in aMCI group</w:t>
      </w:r>
    </w:p>
    <w:tbl>
      <w:tblPr>
        <w:tblStyle w:val="TableGrid"/>
        <w:tblW w:w="8317" w:type="dxa"/>
        <w:tblInd w:w="93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59"/>
        <w:gridCol w:w="975"/>
        <w:gridCol w:w="1008"/>
        <w:gridCol w:w="917"/>
        <w:gridCol w:w="1133"/>
        <w:gridCol w:w="992"/>
        <w:gridCol w:w="1033"/>
      </w:tblGrid>
      <w:tr w:rsidR="005C2AE6" w:rsidRPr="008447A0" w14:paraId="6B41F3F7" w14:textId="77777777" w:rsidTr="00412A43">
        <w:tc>
          <w:tcPr>
            <w:tcW w:w="2259" w:type="dxa"/>
            <w:vMerge w:val="restart"/>
            <w:vAlign w:val="center"/>
          </w:tcPr>
          <w:p w14:paraId="42A3A254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color w:val="000000" w:themeColor="text1"/>
                <w:sz w:val="18"/>
                <w:szCs w:val="18"/>
              </w:rPr>
              <w:t>Cognitive system</w:t>
            </w:r>
          </w:p>
        </w:tc>
        <w:tc>
          <w:tcPr>
            <w:tcW w:w="1983" w:type="dxa"/>
            <w:gridSpan w:val="2"/>
          </w:tcPr>
          <w:p w14:paraId="1A9754EC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color w:val="000000" w:themeColor="text1"/>
                <w:sz w:val="18"/>
                <w:szCs w:val="18"/>
              </w:rPr>
              <w:t>Episodic memory</w:t>
            </w:r>
          </w:p>
        </w:tc>
        <w:tc>
          <w:tcPr>
            <w:tcW w:w="2050" w:type="dxa"/>
            <w:gridSpan w:val="2"/>
          </w:tcPr>
          <w:p w14:paraId="3AA1A47F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color w:val="000000" w:themeColor="text1"/>
                <w:sz w:val="18"/>
                <w:szCs w:val="18"/>
              </w:rPr>
              <w:t>Semantic memory</w:t>
            </w:r>
          </w:p>
        </w:tc>
        <w:tc>
          <w:tcPr>
            <w:tcW w:w="2025" w:type="dxa"/>
            <w:gridSpan w:val="2"/>
          </w:tcPr>
          <w:p w14:paraId="66306FE8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color w:val="000000" w:themeColor="text1"/>
                <w:sz w:val="18"/>
                <w:szCs w:val="18"/>
              </w:rPr>
              <w:t>Working memory</w:t>
            </w:r>
          </w:p>
        </w:tc>
      </w:tr>
      <w:tr w:rsidR="005C2AE6" w:rsidRPr="008447A0" w14:paraId="3886AD63" w14:textId="77777777" w:rsidTr="00412A43">
        <w:tc>
          <w:tcPr>
            <w:tcW w:w="2259" w:type="dxa"/>
            <w:vMerge/>
            <w:tcBorders>
              <w:bottom w:val="single" w:sz="4" w:space="0" w:color="000000" w:themeColor="text1"/>
            </w:tcBorders>
          </w:tcPr>
          <w:p w14:paraId="5C393F05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75" w:type="dxa"/>
            <w:tcBorders>
              <w:bottom w:val="single" w:sz="4" w:space="0" w:color="000000" w:themeColor="text1"/>
            </w:tcBorders>
          </w:tcPr>
          <w:p w14:paraId="1B337910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rFonts w:hint="eastAsia"/>
                <w:color w:val="000000" w:themeColor="text1"/>
                <w:sz w:val="18"/>
                <w:szCs w:val="18"/>
              </w:rPr>
              <w:t>r</w:t>
            </w:r>
          </w:p>
        </w:tc>
        <w:tc>
          <w:tcPr>
            <w:tcW w:w="1008" w:type="dxa"/>
            <w:tcBorders>
              <w:bottom w:val="single" w:sz="4" w:space="0" w:color="000000" w:themeColor="text1"/>
            </w:tcBorders>
          </w:tcPr>
          <w:p w14:paraId="20B810EA" w14:textId="77777777" w:rsidR="005C2AE6" w:rsidRPr="008447A0" w:rsidRDefault="005C2AE6" w:rsidP="00412A43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8447A0">
              <w:rPr>
                <w:i/>
                <w:color w:val="000000" w:themeColor="text1"/>
                <w:sz w:val="18"/>
                <w:szCs w:val="18"/>
              </w:rPr>
              <w:t>p</w:t>
            </w:r>
          </w:p>
        </w:tc>
        <w:tc>
          <w:tcPr>
            <w:tcW w:w="917" w:type="dxa"/>
            <w:tcBorders>
              <w:bottom w:val="single" w:sz="4" w:space="0" w:color="000000" w:themeColor="text1"/>
            </w:tcBorders>
          </w:tcPr>
          <w:p w14:paraId="506D9A07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rFonts w:hint="eastAsia"/>
                <w:color w:val="000000" w:themeColor="text1"/>
                <w:sz w:val="18"/>
                <w:szCs w:val="18"/>
              </w:rPr>
              <w:t>r</w:t>
            </w:r>
          </w:p>
        </w:tc>
        <w:tc>
          <w:tcPr>
            <w:tcW w:w="1133" w:type="dxa"/>
            <w:tcBorders>
              <w:bottom w:val="single" w:sz="4" w:space="0" w:color="000000" w:themeColor="text1"/>
            </w:tcBorders>
          </w:tcPr>
          <w:p w14:paraId="17BAE127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i/>
                <w:color w:val="000000" w:themeColor="text1"/>
                <w:sz w:val="18"/>
                <w:szCs w:val="18"/>
              </w:rPr>
              <w:t>p</w:t>
            </w:r>
          </w:p>
        </w:tc>
        <w:tc>
          <w:tcPr>
            <w:tcW w:w="992" w:type="dxa"/>
            <w:tcBorders>
              <w:bottom w:val="single" w:sz="4" w:space="0" w:color="000000" w:themeColor="text1"/>
            </w:tcBorders>
          </w:tcPr>
          <w:p w14:paraId="775C4A24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rFonts w:hint="eastAsia"/>
                <w:color w:val="000000" w:themeColor="text1"/>
                <w:sz w:val="18"/>
                <w:szCs w:val="18"/>
              </w:rPr>
              <w:t>r</w:t>
            </w:r>
          </w:p>
        </w:tc>
        <w:tc>
          <w:tcPr>
            <w:tcW w:w="1033" w:type="dxa"/>
            <w:tcBorders>
              <w:bottom w:val="single" w:sz="4" w:space="0" w:color="000000" w:themeColor="text1"/>
            </w:tcBorders>
          </w:tcPr>
          <w:p w14:paraId="2A953107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i/>
                <w:color w:val="000000" w:themeColor="text1"/>
                <w:sz w:val="18"/>
                <w:szCs w:val="18"/>
              </w:rPr>
              <w:t>p</w:t>
            </w:r>
          </w:p>
        </w:tc>
      </w:tr>
      <w:tr w:rsidR="005C2AE6" w:rsidRPr="008447A0" w14:paraId="4026753B" w14:textId="77777777" w:rsidTr="00412A43">
        <w:tc>
          <w:tcPr>
            <w:tcW w:w="2259" w:type="dxa"/>
            <w:tcBorders>
              <w:bottom w:val="nil"/>
            </w:tcBorders>
            <w:vAlign w:val="center"/>
          </w:tcPr>
          <w:p w14:paraId="21B6929F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rFonts w:hint="eastAsia"/>
                <w:color w:val="000000" w:themeColor="text1"/>
                <w:sz w:val="22"/>
                <w:szCs w:val="22"/>
                <w:vertAlign w:val="superscript"/>
              </w:rPr>
              <w:t>a</w:t>
            </w:r>
            <w:r w:rsidRPr="008447A0">
              <w:rPr>
                <w:color w:val="000000" w:themeColor="text1"/>
                <w:sz w:val="18"/>
                <w:szCs w:val="18"/>
              </w:rPr>
              <w:t>GMV of dACC</w:t>
            </w:r>
          </w:p>
        </w:tc>
        <w:tc>
          <w:tcPr>
            <w:tcW w:w="975" w:type="dxa"/>
            <w:tcBorders>
              <w:bottom w:val="nil"/>
            </w:tcBorders>
            <w:vAlign w:val="center"/>
          </w:tcPr>
          <w:p w14:paraId="7423A790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rFonts w:hint="eastAsia"/>
                <w:color w:val="000000" w:themeColor="text1"/>
                <w:sz w:val="18"/>
                <w:szCs w:val="18"/>
              </w:rPr>
              <w:t>0.138</w:t>
            </w:r>
          </w:p>
        </w:tc>
        <w:tc>
          <w:tcPr>
            <w:tcW w:w="1008" w:type="dxa"/>
            <w:tcBorders>
              <w:bottom w:val="nil"/>
            </w:tcBorders>
            <w:vAlign w:val="center"/>
          </w:tcPr>
          <w:p w14:paraId="16E03C4C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rFonts w:hint="eastAsia"/>
                <w:color w:val="000000" w:themeColor="text1"/>
                <w:sz w:val="18"/>
                <w:szCs w:val="18"/>
              </w:rPr>
              <w:t>0.323</w:t>
            </w:r>
          </w:p>
        </w:tc>
        <w:tc>
          <w:tcPr>
            <w:tcW w:w="917" w:type="dxa"/>
            <w:tcBorders>
              <w:bottom w:val="nil"/>
            </w:tcBorders>
            <w:vAlign w:val="center"/>
          </w:tcPr>
          <w:p w14:paraId="3375E230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rFonts w:hint="eastAsia"/>
                <w:color w:val="000000" w:themeColor="text1"/>
                <w:sz w:val="18"/>
                <w:szCs w:val="18"/>
              </w:rPr>
              <w:t>0.08</w:t>
            </w:r>
          </w:p>
        </w:tc>
        <w:tc>
          <w:tcPr>
            <w:tcW w:w="1133" w:type="dxa"/>
            <w:tcBorders>
              <w:bottom w:val="nil"/>
            </w:tcBorders>
            <w:vAlign w:val="center"/>
          </w:tcPr>
          <w:p w14:paraId="4C731637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rFonts w:hint="eastAsia"/>
                <w:color w:val="000000" w:themeColor="text1"/>
                <w:sz w:val="18"/>
                <w:szCs w:val="18"/>
              </w:rPr>
              <w:t>0.569</w:t>
            </w:r>
          </w:p>
        </w:tc>
        <w:tc>
          <w:tcPr>
            <w:tcW w:w="992" w:type="dxa"/>
            <w:tcBorders>
              <w:bottom w:val="nil"/>
            </w:tcBorders>
            <w:vAlign w:val="center"/>
          </w:tcPr>
          <w:p w14:paraId="76282075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rFonts w:hint="eastAsia"/>
                <w:color w:val="000000" w:themeColor="text1"/>
                <w:sz w:val="18"/>
                <w:szCs w:val="18"/>
              </w:rPr>
              <w:t>0.259</w:t>
            </w:r>
          </w:p>
        </w:tc>
        <w:tc>
          <w:tcPr>
            <w:tcW w:w="1033" w:type="dxa"/>
            <w:tcBorders>
              <w:bottom w:val="nil"/>
            </w:tcBorders>
            <w:vAlign w:val="center"/>
          </w:tcPr>
          <w:p w14:paraId="7C721898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rFonts w:hint="eastAsia"/>
                <w:color w:val="000000" w:themeColor="text1"/>
                <w:sz w:val="18"/>
                <w:szCs w:val="18"/>
              </w:rPr>
              <w:t>0.061</w:t>
            </w:r>
          </w:p>
        </w:tc>
      </w:tr>
      <w:tr w:rsidR="005C2AE6" w:rsidRPr="008447A0" w14:paraId="7C059FC3" w14:textId="77777777" w:rsidTr="00412A43">
        <w:tc>
          <w:tcPr>
            <w:tcW w:w="2259" w:type="dxa"/>
            <w:tcBorders>
              <w:top w:val="nil"/>
              <w:bottom w:val="nil"/>
            </w:tcBorders>
            <w:vAlign w:val="center"/>
          </w:tcPr>
          <w:p w14:paraId="1E6C3592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rFonts w:hint="eastAsia"/>
                <w:color w:val="000000" w:themeColor="text1"/>
                <w:sz w:val="22"/>
                <w:szCs w:val="22"/>
                <w:vertAlign w:val="superscript"/>
              </w:rPr>
              <w:t>b</w:t>
            </w:r>
            <w:r w:rsidRPr="008447A0">
              <w:rPr>
                <w:color w:val="000000" w:themeColor="text1"/>
                <w:sz w:val="18"/>
                <w:szCs w:val="18"/>
              </w:rPr>
              <w:t>Re</w:t>
            </w:r>
            <w:r w:rsidRPr="008447A0">
              <w:rPr>
                <w:rFonts w:hint="eastAsia"/>
                <w:color w:val="000000" w:themeColor="text1"/>
                <w:sz w:val="18"/>
                <w:szCs w:val="18"/>
              </w:rPr>
              <w:t>H</w:t>
            </w:r>
            <w:r w:rsidRPr="008447A0">
              <w:rPr>
                <w:color w:val="000000" w:themeColor="text1"/>
                <w:sz w:val="18"/>
                <w:szCs w:val="18"/>
              </w:rPr>
              <w:t xml:space="preserve">o of left </w:t>
            </w:r>
            <w:r w:rsidRPr="008447A0">
              <w:rPr>
                <w:rFonts w:hint="eastAsia"/>
                <w:color w:val="000000" w:themeColor="text1"/>
                <w:sz w:val="18"/>
                <w:szCs w:val="18"/>
              </w:rPr>
              <w:t>a</w:t>
            </w:r>
            <w:r w:rsidRPr="008447A0">
              <w:rPr>
                <w:color w:val="000000" w:themeColor="text1"/>
                <w:sz w:val="18"/>
                <w:szCs w:val="18"/>
              </w:rPr>
              <w:t>ITC</w:t>
            </w:r>
          </w:p>
        </w:tc>
        <w:tc>
          <w:tcPr>
            <w:tcW w:w="975" w:type="dxa"/>
            <w:tcBorders>
              <w:top w:val="nil"/>
              <w:bottom w:val="nil"/>
            </w:tcBorders>
            <w:vAlign w:val="center"/>
          </w:tcPr>
          <w:p w14:paraId="384FF369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rFonts w:hint="eastAsia"/>
                <w:color w:val="000000" w:themeColor="text1"/>
                <w:sz w:val="18"/>
                <w:szCs w:val="18"/>
              </w:rPr>
              <w:t>-0.043</w:t>
            </w:r>
          </w:p>
        </w:tc>
        <w:tc>
          <w:tcPr>
            <w:tcW w:w="1008" w:type="dxa"/>
            <w:tcBorders>
              <w:top w:val="nil"/>
              <w:bottom w:val="nil"/>
            </w:tcBorders>
            <w:vAlign w:val="center"/>
          </w:tcPr>
          <w:p w14:paraId="6E39E705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rFonts w:hint="eastAsia"/>
                <w:color w:val="000000" w:themeColor="text1"/>
                <w:sz w:val="18"/>
                <w:szCs w:val="18"/>
              </w:rPr>
              <w:t>0.758</w:t>
            </w:r>
          </w:p>
        </w:tc>
        <w:tc>
          <w:tcPr>
            <w:tcW w:w="917" w:type="dxa"/>
            <w:tcBorders>
              <w:top w:val="nil"/>
              <w:bottom w:val="nil"/>
            </w:tcBorders>
            <w:vAlign w:val="center"/>
          </w:tcPr>
          <w:p w14:paraId="3E60AFE4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rFonts w:hint="eastAsia"/>
                <w:color w:val="000000" w:themeColor="text1"/>
                <w:sz w:val="18"/>
                <w:szCs w:val="18"/>
              </w:rPr>
              <w:t>-0.106</w:t>
            </w:r>
          </w:p>
        </w:tc>
        <w:tc>
          <w:tcPr>
            <w:tcW w:w="1133" w:type="dxa"/>
            <w:tcBorders>
              <w:top w:val="nil"/>
              <w:bottom w:val="nil"/>
            </w:tcBorders>
            <w:vAlign w:val="center"/>
          </w:tcPr>
          <w:p w14:paraId="1E488816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rFonts w:hint="eastAsia"/>
                <w:color w:val="000000" w:themeColor="text1"/>
                <w:sz w:val="18"/>
                <w:szCs w:val="18"/>
              </w:rPr>
              <w:t>0.449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5F9967B1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rFonts w:hint="eastAsia"/>
                <w:color w:val="000000" w:themeColor="text1"/>
                <w:sz w:val="18"/>
                <w:szCs w:val="18"/>
              </w:rPr>
              <w:t>0.006</w:t>
            </w:r>
          </w:p>
        </w:tc>
        <w:tc>
          <w:tcPr>
            <w:tcW w:w="1033" w:type="dxa"/>
            <w:tcBorders>
              <w:top w:val="nil"/>
              <w:bottom w:val="nil"/>
            </w:tcBorders>
            <w:vAlign w:val="center"/>
          </w:tcPr>
          <w:p w14:paraId="1B2BD7E1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rFonts w:hint="eastAsia"/>
                <w:color w:val="000000" w:themeColor="text1"/>
                <w:sz w:val="18"/>
                <w:szCs w:val="18"/>
              </w:rPr>
              <w:t>0.968</w:t>
            </w:r>
          </w:p>
        </w:tc>
      </w:tr>
      <w:tr w:rsidR="005C2AE6" w:rsidRPr="008447A0" w14:paraId="201AB123" w14:textId="77777777" w:rsidTr="00412A43">
        <w:tc>
          <w:tcPr>
            <w:tcW w:w="2259" w:type="dxa"/>
            <w:tcBorders>
              <w:top w:val="nil"/>
              <w:bottom w:val="nil"/>
            </w:tcBorders>
            <w:vAlign w:val="center"/>
          </w:tcPr>
          <w:p w14:paraId="7ECEF18C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rFonts w:hint="eastAsia"/>
                <w:color w:val="000000" w:themeColor="text1"/>
                <w:sz w:val="22"/>
                <w:szCs w:val="22"/>
                <w:vertAlign w:val="superscript"/>
              </w:rPr>
              <w:t>b</w:t>
            </w:r>
            <w:r w:rsidRPr="008447A0">
              <w:rPr>
                <w:color w:val="000000" w:themeColor="text1"/>
                <w:sz w:val="18"/>
                <w:szCs w:val="18"/>
              </w:rPr>
              <w:t>Re</w:t>
            </w:r>
            <w:r w:rsidRPr="008447A0">
              <w:rPr>
                <w:rFonts w:hint="eastAsia"/>
                <w:color w:val="000000" w:themeColor="text1"/>
                <w:sz w:val="18"/>
                <w:szCs w:val="18"/>
              </w:rPr>
              <w:t>H</w:t>
            </w:r>
            <w:r w:rsidRPr="008447A0">
              <w:rPr>
                <w:color w:val="000000" w:themeColor="text1"/>
                <w:sz w:val="18"/>
                <w:szCs w:val="18"/>
              </w:rPr>
              <w:t>o of left pITC</w:t>
            </w:r>
          </w:p>
        </w:tc>
        <w:tc>
          <w:tcPr>
            <w:tcW w:w="975" w:type="dxa"/>
            <w:tcBorders>
              <w:top w:val="nil"/>
              <w:bottom w:val="nil"/>
            </w:tcBorders>
            <w:vAlign w:val="center"/>
          </w:tcPr>
          <w:p w14:paraId="641595D9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rFonts w:hint="eastAsia"/>
                <w:color w:val="000000" w:themeColor="text1"/>
                <w:sz w:val="18"/>
                <w:szCs w:val="18"/>
              </w:rPr>
              <w:t>-0.132</w:t>
            </w:r>
          </w:p>
        </w:tc>
        <w:tc>
          <w:tcPr>
            <w:tcW w:w="1008" w:type="dxa"/>
            <w:tcBorders>
              <w:top w:val="nil"/>
              <w:bottom w:val="nil"/>
            </w:tcBorders>
            <w:vAlign w:val="center"/>
          </w:tcPr>
          <w:p w14:paraId="2B2287C4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rFonts w:hint="eastAsia"/>
                <w:color w:val="000000" w:themeColor="text1"/>
                <w:sz w:val="18"/>
                <w:szCs w:val="18"/>
              </w:rPr>
              <w:t>0.345</w:t>
            </w:r>
          </w:p>
        </w:tc>
        <w:tc>
          <w:tcPr>
            <w:tcW w:w="917" w:type="dxa"/>
            <w:tcBorders>
              <w:top w:val="nil"/>
              <w:bottom w:val="nil"/>
            </w:tcBorders>
            <w:vAlign w:val="center"/>
          </w:tcPr>
          <w:p w14:paraId="66BF2D30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rFonts w:hint="eastAsia"/>
                <w:color w:val="000000" w:themeColor="text1"/>
                <w:sz w:val="18"/>
                <w:szCs w:val="18"/>
              </w:rPr>
              <w:t>0.038</w:t>
            </w:r>
          </w:p>
        </w:tc>
        <w:tc>
          <w:tcPr>
            <w:tcW w:w="1133" w:type="dxa"/>
            <w:tcBorders>
              <w:top w:val="nil"/>
              <w:bottom w:val="nil"/>
            </w:tcBorders>
            <w:vAlign w:val="center"/>
          </w:tcPr>
          <w:p w14:paraId="4F35731D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rFonts w:hint="eastAsia"/>
                <w:color w:val="000000" w:themeColor="text1"/>
                <w:sz w:val="18"/>
                <w:szCs w:val="18"/>
              </w:rPr>
              <w:t>0.785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508DEFDC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rFonts w:hint="eastAsia"/>
                <w:color w:val="000000" w:themeColor="text1"/>
                <w:sz w:val="18"/>
                <w:szCs w:val="18"/>
              </w:rPr>
              <w:t>-0.087</w:t>
            </w:r>
          </w:p>
        </w:tc>
        <w:tc>
          <w:tcPr>
            <w:tcW w:w="1033" w:type="dxa"/>
            <w:tcBorders>
              <w:top w:val="nil"/>
              <w:bottom w:val="nil"/>
            </w:tcBorders>
            <w:vAlign w:val="center"/>
          </w:tcPr>
          <w:p w14:paraId="703799F8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rFonts w:hint="eastAsia"/>
                <w:color w:val="000000" w:themeColor="text1"/>
                <w:sz w:val="18"/>
                <w:szCs w:val="18"/>
              </w:rPr>
              <w:t>0.537</w:t>
            </w:r>
          </w:p>
        </w:tc>
      </w:tr>
      <w:tr w:rsidR="005C2AE6" w:rsidRPr="008447A0" w14:paraId="7F3AE546" w14:textId="77777777" w:rsidTr="00412A43">
        <w:tc>
          <w:tcPr>
            <w:tcW w:w="2259" w:type="dxa"/>
            <w:tcBorders>
              <w:top w:val="nil"/>
              <w:bottom w:val="nil"/>
            </w:tcBorders>
            <w:vAlign w:val="center"/>
          </w:tcPr>
          <w:p w14:paraId="3B0A50E0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b/>
                <w:color w:val="000000" w:themeColor="text1"/>
                <w:sz w:val="18"/>
                <w:szCs w:val="18"/>
              </w:rPr>
              <w:t>Left aITC rsFC</w:t>
            </w:r>
            <w:r w:rsidRPr="008447A0">
              <w:rPr>
                <w:rFonts w:hint="eastAsia"/>
                <w:color w:val="000000" w:themeColor="text1"/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975" w:type="dxa"/>
            <w:tcBorders>
              <w:top w:val="nil"/>
              <w:bottom w:val="nil"/>
            </w:tcBorders>
            <w:vAlign w:val="center"/>
          </w:tcPr>
          <w:p w14:paraId="15CD6DF4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008" w:type="dxa"/>
            <w:tcBorders>
              <w:top w:val="nil"/>
              <w:bottom w:val="nil"/>
            </w:tcBorders>
            <w:vAlign w:val="center"/>
          </w:tcPr>
          <w:p w14:paraId="04FFF58C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17" w:type="dxa"/>
            <w:tcBorders>
              <w:top w:val="nil"/>
              <w:bottom w:val="nil"/>
            </w:tcBorders>
            <w:vAlign w:val="center"/>
          </w:tcPr>
          <w:p w14:paraId="6A7BAF68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  <w:vAlign w:val="center"/>
          </w:tcPr>
          <w:p w14:paraId="260527C9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2ED41F4A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033" w:type="dxa"/>
            <w:tcBorders>
              <w:top w:val="nil"/>
              <w:bottom w:val="nil"/>
            </w:tcBorders>
            <w:vAlign w:val="center"/>
          </w:tcPr>
          <w:p w14:paraId="1AC1287C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5C2AE6" w:rsidRPr="008447A0" w14:paraId="2574AF0E" w14:textId="77777777" w:rsidTr="00412A43">
        <w:tc>
          <w:tcPr>
            <w:tcW w:w="2259" w:type="dxa"/>
            <w:tcBorders>
              <w:top w:val="nil"/>
              <w:bottom w:val="nil"/>
            </w:tcBorders>
            <w:vAlign w:val="center"/>
          </w:tcPr>
          <w:p w14:paraId="117AB288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rFonts w:hint="eastAsia"/>
                <w:color w:val="000000" w:themeColor="text1"/>
                <w:sz w:val="18"/>
                <w:szCs w:val="18"/>
              </w:rPr>
              <w:t>r</w:t>
            </w:r>
            <w:r w:rsidRPr="008447A0">
              <w:rPr>
                <w:color w:val="000000" w:themeColor="text1"/>
                <w:sz w:val="18"/>
                <w:szCs w:val="18"/>
              </w:rPr>
              <w:t>ight angular gyrus</w:t>
            </w:r>
          </w:p>
        </w:tc>
        <w:tc>
          <w:tcPr>
            <w:tcW w:w="975" w:type="dxa"/>
            <w:tcBorders>
              <w:top w:val="nil"/>
              <w:bottom w:val="nil"/>
            </w:tcBorders>
            <w:vAlign w:val="center"/>
          </w:tcPr>
          <w:p w14:paraId="2B1FC7E0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rFonts w:hint="eastAsia"/>
                <w:color w:val="000000" w:themeColor="text1"/>
                <w:sz w:val="18"/>
                <w:szCs w:val="18"/>
              </w:rPr>
              <w:t>-0.139</w:t>
            </w:r>
          </w:p>
        </w:tc>
        <w:tc>
          <w:tcPr>
            <w:tcW w:w="1008" w:type="dxa"/>
            <w:tcBorders>
              <w:top w:val="nil"/>
              <w:bottom w:val="nil"/>
            </w:tcBorders>
            <w:vAlign w:val="center"/>
          </w:tcPr>
          <w:p w14:paraId="7D43A640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rFonts w:hint="eastAsia"/>
                <w:color w:val="000000" w:themeColor="text1"/>
                <w:sz w:val="18"/>
                <w:szCs w:val="18"/>
              </w:rPr>
              <w:t>0.321</w:t>
            </w:r>
          </w:p>
        </w:tc>
        <w:tc>
          <w:tcPr>
            <w:tcW w:w="917" w:type="dxa"/>
            <w:tcBorders>
              <w:top w:val="nil"/>
              <w:bottom w:val="nil"/>
            </w:tcBorders>
            <w:vAlign w:val="center"/>
          </w:tcPr>
          <w:p w14:paraId="274DE933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rFonts w:hint="eastAsia"/>
                <w:color w:val="000000" w:themeColor="text1"/>
                <w:sz w:val="18"/>
                <w:szCs w:val="18"/>
              </w:rPr>
              <w:t>0.05</w:t>
            </w:r>
          </w:p>
        </w:tc>
        <w:tc>
          <w:tcPr>
            <w:tcW w:w="1133" w:type="dxa"/>
            <w:tcBorders>
              <w:top w:val="nil"/>
              <w:bottom w:val="nil"/>
            </w:tcBorders>
            <w:vAlign w:val="center"/>
          </w:tcPr>
          <w:p w14:paraId="72F81E6B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rFonts w:hint="eastAsia"/>
                <w:color w:val="000000" w:themeColor="text1"/>
                <w:sz w:val="18"/>
                <w:szCs w:val="18"/>
              </w:rPr>
              <w:t>0.724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33B3E75B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rFonts w:hint="eastAsia"/>
                <w:color w:val="000000" w:themeColor="text1"/>
                <w:sz w:val="18"/>
                <w:szCs w:val="18"/>
              </w:rPr>
              <w:t>-0.062</w:t>
            </w:r>
          </w:p>
        </w:tc>
        <w:tc>
          <w:tcPr>
            <w:tcW w:w="1033" w:type="dxa"/>
            <w:tcBorders>
              <w:top w:val="nil"/>
              <w:bottom w:val="nil"/>
            </w:tcBorders>
            <w:vAlign w:val="center"/>
          </w:tcPr>
          <w:p w14:paraId="17BF6AE6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rFonts w:hint="eastAsia"/>
                <w:color w:val="000000" w:themeColor="text1"/>
                <w:sz w:val="18"/>
                <w:szCs w:val="18"/>
              </w:rPr>
              <w:t>0.658</w:t>
            </w:r>
          </w:p>
        </w:tc>
      </w:tr>
      <w:tr w:rsidR="005C2AE6" w:rsidRPr="008447A0" w14:paraId="1FFE9300" w14:textId="77777777" w:rsidTr="00412A43">
        <w:tc>
          <w:tcPr>
            <w:tcW w:w="2259" w:type="dxa"/>
            <w:tcBorders>
              <w:top w:val="nil"/>
              <w:bottom w:val="nil"/>
            </w:tcBorders>
            <w:vAlign w:val="center"/>
          </w:tcPr>
          <w:p w14:paraId="086C7A17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color w:val="000000" w:themeColor="text1"/>
                <w:sz w:val="18"/>
                <w:szCs w:val="18"/>
              </w:rPr>
              <w:t>Left mid</w:t>
            </w:r>
            <w:r w:rsidRPr="008447A0">
              <w:rPr>
                <w:rFonts w:hint="eastAsia"/>
                <w:color w:val="000000" w:themeColor="text1"/>
                <w:sz w:val="18"/>
                <w:szCs w:val="18"/>
              </w:rPr>
              <w:t>dle</w:t>
            </w:r>
            <w:r w:rsidRPr="008447A0">
              <w:rPr>
                <w:color w:val="000000" w:themeColor="text1"/>
                <w:sz w:val="18"/>
                <w:szCs w:val="18"/>
              </w:rPr>
              <w:t xml:space="preserve"> frontal cortex</w:t>
            </w:r>
          </w:p>
        </w:tc>
        <w:tc>
          <w:tcPr>
            <w:tcW w:w="975" w:type="dxa"/>
            <w:tcBorders>
              <w:top w:val="nil"/>
              <w:bottom w:val="nil"/>
            </w:tcBorders>
            <w:vAlign w:val="center"/>
          </w:tcPr>
          <w:p w14:paraId="44947B34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rFonts w:hint="eastAsia"/>
                <w:color w:val="000000" w:themeColor="text1"/>
                <w:sz w:val="18"/>
                <w:szCs w:val="18"/>
              </w:rPr>
              <w:t>-0.259</w:t>
            </w:r>
          </w:p>
        </w:tc>
        <w:tc>
          <w:tcPr>
            <w:tcW w:w="1008" w:type="dxa"/>
            <w:tcBorders>
              <w:top w:val="nil"/>
              <w:bottom w:val="nil"/>
            </w:tcBorders>
            <w:vAlign w:val="center"/>
          </w:tcPr>
          <w:p w14:paraId="0F47523C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rFonts w:hint="eastAsia"/>
                <w:color w:val="000000" w:themeColor="text1"/>
                <w:sz w:val="18"/>
                <w:szCs w:val="18"/>
              </w:rPr>
              <w:t>0.061</w:t>
            </w:r>
          </w:p>
        </w:tc>
        <w:tc>
          <w:tcPr>
            <w:tcW w:w="917" w:type="dxa"/>
            <w:tcBorders>
              <w:top w:val="nil"/>
              <w:bottom w:val="nil"/>
            </w:tcBorders>
            <w:vAlign w:val="center"/>
          </w:tcPr>
          <w:p w14:paraId="3E2A8131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rFonts w:hint="eastAsia"/>
                <w:color w:val="000000" w:themeColor="text1"/>
                <w:sz w:val="18"/>
                <w:szCs w:val="18"/>
              </w:rPr>
              <w:t>0.016</w:t>
            </w:r>
          </w:p>
        </w:tc>
        <w:tc>
          <w:tcPr>
            <w:tcW w:w="1133" w:type="dxa"/>
            <w:tcBorders>
              <w:top w:val="nil"/>
              <w:bottom w:val="nil"/>
            </w:tcBorders>
            <w:vAlign w:val="center"/>
          </w:tcPr>
          <w:p w14:paraId="7FAB13E2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rFonts w:hint="eastAsia"/>
                <w:color w:val="000000" w:themeColor="text1"/>
                <w:sz w:val="18"/>
                <w:szCs w:val="18"/>
              </w:rPr>
              <w:t>0.91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6126B232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rFonts w:hint="eastAsia"/>
                <w:color w:val="000000" w:themeColor="text1"/>
                <w:sz w:val="18"/>
                <w:szCs w:val="18"/>
              </w:rPr>
              <w:t>-0.184</w:t>
            </w:r>
          </w:p>
        </w:tc>
        <w:tc>
          <w:tcPr>
            <w:tcW w:w="1033" w:type="dxa"/>
            <w:tcBorders>
              <w:top w:val="nil"/>
              <w:bottom w:val="nil"/>
            </w:tcBorders>
            <w:vAlign w:val="center"/>
          </w:tcPr>
          <w:p w14:paraId="248F13FD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rFonts w:hint="eastAsia"/>
                <w:color w:val="000000" w:themeColor="text1"/>
                <w:sz w:val="18"/>
                <w:szCs w:val="18"/>
              </w:rPr>
              <w:t>0.186</w:t>
            </w:r>
          </w:p>
        </w:tc>
      </w:tr>
      <w:tr w:rsidR="005C2AE6" w:rsidRPr="008447A0" w14:paraId="5EFD9943" w14:textId="77777777" w:rsidTr="00412A43">
        <w:tc>
          <w:tcPr>
            <w:tcW w:w="2259" w:type="dxa"/>
            <w:tcBorders>
              <w:top w:val="nil"/>
            </w:tcBorders>
            <w:vAlign w:val="center"/>
          </w:tcPr>
          <w:p w14:paraId="045A226C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color w:val="000000" w:themeColor="text1"/>
                <w:sz w:val="18"/>
                <w:szCs w:val="18"/>
              </w:rPr>
              <w:t>right superior frontal cortex</w:t>
            </w:r>
          </w:p>
        </w:tc>
        <w:tc>
          <w:tcPr>
            <w:tcW w:w="975" w:type="dxa"/>
            <w:tcBorders>
              <w:top w:val="nil"/>
            </w:tcBorders>
            <w:vAlign w:val="center"/>
          </w:tcPr>
          <w:p w14:paraId="10E73E49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rFonts w:hint="eastAsia"/>
                <w:color w:val="000000" w:themeColor="text1"/>
                <w:sz w:val="18"/>
                <w:szCs w:val="18"/>
              </w:rPr>
              <w:t>0.026</w:t>
            </w:r>
          </w:p>
        </w:tc>
        <w:tc>
          <w:tcPr>
            <w:tcW w:w="1008" w:type="dxa"/>
            <w:tcBorders>
              <w:top w:val="nil"/>
            </w:tcBorders>
            <w:vAlign w:val="center"/>
          </w:tcPr>
          <w:p w14:paraId="124D4114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rFonts w:hint="eastAsia"/>
                <w:color w:val="000000" w:themeColor="text1"/>
                <w:sz w:val="18"/>
                <w:szCs w:val="18"/>
              </w:rPr>
              <w:t>0.856</w:t>
            </w:r>
          </w:p>
        </w:tc>
        <w:tc>
          <w:tcPr>
            <w:tcW w:w="917" w:type="dxa"/>
            <w:tcBorders>
              <w:top w:val="nil"/>
            </w:tcBorders>
            <w:vAlign w:val="center"/>
          </w:tcPr>
          <w:p w14:paraId="38C6457A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rFonts w:hint="eastAsia"/>
                <w:color w:val="000000" w:themeColor="text1"/>
                <w:sz w:val="18"/>
                <w:szCs w:val="18"/>
              </w:rPr>
              <w:t>-0.156</w:t>
            </w:r>
          </w:p>
        </w:tc>
        <w:tc>
          <w:tcPr>
            <w:tcW w:w="1133" w:type="dxa"/>
            <w:tcBorders>
              <w:top w:val="nil"/>
            </w:tcBorders>
            <w:vAlign w:val="center"/>
          </w:tcPr>
          <w:p w14:paraId="29642F6A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rFonts w:hint="eastAsia"/>
                <w:color w:val="000000" w:themeColor="text1"/>
                <w:sz w:val="18"/>
                <w:szCs w:val="18"/>
              </w:rPr>
              <w:t>0.266</w:t>
            </w:r>
          </w:p>
        </w:tc>
        <w:tc>
          <w:tcPr>
            <w:tcW w:w="992" w:type="dxa"/>
            <w:tcBorders>
              <w:top w:val="nil"/>
            </w:tcBorders>
            <w:vAlign w:val="center"/>
          </w:tcPr>
          <w:p w14:paraId="037BC409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rFonts w:hint="eastAsia"/>
                <w:color w:val="000000" w:themeColor="text1"/>
                <w:sz w:val="18"/>
                <w:szCs w:val="18"/>
              </w:rPr>
              <w:t>-0.099</w:t>
            </w:r>
          </w:p>
        </w:tc>
        <w:tc>
          <w:tcPr>
            <w:tcW w:w="1033" w:type="dxa"/>
            <w:tcBorders>
              <w:top w:val="nil"/>
            </w:tcBorders>
            <w:vAlign w:val="center"/>
          </w:tcPr>
          <w:p w14:paraId="3E1C4E88" w14:textId="77777777" w:rsidR="005C2AE6" w:rsidRPr="008447A0" w:rsidRDefault="005C2AE6" w:rsidP="00412A4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447A0">
              <w:rPr>
                <w:rFonts w:hint="eastAsia"/>
                <w:color w:val="000000" w:themeColor="text1"/>
                <w:sz w:val="18"/>
                <w:szCs w:val="18"/>
              </w:rPr>
              <w:t>0.483</w:t>
            </w:r>
          </w:p>
        </w:tc>
      </w:tr>
    </w:tbl>
    <w:p w14:paraId="41ED81B9" w14:textId="77777777" w:rsidR="005C2AE6" w:rsidRPr="008447A0" w:rsidRDefault="005C2AE6" w:rsidP="005C2AE6">
      <w:pPr>
        <w:snapToGrid w:val="0"/>
        <w:rPr>
          <w:rFonts w:ascii="Times New Roman" w:hAnsi="Times New Roman" w:cs="Calibri"/>
          <w:color w:val="000000" w:themeColor="text1"/>
          <w:sz w:val="22"/>
          <w:szCs w:val="22"/>
        </w:rPr>
      </w:pPr>
      <w:r w:rsidRPr="008447A0">
        <w:rPr>
          <w:rFonts w:ascii="Times New Roman" w:hAnsi="Times New Roman" w:hint="eastAsia"/>
          <w:color w:val="000000" w:themeColor="text1"/>
          <w:sz w:val="22"/>
          <w:szCs w:val="22"/>
          <w:vertAlign w:val="superscript"/>
        </w:rPr>
        <w:t>a</w:t>
      </w:r>
      <w:r w:rsidRPr="008447A0">
        <w:rPr>
          <w:rFonts w:ascii="Times New Roman" w:hAnsi="Times New Roman"/>
          <w:color w:val="000000" w:themeColor="text1"/>
          <w:sz w:val="22"/>
          <w:szCs w:val="22"/>
        </w:rPr>
        <w:t xml:space="preserve">Adjusted for age, sex, </w:t>
      </w:r>
      <w:r w:rsidRPr="008447A0">
        <w:rPr>
          <w:rFonts w:ascii="Times New Roman" w:hAnsi="Times New Roman" w:hint="eastAsia"/>
          <w:color w:val="000000" w:themeColor="text1"/>
          <w:sz w:val="22"/>
          <w:szCs w:val="22"/>
        </w:rPr>
        <w:t>education</w:t>
      </w:r>
      <w:r w:rsidRPr="008447A0">
        <w:rPr>
          <w:rFonts w:ascii="Times New Roman" w:hAnsi="Times New Roman"/>
          <w:color w:val="000000" w:themeColor="text1"/>
          <w:sz w:val="22"/>
          <w:szCs w:val="22"/>
        </w:rPr>
        <w:t>, and</w:t>
      </w:r>
      <w:r w:rsidRPr="008447A0">
        <w:rPr>
          <w:rFonts w:ascii="Times New Roman" w:hAnsi="Times New Roman" w:hint="eastAsia"/>
          <w:color w:val="000000" w:themeColor="text1"/>
          <w:sz w:val="22"/>
          <w:szCs w:val="22"/>
        </w:rPr>
        <w:t xml:space="preserve"> TIV.</w:t>
      </w:r>
    </w:p>
    <w:p w14:paraId="4F965CA4" w14:textId="77777777" w:rsidR="005C2AE6" w:rsidRPr="008447A0" w:rsidRDefault="005C2AE6" w:rsidP="005C2AE6">
      <w:pPr>
        <w:snapToGrid w:val="0"/>
        <w:rPr>
          <w:rFonts w:ascii="Times New Roman" w:hAnsi="Times New Roman"/>
          <w:color w:val="000000" w:themeColor="text1"/>
          <w:sz w:val="22"/>
          <w:szCs w:val="22"/>
        </w:rPr>
      </w:pPr>
      <w:r w:rsidRPr="008447A0">
        <w:rPr>
          <w:rFonts w:ascii="Times New Roman" w:hAnsi="Times New Roman" w:hint="eastAsia"/>
          <w:color w:val="000000" w:themeColor="text1"/>
          <w:sz w:val="22"/>
          <w:szCs w:val="22"/>
          <w:vertAlign w:val="superscript"/>
        </w:rPr>
        <w:t>b</w:t>
      </w:r>
      <w:r w:rsidRPr="008447A0">
        <w:rPr>
          <w:rFonts w:ascii="Times New Roman" w:hAnsi="Times New Roman"/>
          <w:color w:val="000000" w:themeColor="text1"/>
          <w:sz w:val="22"/>
          <w:szCs w:val="22"/>
        </w:rPr>
        <w:t xml:space="preserve">Adjusted for age, sex, </w:t>
      </w:r>
      <w:r w:rsidRPr="008447A0">
        <w:rPr>
          <w:rFonts w:ascii="Times New Roman" w:hAnsi="Times New Roman" w:hint="eastAsia"/>
          <w:color w:val="000000" w:themeColor="text1"/>
          <w:sz w:val="22"/>
          <w:szCs w:val="22"/>
        </w:rPr>
        <w:t>education</w:t>
      </w:r>
      <w:r w:rsidRPr="008447A0">
        <w:rPr>
          <w:rFonts w:ascii="Times New Roman" w:hAnsi="Times New Roman"/>
          <w:color w:val="000000" w:themeColor="text1"/>
          <w:sz w:val="22"/>
          <w:szCs w:val="22"/>
        </w:rPr>
        <w:t>, and head motion parameters</w:t>
      </w:r>
      <w:r w:rsidRPr="008447A0">
        <w:rPr>
          <w:rFonts w:ascii="Times New Roman" w:hAnsi="Times New Roman" w:hint="eastAsia"/>
          <w:color w:val="000000" w:themeColor="text1"/>
          <w:sz w:val="22"/>
          <w:szCs w:val="22"/>
        </w:rPr>
        <w:t>.</w:t>
      </w:r>
    </w:p>
    <w:p w14:paraId="566CCF87" w14:textId="77777777" w:rsidR="005C2AE6" w:rsidRPr="008447A0" w:rsidRDefault="005C2AE6" w:rsidP="005C2AE6">
      <w:pPr>
        <w:snapToGrid w:val="0"/>
        <w:rPr>
          <w:rFonts w:ascii="Times New Roman" w:hAnsi="Times New Roman"/>
          <w:color w:val="000000" w:themeColor="text1"/>
          <w:sz w:val="22"/>
        </w:rPr>
      </w:pPr>
      <w:r w:rsidRPr="008447A0">
        <w:rPr>
          <w:rFonts w:ascii="Times New Roman" w:hAnsi="Times New Roman"/>
          <w:i/>
          <w:color w:val="000000" w:themeColor="text1"/>
          <w:sz w:val="22"/>
        </w:rPr>
        <w:t>P</w:t>
      </w:r>
      <w:r w:rsidRPr="008447A0">
        <w:rPr>
          <w:rFonts w:ascii="SimSun" w:hAnsi="SimSun" w:hint="eastAsia"/>
          <w:color w:val="000000" w:themeColor="text1"/>
          <w:sz w:val="22"/>
        </w:rPr>
        <w:t xml:space="preserve">＜ </w:t>
      </w:r>
      <w:r w:rsidRPr="008447A0">
        <w:rPr>
          <w:rFonts w:ascii="Times New Roman" w:hAnsi="Times New Roman" w:hint="eastAsia"/>
          <w:color w:val="000000" w:themeColor="text1"/>
          <w:sz w:val="22"/>
        </w:rPr>
        <w:t xml:space="preserve">0.05*, </w:t>
      </w:r>
      <w:r w:rsidRPr="008447A0">
        <w:rPr>
          <w:rFonts w:ascii="Times New Roman" w:hAnsi="Times New Roman" w:hint="eastAsia"/>
          <w:i/>
          <w:color w:val="000000" w:themeColor="text1"/>
          <w:sz w:val="22"/>
        </w:rPr>
        <w:t>P</w:t>
      </w:r>
      <w:r w:rsidRPr="008447A0">
        <w:rPr>
          <w:rFonts w:ascii="SimSun" w:hAnsi="SimSun" w:hint="eastAsia"/>
          <w:color w:val="000000" w:themeColor="text1"/>
          <w:sz w:val="22"/>
        </w:rPr>
        <w:t xml:space="preserve">＜ </w:t>
      </w:r>
      <w:r w:rsidRPr="008447A0">
        <w:rPr>
          <w:rFonts w:ascii="Times New Roman" w:hAnsi="Times New Roman" w:hint="eastAsia"/>
          <w:color w:val="000000" w:themeColor="text1"/>
          <w:sz w:val="22"/>
        </w:rPr>
        <w:t xml:space="preserve">0.01**, </w:t>
      </w:r>
      <w:r w:rsidRPr="008447A0">
        <w:rPr>
          <w:rFonts w:ascii="Times New Roman" w:hAnsi="Times New Roman" w:hint="eastAsia"/>
          <w:i/>
          <w:color w:val="000000" w:themeColor="text1"/>
          <w:sz w:val="22"/>
        </w:rPr>
        <w:t>P</w:t>
      </w:r>
      <w:r w:rsidRPr="008447A0">
        <w:rPr>
          <w:rFonts w:ascii="SimSun" w:hAnsi="SimSun" w:hint="eastAsia"/>
          <w:color w:val="000000" w:themeColor="text1"/>
          <w:sz w:val="22"/>
        </w:rPr>
        <w:t xml:space="preserve">＜ </w:t>
      </w:r>
      <w:r w:rsidRPr="008447A0">
        <w:rPr>
          <w:rFonts w:ascii="Times New Roman" w:hAnsi="Times New Roman" w:hint="eastAsia"/>
          <w:color w:val="000000" w:themeColor="text1"/>
          <w:sz w:val="22"/>
        </w:rPr>
        <w:t>0.001***</w:t>
      </w:r>
    </w:p>
    <w:p w14:paraId="2762409E" w14:textId="77777777" w:rsidR="005C2AE6" w:rsidRPr="008447A0" w:rsidRDefault="005C2AE6" w:rsidP="005C2AE6">
      <w:pPr>
        <w:snapToGrid w:val="0"/>
        <w:rPr>
          <w:rFonts w:ascii="Times New Roman" w:hAnsi="Times New Roman"/>
          <w:color w:val="000000" w:themeColor="text1"/>
          <w:sz w:val="22"/>
          <w:szCs w:val="22"/>
        </w:rPr>
      </w:pPr>
      <w:r w:rsidRPr="008447A0">
        <w:rPr>
          <w:rFonts w:ascii="Times New Roman" w:hAnsi="Times New Roman" w:hint="eastAsia"/>
          <w:color w:val="000000" w:themeColor="text1"/>
          <w:sz w:val="22"/>
          <w:szCs w:val="22"/>
        </w:rPr>
        <w:t xml:space="preserve">Abbreviations: aMCI, amnestic mild cognitive impairment; GMV, gray matter volume; ReHo, Regional Homogeneity; rsFC, resting-state functional connectivity; dACC, dorsal anterior cingulate cortex; aITC, anterior part of inferior temporal cortex; pITC, posterior part of inferior temporal cortex; TIV, total </w:t>
      </w:r>
      <w:r w:rsidRPr="008447A0">
        <w:rPr>
          <w:rFonts w:ascii="Times New Roman" w:hAnsi="Times New Roman"/>
          <w:color w:val="000000" w:themeColor="text1"/>
          <w:sz w:val="22"/>
          <w:szCs w:val="22"/>
        </w:rPr>
        <w:t>intracranial volume</w:t>
      </w:r>
      <w:r w:rsidRPr="008447A0">
        <w:rPr>
          <w:rFonts w:ascii="Times New Roman" w:hAnsi="Times New Roman" w:hint="eastAsia"/>
          <w:color w:val="000000" w:themeColor="text1"/>
          <w:sz w:val="22"/>
          <w:szCs w:val="22"/>
        </w:rPr>
        <w:t>; ROI, region of interest.</w:t>
      </w:r>
    </w:p>
    <w:p w14:paraId="6E4139C1" w14:textId="77777777" w:rsidR="00A340D3" w:rsidRDefault="00A340D3"/>
    <w:sectPr w:rsidR="00A340D3" w:rsidSect="002B53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8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AE6"/>
    <w:rsid w:val="00114675"/>
    <w:rsid w:val="002B53FA"/>
    <w:rsid w:val="005C2AE6"/>
    <w:rsid w:val="00A340D3"/>
    <w:rsid w:val="00CB3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0B6497"/>
  <w15:chartTrackingRefBased/>
  <w15:docId w15:val="{F658F1D5-2C51-D248-AA36-DA525B536A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AE6"/>
    <w:pPr>
      <w:widowControl w:val="0"/>
      <w:jc w:val="both"/>
    </w:pPr>
    <w:rPr>
      <w:rFonts w:ascii="Calibri" w:eastAsia="SimSun" w:hAnsi="Calibri" w:cs="Times New Roman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qFormat/>
    <w:rsid w:val="005C2AE6"/>
    <w:rPr>
      <w:rFonts w:ascii="Times New Roman" w:eastAsia="SimSun" w:hAnsi="Times New Roman" w:cs="Times New Roman"/>
      <w:sz w:val="20"/>
      <w:szCs w:val="20"/>
      <w:lang w:eastAsia="zh-C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LineNumber">
    <w:name w:val="line number"/>
    <w:qFormat/>
    <w:rsid w:val="005C2AE6"/>
    <w:rPr>
      <w:rFonts w:ascii="Times New Roman" w:hAnsi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339</Words>
  <Characters>1937</Characters>
  <Application>Microsoft Office Word</Application>
  <DocSecurity>0</DocSecurity>
  <Lines>16</Lines>
  <Paragraphs>4</Paragraphs>
  <ScaleCrop>false</ScaleCrop>
  <Company/>
  <LinksUpToDate>false</LinksUpToDate>
  <CharactersWithSpaces>2272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2020-10-29T18:23:00Z</dcterms:created>
  <dcterms:modified xsi:type="dcterms:W3CDTF">2020-10-29T18:23:00Z</dcterms:modified>
</cp:coreProperties>
</file>