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69F" w:rsidRPr="008F7417" w:rsidRDefault="004F069F" w:rsidP="004F069F">
      <w:pPr>
        <w:spacing w:before="240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>Supplement Table</w:t>
      </w:r>
      <w:r w:rsidR="00EB3235" w:rsidRPr="008F7417">
        <w:rPr>
          <w:rFonts w:ascii="Times New Roman" w:hAnsi="Times New Roman" w:cs="Times New Roman"/>
          <w:szCs w:val="20"/>
        </w:rPr>
        <w:t xml:space="preserve"> 1</w:t>
      </w:r>
      <w:r w:rsidRPr="008F7417">
        <w:rPr>
          <w:rFonts w:ascii="Times New Roman" w:hAnsi="Times New Roman" w:cs="Times New Roman"/>
          <w:szCs w:val="20"/>
        </w:rPr>
        <w:t>. Centers for Disease control and prevention TSS Diagnostic Criteria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629"/>
        <w:gridCol w:w="2826"/>
        <w:gridCol w:w="3672"/>
      </w:tblGrid>
      <w:tr w:rsidR="004F069F" w:rsidRPr="008F7417" w:rsidTr="00EB3235">
        <w:tc>
          <w:tcPr>
            <w:tcW w:w="1560" w:type="dxa"/>
            <w:vMerge w:val="restart"/>
            <w:vAlign w:val="center"/>
          </w:tcPr>
          <w:p w:rsidR="004F069F" w:rsidRPr="008F7417" w:rsidRDefault="004F069F" w:rsidP="003A35C1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TSS type</w:t>
            </w:r>
          </w:p>
        </w:tc>
        <w:tc>
          <w:tcPr>
            <w:tcW w:w="8455" w:type="dxa"/>
            <w:gridSpan w:val="2"/>
          </w:tcPr>
          <w:p w:rsidR="004F069F" w:rsidRPr="008F7417" w:rsidRDefault="004F069F" w:rsidP="003A35C1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Criteria</w:t>
            </w:r>
          </w:p>
        </w:tc>
        <w:tc>
          <w:tcPr>
            <w:tcW w:w="3672" w:type="dxa"/>
            <w:vMerge w:val="restart"/>
            <w:vAlign w:val="center"/>
          </w:tcPr>
          <w:p w:rsidR="004F069F" w:rsidRPr="008F7417" w:rsidRDefault="004F069F" w:rsidP="003A35C1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Classification</w:t>
            </w:r>
          </w:p>
        </w:tc>
      </w:tr>
      <w:tr w:rsidR="004F069F" w:rsidRPr="008F7417" w:rsidTr="00EB3235">
        <w:tc>
          <w:tcPr>
            <w:tcW w:w="1560" w:type="dxa"/>
            <w:vMerge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9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Clinical Criteria</w:t>
            </w:r>
          </w:p>
        </w:tc>
        <w:tc>
          <w:tcPr>
            <w:tcW w:w="2826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Laboratory criteria </w:t>
            </w:r>
          </w:p>
        </w:tc>
        <w:tc>
          <w:tcPr>
            <w:tcW w:w="3672" w:type="dxa"/>
            <w:vMerge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F069F" w:rsidRPr="008F7417" w:rsidTr="00EB3235">
        <w:tc>
          <w:tcPr>
            <w:tcW w:w="1560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Staphylococcal TSS</w:t>
            </w:r>
          </w:p>
        </w:tc>
        <w:tc>
          <w:tcPr>
            <w:tcW w:w="5629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Fever: &gt; 38.9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br w:type="column"/>
              <w:t>C or 102.0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br w:type="column"/>
              <w:t>F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Rash with diffuse macular erythroderma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Desquamation 1–2 weeks after rash onset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Hypotension with SBP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≤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90mmHg (adults) </w:t>
            </w:r>
          </w:p>
          <w:p w:rsidR="004F069F" w:rsidRPr="008F7417" w:rsidRDefault="004F069F" w:rsidP="003A35C1">
            <w:pPr>
              <w:spacing w:before="240" w:line="360" w:lineRule="auto"/>
              <w:ind w:firstLineChars="50" w:firstLine="100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or 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≤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5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  <w:vertAlign w:val="superscript"/>
              </w:rPr>
              <w:t>th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percentile by age (&lt;16 years old)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- Multi-organ involvement (three or more systems): Gastrointestinal (vomiting/diarrhea),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Muscular (severe myalgias or creatine kinase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≥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2 times upper limit of normal),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Mucous membrane involvement,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Renal (BUN or Cr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≥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2 times upper limit of normal or urinary sediment with pyuria with no urinary tract infection),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Hepatic (total bilirubin, ALT or AST 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 xml:space="preserve">≥ 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2 times upper limit of 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lastRenderedPageBreak/>
              <w:t>normal)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Hematologic (platelets 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 xml:space="preserve">≤ 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100,000/mm3),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Neurologic (alteration in consciousness without focal neurologic signs when fever and hypotension are absent</w:t>
            </w:r>
          </w:p>
        </w:tc>
        <w:tc>
          <w:tcPr>
            <w:tcW w:w="2826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lastRenderedPageBreak/>
              <w:t>(These must be negative if obtained)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-Blood or cerebrospinal fluid cultures (blood cultures may be positive for Staphylococcus aureus)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Serologies for Rocky Mountain spotted fever, leptospirosis, or measles</w:t>
            </w:r>
          </w:p>
        </w:tc>
        <w:tc>
          <w:tcPr>
            <w:tcW w:w="3672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Probable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˃4 clinical criteria and laboratory criteria met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- Confirmed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5 clinical criteria and laboratory criteria met, including desquamation</w:t>
            </w:r>
          </w:p>
        </w:tc>
      </w:tr>
      <w:tr w:rsidR="004F069F" w:rsidRPr="008F7417" w:rsidTr="00EB3235">
        <w:tc>
          <w:tcPr>
            <w:tcW w:w="1560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Streptococcal TSS</w:t>
            </w:r>
          </w:p>
        </w:tc>
        <w:tc>
          <w:tcPr>
            <w:tcW w:w="5629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 Hypotension with SBP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≤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90 mm Hg (adults) or 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≤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5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  <w:vertAlign w:val="superscript"/>
              </w:rPr>
              <w:t>th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percentile by age (&lt;16 years old)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- Multi-organ involvement (two or more systems): Gastrointestinal(vomiting/diarrhea),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Muscular (severe myalgias or creatine kinase 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≥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2 times upper limit of normal),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Mucous membrane involvement,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Renal (Cr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≥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2 mL/dL or Cr &gt; 2 times upper limit of normal, &gt; twofold elevation from patient baseline), Hepatic (total bilirubin, ALT, AST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≥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2 times upper limit of normal),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Hematologic (platelets</w:t>
            </w:r>
            <w:r w:rsidRPr="008F7417">
              <w:rPr>
                <w:rFonts w:ascii="Times New Roman" w:eastAsia="맑은 고딕" w:hAnsi="Times New Roman" w:cs="Times New Roman"/>
                <w:szCs w:val="20"/>
                <w:shd w:val="clear" w:color="auto" w:fill="FFFFFF"/>
              </w:rPr>
              <w:t>≤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100,000/mm3, disseminated intravascular coagulation, or &gt; twofold elevation from patient baseline),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Acute respiratory distress syndrome,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Skin (generalized erythematous macular rash that can desquamate), 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lastRenderedPageBreak/>
              <w:t>Soft tissue necrosis (gangrene, myositis, necrotizing fasciitis)</w:t>
            </w:r>
          </w:p>
        </w:tc>
        <w:tc>
          <w:tcPr>
            <w:tcW w:w="2826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lastRenderedPageBreak/>
              <w:t>- Group A streptococcus isolation from culture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72" w:type="dxa"/>
          </w:tcPr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- Probable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All clinical criteria met and absence of other etiology for illness with isolation of group A Streptococcus from nonsterile site.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-</w:t>
            </w:r>
            <w:r w:rsidRPr="008F7417">
              <w:rPr>
                <w:rFonts w:ascii="Times New Roman" w:hAnsi="Times New Roman" w:cs="Times New Roman"/>
                <w:szCs w:val="20"/>
              </w:rPr>
              <w:t xml:space="preserve"> Confirmed</w:t>
            </w:r>
          </w:p>
          <w:p w:rsidR="004F069F" w:rsidRPr="008F7417" w:rsidRDefault="004F069F" w:rsidP="003A35C1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A</w:t>
            </w:r>
            <w:r w:rsidRPr="008F7417">
              <w:rPr>
                <w:rFonts w:ascii="Times New Roman" w:hAnsi="Times New Roman" w:cs="Times New Roman"/>
                <w:szCs w:val="20"/>
                <w:shd w:val="clear" w:color="auto" w:fill="FFFFFF"/>
              </w:rPr>
              <w:t>ll clinical criteria met and isolation of group A Streptococcus from sterile site (blood, cerebrospinal fluid, synovial fluid, pleural/pericardial fluid)</w:t>
            </w:r>
          </w:p>
        </w:tc>
      </w:tr>
    </w:tbl>
    <w:p w:rsidR="004F069F" w:rsidRPr="008F7417" w:rsidRDefault="004F069F" w:rsidP="004F069F">
      <w:pPr>
        <w:widowControl/>
        <w:wordWrap/>
        <w:autoSpaceDE/>
        <w:autoSpaceDN/>
        <w:spacing w:before="240" w:after="0" w:line="360" w:lineRule="auto"/>
        <w:jc w:val="left"/>
        <w:rPr>
          <w:rFonts w:ascii="Times New Roman" w:eastAsia="굴림" w:hAnsi="Times New Roman" w:cs="Times New Roman"/>
          <w:color w:val="323232"/>
          <w:kern w:val="0"/>
          <w:szCs w:val="20"/>
        </w:rPr>
      </w:pPr>
      <w:r w:rsidRPr="008F7417">
        <w:rPr>
          <w:rFonts w:ascii="Times New Roman" w:eastAsia="굴림" w:hAnsi="Times New Roman" w:cs="Times New Roman"/>
          <w:color w:val="323232"/>
          <w:kern w:val="0"/>
          <w:szCs w:val="20"/>
        </w:rPr>
        <w:t>TSS = toxic shock syndrome; SBP = systolic blood pressure; BUN = blood urea nitrogen; Cr = creatinine; ALT = alanine aminotransferase; AST = aspartate aminotransferase.</w:t>
      </w:r>
    </w:p>
    <w:p w:rsidR="004F069F" w:rsidRPr="008F7417" w:rsidRDefault="004F069F" w:rsidP="004F069F">
      <w:pPr>
        <w:pStyle w:val="EndNoteBibliography"/>
        <w:rPr>
          <w:sz w:val="20"/>
          <w:szCs w:val="20"/>
        </w:rPr>
      </w:pPr>
    </w:p>
    <w:p w:rsidR="004F069F" w:rsidRPr="008F7417" w:rsidRDefault="004F069F" w:rsidP="004F069F">
      <w:pPr>
        <w:pStyle w:val="EndNoteBibliography"/>
        <w:rPr>
          <w:sz w:val="20"/>
          <w:szCs w:val="20"/>
        </w:rPr>
      </w:pPr>
    </w:p>
    <w:p w:rsidR="004F069F" w:rsidRPr="008F7417" w:rsidRDefault="004F069F" w:rsidP="004F069F">
      <w:pPr>
        <w:pStyle w:val="EndNoteBibliography"/>
        <w:rPr>
          <w:sz w:val="20"/>
          <w:szCs w:val="20"/>
        </w:rPr>
      </w:pPr>
    </w:p>
    <w:p w:rsidR="00AB16C6" w:rsidRPr="008F7417" w:rsidRDefault="00AB16C6" w:rsidP="004F069F">
      <w:pPr>
        <w:pStyle w:val="EndNoteBibliography"/>
        <w:rPr>
          <w:sz w:val="20"/>
          <w:szCs w:val="20"/>
        </w:rPr>
      </w:pPr>
    </w:p>
    <w:p w:rsidR="00EB3235" w:rsidRDefault="00EB3235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8F7417" w:rsidRDefault="008F7417" w:rsidP="004F069F">
      <w:pPr>
        <w:pStyle w:val="EndNoteBibliography"/>
        <w:rPr>
          <w:sz w:val="20"/>
          <w:szCs w:val="20"/>
        </w:rPr>
      </w:pPr>
    </w:p>
    <w:p w:rsidR="001A4333" w:rsidRDefault="001A4333" w:rsidP="004F069F">
      <w:pPr>
        <w:pStyle w:val="EndNoteBibliography"/>
        <w:rPr>
          <w:sz w:val="20"/>
          <w:szCs w:val="20"/>
        </w:rPr>
      </w:pPr>
    </w:p>
    <w:p w:rsidR="004E477A" w:rsidRPr="008F7417" w:rsidRDefault="004E477A" w:rsidP="004E477A">
      <w:pPr>
        <w:spacing w:before="240" w:line="480" w:lineRule="auto"/>
        <w:rPr>
          <w:rFonts w:ascii="Times New Roman" w:hAnsi="Times New Roman" w:cs="Times New Roman"/>
          <w:szCs w:val="20"/>
        </w:rPr>
      </w:pPr>
      <w:bookmarkStart w:id="0" w:name="OLE_LINK1"/>
      <w:r w:rsidRPr="008F7417">
        <w:rPr>
          <w:rFonts w:ascii="Times New Roman" w:hAnsi="Times New Roman" w:cs="Times New Roman"/>
          <w:szCs w:val="20"/>
        </w:rPr>
        <w:lastRenderedPageBreak/>
        <w:t>Supplement table 2. Laboratory and Echocardiographic characteristics of patients with</w:t>
      </w:r>
      <w:r w:rsidR="008F7417">
        <w:rPr>
          <w:rFonts w:ascii="Times New Roman" w:hAnsi="Times New Roman" w:cs="Times New Roman"/>
          <w:szCs w:val="20"/>
        </w:rPr>
        <w:t>,</w:t>
      </w:r>
      <w:r w:rsidR="008F7417" w:rsidRPr="008F7417">
        <w:rPr>
          <w:rFonts w:ascii="Times New Roman" w:hAnsi="Times New Roman" w:cs="Times New Roman"/>
          <w:szCs w:val="20"/>
        </w:rPr>
        <w:t xml:space="preserve"> </w:t>
      </w:r>
      <w:r w:rsidRPr="008F7417">
        <w:rPr>
          <w:rFonts w:ascii="Times New Roman" w:eastAsia="맑은 고딕" w:hAnsi="Times New Roman" w:cs="Times New Roman"/>
          <w:szCs w:val="20"/>
        </w:rPr>
        <w:t>Kawasaki disease shock syndrome</w:t>
      </w:r>
      <w:r w:rsidRPr="008F7417">
        <w:rPr>
          <w:rFonts w:ascii="Times New Roman" w:hAnsi="Times New Roman" w:cs="Times New Roman"/>
          <w:szCs w:val="20"/>
        </w:rPr>
        <w:t xml:space="preserve">, </w:t>
      </w:r>
      <w:r w:rsidRPr="008F7417">
        <w:rPr>
          <w:rFonts w:ascii="Times New Roman" w:eastAsia="맑은 고딕" w:hAnsi="Times New Roman" w:cs="Times New Roman"/>
          <w:szCs w:val="20"/>
        </w:rPr>
        <w:t>Kawasaki disease</w:t>
      </w:r>
      <w:r w:rsidRPr="008F7417">
        <w:rPr>
          <w:rFonts w:ascii="Times New Roman" w:hAnsi="Times New Roman" w:cs="Times New Roman"/>
          <w:szCs w:val="20"/>
        </w:rPr>
        <w:t xml:space="preserve">, </w:t>
      </w:r>
      <w:r w:rsidR="008F7417">
        <w:rPr>
          <w:rFonts w:ascii="Times New Roman" w:hAnsi="Times New Roman" w:cs="Times New Roman"/>
          <w:szCs w:val="20"/>
        </w:rPr>
        <w:t>Septic shock</w:t>
      </w:r>
      <w:r w:rsidR="009E4C40">
        <w:rPr>
          <w:rFonts w:ascii="Times New Roman" w:hAnsi="Times New Roman" w:cs="Times New Roman"/>
          <w:szCs w:val="20"/>
        </w:rPr>
        <w:t>,</w:t>
      </w:r>
      <w:r w:rsidR="008F7417">
        <w:rPr>
          <w:rFonts w:ascii="Times New Roman" w:hAnsi="Times New Roman" w:cs="Times New Roman"/>
          <w:szCs w:val="20"/>
        </w:rPr>
        <w:t xml:space="preserve"> Toxic shock syndrome</w:t>
      </w:r>
      <w:r w:rsidR="009E4C40">
        <w:rPr>
          <w:rFonts w:ascii="Times New Roman" w:hAnsi="Times New Roman" w:cs="Times New Roman"/>
          <w:szCs w:val="20"/>
        </w:rPr>
        <w:t xml:space="preserve"> and </w:t>
      </w:r>
      <w:r w:rsidR="009E4C40">
        <w:rPr>
          <w:rFonts w:ascii="Times New Roman" w:hAnsi="Times New Roman" w:cs="Times New Roman"/>
          <w:szCs w:val="20"/>
        </w:rPr>
        <w:t>M</w:t>
      </w:r>
      <w:r w:rsidR="009E4C40" w:rsidRPr="008F7417">
        <w:rPr>
          <w:rFonts w:ascii="Times New Roman" w:hAnsi="Times New Roman" w:cs="Times New Roman"/>
          <w:szCs w:val="20"/>
        </w:rPr>
        <w:t xml:space="preserve">ultiple </w:t>
      </w:r>
      <w:r w:rsidR="009E4C40">
        <w:rPr>
          <w:rFonts w:ascii="Times New Roman" w:hAnsi="Times New Roman" w:cs="Times New Roman"/>
          <w:szCs w:val="20"/>
        </w:rPr>
        <w:t>i</w:t>
      </w:r>
      <w:r w:rsidR="009E4C40" w:rsidRPr="008F7417">
        <w:rPr>
          <w:rFonts w:ascii="Times New Roman" w:hAnsi="Times New Roman" w:cs="Times New Roman"/>
          <w:szCs w:val="20"/>
        </w:rPr>
        <w:t xml:space="preserve">nflammatory </w:t>
      </w:r>
      <w:r w:rsidR="009E4C40">
        <w:rPr>
          <w:rFonts w:ascii="Times New Roman" w:hAnsi="Times New Roman" w:cs="Times New Roman"/>
          <w:szCs w:val="20"/>
        </w:rPr>
        <w:t>syndrome in c</w:t>
      </w:r>
      <w:r w:rsidR="009E4C40" w:rsidRPr="008F7417">
        <w:rPr>
          <w:rFonts w:ascii="Times New Roman" w:hAnsi="Times New Roman" w:cs="Times New Roman"/>
          <w:szCs w:val="20"/>
        </w:rPr>
        <w:t>hildren</w:t>
      </w:r>
    </w:p>
    <w:tbl>
      <w:tblPr>
        <w:tblStyle w:val="a3"/>
        <w:tblW w:w="1326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8"/>
        <w:gridCol w:w="2042"/>
        <w:gridCol w:w="2042"/>
        <w:gridCol w:w="2042"/>
        <w:gridCol w:w="2042"/>
        <w:gridCol w:w="2042"/>
      </w:tblGrid>
      <w:tr w:rsidR="006B342E" w:rsidRPr="008F7417" w:rsidTr="00DD1A4A">
        <w:tc>
          <w:tcPr>
            <w:tcW w:w="3058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KDSS(n=13)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KD(n=93)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SS (n=16)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TSS (n=13)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vAlign w:val="center"/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MIS-C (n = 58) [4]</w:t>
            </w:r>
          </w:p>
        </w:tc>
      </w:tr>
      <w:tr w:rsidR="006B342E" w:rsidRPr="008F7417" w:rsidTr="006B342E">
        <w:tc>
          <w:tcPr>
            <w:tcW w:w="3058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Laboratory findings </w:t>
            </w: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WBC (10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>3</w:t>
            </w:r>
            <w:r w:rsidRPr="008F7417">
              <w:rPr>
                <w:rFonts w:ascii="Times New Roman" w:hAnsi="Times New Roman" w:cs="Times New Roman"/>
                <w:szCs w:val="20"/>
              </w:rPr>
              <w:t>/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㎕</w:t>
            </w:r>
            <w:r w:rsidRPr="008F7417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11.7 (6.8-25.5)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12.6 (0.7-24.8)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11.4 (3.6-24.7)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12.1 (4.1-34.7)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17(12-22)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Lowest hemoglobin (g/dL)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9.2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(5.9-11.3)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10.7 (6.9-13.0)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8.5 (4.9-13.3)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10.0 (8.1-11.5)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9.2(8.3-10.3)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Lowest Platelet (10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>3</w:t>
            </w:r>
            <w:r w:rsidRPr="008F7417">
              <w:rPr>
                <w:rFonts w:ascii="Times New Roman" w:hAnsi="Times New Roman" w:cs="Times New Roman"/>
                <w:szCs w:val="20"/>
              </w:rPr>
              <w:t>/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㎕</w:t>
            </w:r>
            <w:r w:rsidRPr="008F7417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125 (23.0-299.0)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310 (41.0-782.0)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99.0 (5.0-221.0)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107.0 (12.0-260.0)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151(104-510)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CRP(mg/dL)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21.3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(10.4-32.0)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6.8 (0.5-26.4)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18.2 (3.2-35.1)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15.1 (3.6-35.9)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22.9(15.6-33.8)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ESR(mm/hr)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75.0 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(25-108)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72.0 (5-120)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52.0 (2-120)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35.0 (6-44)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GOT (IU/L)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40.0 (18-152)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39.5 (21-1687)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59.5 (18-8900)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83.0 (27-1370)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42 (26-95)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GPT (IU/L)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57.0 (12-249)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38.0 (7-1250)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61.5 (10-2290)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59.0 (15-1253)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Total bilirubin(mg/dL)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1.3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(0.3-4.9)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0.6 (0.2-13.0)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1.3 (0.5-53.9)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2.2 (0.5-21.7)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lastRenderedPageBreak/>
              <w:t>Highest Cr (mg/dL)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0.6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(0.4-1.9)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0.4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(0.2-0.8)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0.7 (0.39-6.9)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1.0 (0.37-4.8)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0.8 (0.49-1.22)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Highest BUN (mg/dL)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18.0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(6.0-53.0)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10.0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(3.0-18.0)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16.0 (9.0-267.0)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34.0 (9.0-100.0)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Lowest albumin (g/dL)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eastAsia="맑은 고딕" w:hAnsi="Times New Roman" w:cs="Times New Roman"/>
                <w:szCs w:val="20"/>
                <w:vertAlign w:val="superscript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2.5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(2.1-2.9)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3.3 (2.3-4.5)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2.6 (1.5-3.6)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2.5 (2.0-3.3)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2.4 (2.1-2.7)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ind w:firstLineChars="150" w:firstLine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Lowest sodium (mmol/L)</w:t>
            </w:r>
          </w:p>
        </w:tc>
        <w:tc>
          <w:tcPr>
            <w:tcW w:w="2042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130.0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(115.0-140.0)</w:t>
            </w:r>
          </w:p>
        </w:tc>
        <w:tc>
          <w:tcPr>
            <w:tcW w:w="2042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135.0 (129-140)</w:t>
            </w:r>
          </w:p>
        </w:tc>
        <w:tc>
          <w:tcPr>
            <w:tcW w:w="2042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133.5 (125.0-139.0)</w:t>
            </w:r>
          </w:p>
        </w:tc>
        <w:tc>
          <w:tcPr>
            <w:tcW w:w="2042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132.0 (126.0-137.0)</w:t>
            </w:r>
          </w:p>
        </w:tc>
        <w:tc>
          <w:tcPr>
            <w:tcW w:w="2042" w:type="dxa"/>
            <w:tcBorders>
              <w:top w:val="nil"/>
              <w:bottom w:val="single" w:sz="4" w:space="0" w:color="auto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Echocardiographic findings</w:t>
            </w: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2" w:type="dxa"/>
            <w:tcBorders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 Intracardiac anomaly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7.5% (7/93)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37.5% (3/8)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ind w:left="300" w:hangingChars="150" w:hanging="3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 Coronary artery aneurysm       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23.1% (3/13)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4.3% (4/93)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(0/4)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0.0%(0/8)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14% (8/58)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 xml:space="preserve"> +</w:t>
            </w:r>
          </w:p>
        </w:tc>
      </w:tr>
      <w:tr w:rsidR="006B342E" w:rsidRPr="008F7417" w:rsidTr="006B342E">
        <w:tc>
          <w:tcPr>
            <w:tcW w:w="3058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 EF &lt; 55%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46.2% (6/13)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4.5% (4/88)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12.5% (1/8)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12.5% (1/8)</w:t>
            </w:r>
          </w:p>
        </w:tc>
        <w:tc>
          <w:tcPr>
            <w:tcW w:w="2042" w:type="dxa"/>
            <w:tcBorders>
              <w:top w:val="nil"/>
              <w:bottom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342E" w:rsidRPr="008F7417" w:rsidTr="006B342E">
        <w:tc>
          <w:tcPr>
            <w:tcW w:w="3058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 Lowest EF</w:t>
            </w:r>
          </w:p>
        </w:tc>
        <w:tc>
          <w:tcPr>
            <w:tcW w:w="2042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56.9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(49.0-71.6)</w:t>
            </w:r>
          </w:p>
        </w:tc>
        <w:tc>
          <w:tcPr>
            <w:tcW w:w="2042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62.2 (45.6-74.8)</w:t>
            </w:r>
          </w:p>
        </w:tc>
        <w:tc>
          <w:tcPr>
            <w:tcW w:w="2042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64.8 (49.0-73.0)</w:t>
            </w:r>
          </w:p>
        </w:tc>
        <w:tc>
          <w:tcPr>
            <w:tcW w:w="2042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60.5 (53.9-74.3)</w:t>
            </w:r>
          </w:p>
        </w:tc>
        <w:tc>
          <w:tcPr>
            <w:tcW w:w="2042" w:type="dxa"/>
            <w:tcBorders>
              <w:top w:val="nil"/>
            </w:tcBorders>
          </w:tcPr>
          <w:p w:rsidR="006B342E" w:rsidRPr="008F7417" w:rsidRDefault="006B342E" w:rsidP="006B342E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4E477A" w:rsidRPr="008F7417" w:rsidRDefault="004E477A" w:rsidP="004E477A">
      <w:pPr>
        <w:spacing w:before="240" w:line="480" w:lineRule="auto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 xml:space="preserve">Data were described as median and range. </w:t>
      </w:r>
    </w:p>
    <w:p w:rsidR="004E477A" w:rsidRPr="008F7417" w:rsidRDefault="004E477A" w:rsidP="004E477A">
      <w:pPr>
        <w:spacing w:before="240" w:line="480" w:lineRule="auto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>*WBC= White blood cell, CRP = C-reactive protein, ESR = Erythrocyte Sedimentation Rate, GOT = Glutamic oxalacetic transaminase, GPT = glutamate-pyruvate transaminase, Cr = creatinine, BUN = Blood Urea Nitrogen, EF = Ejection fraction, KD = Kawasaki disease, KDSS = Kawasaki disease shock syndrome, SS = Septic shock</w:t>
      </w:r>
      <w:bookmarkEnd w:id="0"/>
      <w:r w:rsidR="008F7417">
        <w:rPr>
          <w:rFonts w:ascii="Times New Roman" w:hAnsi="Times New Roman" w:cs="Times New Roman"/>
          <w:szCs w:val="20"/>
        </w:rPr>
        <w:t>, TSS= Toxic shock syndrome</w:t>
      </w:r>
    </w:p>
    <w:p w:rsidR="004E477A" w:rsidRPr="008F7417" w:rsidRDefault="00465ABB" w:rsidP="004E477A">
      <w:pPr>
        <w:pStyle w:val="EndNoteBibliography"/>
        <w:rPr>
          <w:sz w:val="20"/>
          <w:szCs w:val="20"/>
        </w:rPr>
      </w:pPr>
      <w:r w:rsidRPr="001A4333">
        <w:rPr>
          <w:sz w:val="20"/>
          <w:szCs w:val="20"/>
        </w:rPr>
        <w:lastRenderedPageBreak/>
        <w:t>+= Z score 2.0 or higher was defined as coronary artery aneurysm</w:t>
      </w:r>
    </w:p>
    <w:p w:rsidR="004E477A" w:rsidRPr="008F7417" w:rsidRDefault="004E477A" w:rsidP="004E477A">
      <w:pPr>
        <w:rPr>
          <w:rFonts w:ascii="Times New Roman" w:hAnsi="Times New Roman" w:cs="Times New Roman"/>
          <w:szCs w:val="20"/>
        </w:rPr>
      </w:pPr>
    </w:p>
    <w:p w:rsidR="004E477A" w:rsidRDefault="004E477A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1A4333" w:rsidRPr="008F7417" w:rsidRDefault="001A4333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  <w:bookmarkStart w:id="1" w:name="_GoBack"/>
      <w:bookmarkEnd w:id="1"/>
    </w:p>
    <w:p w:rsidR="004E477A" w:rsidRPr="008F7417" w:rsidRDefault="004E477A" w:rsidP="004E477A">
      <w:pPr>
        <w:spacing w:after="0" w:line="480" w:lineRule="auto"/>
        <w:jc w:val="left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>Supplement Table 3. Symptoms, diagnosis, and treatment of</w:t>
      </w:r>
      <w:r w:rsidR="008F7417">
        <w:rPr>
          <w:rFonts w:ascii="Times New Roman" w:hAnsi="Times New Roman" w:cs="Times New Roman"/>
          <w:szCs w:val="20"/>
        </w:rPr>
        <w:t>,</w:t>
      </w:r>
      <w:r w:rsidR="008F7417" w:rsidRPr="008F7417">
        <w:rPr>
          <w:rFonts w:ascii="Times New Roman" w:hAnsi="Times New Roman" w:cs="Times New Roman"/>
          <w:szCs w:val="20"/>
        </w:rPr>
        <w:t xml:space="preserve"> </w:t>
      </w:r>
      <w:r w:rsidR="008F7417" w:rsidRPr="008F7417">
        <w:rPr>
          <w:rFonts w:ascii="Times New Roman" w:eastAsia="맑은 고딕" w:hAnsi="Times New Roman" w:cs="Times New Roman"/>
          <w:szCs w:val="20"/>
        </w:rPr>
        <w:t>Kawasaki disease shock syndrome</w:t>
      </w:r>
      <w:r w:rsidR="008F7417" w:rsidRPr="008F7417">
        <w:rPr>
          <w:rFonts w:ascii="Times New Roman" w:hAnsi="Times New Roman" w:cs="Times New Roman"/>
          <w:szCs w:val="20"/>
        </w:rPr>
        <w:t xml:space="preserve">, </w:t>
      </w:r>
      <w:r w:rsidR="008F7417" w:rsidRPr="008F7417">
        <w:rPr>
          <w:rFonts w:ascii="Times New Roman" w:eastAsia="맑은 고딕" w:hAnsi="Times New Roman" w:cs="Times New Roman"/>
          <w:szCs w:val="20"/>
        </w:rPr>
        <w:t>Kawasaki disease</w:t>
      </w:r>
      <w:r w:rsidR="008F7417" w:rsidRPr="008F7417">
        <w:rPr>
          <w:rFonts w:ascii="Times New Roman" w:hAnsi="Times New Roman" w:cs="Times New Roman"/>
          <w:szCs w:val="20"/>
        </w:rPr>
        <w:t xml:space="preserve">, </w:t>
      </w:r>
      <w:r w:rsidR="008F7417">
        <w:rPr>
          <w:rFonts w:ascii="Times New Roman" w:hAnsi="Times New Roman" w:cs="Times New Roman"/>
          <w:szCs w:val="20"/>
        </w:rPr>
        <w:t>Septic shock</w:t>
      </w:r>
      <w:r w:rsidR="009E4C40">
        <w:rPr>
          <w:rFonts w:ascii="Times New Roman" w:hAnsi="Times New Roman" w:cs="Times New Roman"/>
          <w:szCs w:val="20"/>
        </w:rPr>
        <w:t>,</w:t>
      </w:r>
      <w:r w:rsidR="008F7417">
        <w:rPr>
          <w:rFonts w:ascii="Times New Roman" w:hAnsi="Times New Roman" w:cs="Times New Roman"/>
          <w:szCs w:val="20"/>
        </w:rPr>
        <w:t xml:space="preserve"> Toxic shock syndrome</w:t>
      </w:r>
      <w:r w:rsidR="009E4C40">
        <w:rPr>
          <w:rFonts w:ascii="Times New Roman" w:hAnsi="Times New Roman" w:cs="Times New Roman"/>
          <w:szCs w:val="20"/>
        </w:rPr>
        <w:t xml:space="preserve"> and </w:t>
      </w:r>
      <w:r w:rsidR="009E4C40">
        <w:rPr>
          <w:rFonts w:ascii="Times New Roman" w:hAnsi="Times New Roman" w:cs="Times New Roman"/>
          <w:szCs w:val="20"/>
        </w:rPr>
        <w:t>M</w:t>
      </w:r>
      <w:r w:rsidR="009E4C40" w:rsidRPr="008F7417">
        <w:rPr>
          <w:rFonts w:ascii="Times New Roman" w:hAnsi="Times New Roman" w:cs="Times New Roman"/>
          <w:szCs w:val="20"/>
        </w:rPr>
        <w:t xml:space="preserve">ultiple </w:t>
      </w:r>
      <w:r w:rsidR="009E4C40">
        <w:rPr>
          <w:rFonts w:ascii="Times New Roman" w:hAnsi="Times New Roman" w:cs="Times New Roman"/>
          <w:szCs w:val="20"/>
        </w:rPr>
        <w:t>i</w:t>
      </w:r>
      <w:r w:rsidR="009E4C40" w:rsidRPr="008F7417">
        <w:rPr>
          <w:rFonts w:ascii="Times New Roman" w:hAnsi="Times New Roman" w:cs="Times New Roman"/>
          <w:szCs w:val="20"/>
        </w:rPr>
        <w:t xml:space="preserve">nflammatory </w:t>
      </w:r>
      <w:r w:rsidR="009E4C40">
        <w:rPr>
          <w:rFonts w:ascii="Times New Roman" w:hAnsi="Times New Roman" w:cs="Times New Roman"/>
          <w:szCs w:val="20"/>
        </w:rPr>
        <w:t>syndrome in c</w:t>
      </w:r>
      <w:r w:rsidR="009E4C40" w:rsidRPr="008F7417">
        <w:rPr>
          <w:rFonts w:ascii="Times New Roman" w:hAnsi="Times New Roman" w:cs="Times New Roman"/>
          <w:szCs w:val="20"/>
        </w:rPr>
        <w:t>hildren</w:t>
      </w:r>
    </w:p>
    <w:tbl>
      <w:tblPr>
        <w:tblStyle w:val="a3"/>
        <w:tblW w:w="1318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28"/>
        <w:gridCol w:w="1928"/>
        <w:gridCol w:w="1928"/>
        <w:gridCol w:w="1928"/>
        <w:gridCol w:w="1928"/>
      </w:tblGrid>
      <w:tr w:rsidR="00483F0F" w:rsidRPr="008F7417" w:rsidTr="00483F0F">
        <w:trPr>
          <w:jc w:val="center"/>
        </w:trPr>
        <w:tc>
          <w:tcPr>
            <w:tcW w:w="3544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KDSS(n=13)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KD(n=93)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SS (n=16)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TSS (n=13)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MIS-C (n=58) [4]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Kawasaki features</w:t>
            </w: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Conjunctival injection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92.3% (12/13)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91.4% (85/93)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18.8% (3/16)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45% (26/58)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Oropharyngeal changes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84.6% (11/13)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81.7% (76/93)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6.3% (1/16)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30.8% (4/13)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29% (17/58)*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Polymorphous rash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76.9% (10/13)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84.9% (79/93)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43.8% (7/16)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100.0% (13/13)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52% (30/58)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ind w:left="200" w:hangingChars="100" w:hanging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Cervical lymphadenopathy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69.2% (9/13)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43.0% (40/93)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6.3% (1/16)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16% (9/58)+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Extremity changes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92.3% (12/13)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67.7% (63/93)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12.5% (2/16)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69.2% (9/13)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16% (9/58)</w:t>
            </w:r>
          </w:p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Associated symptoms</w:t>
            </w: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ind w:left="200" w:hangingChars="100" w:hanging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Gastrointestinal symptoms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84.6% (11/13)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24.7% (23/93)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75.0% (12/16)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92.3% (12/13)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45-53% (26-31/58)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lastRenderedPageBreak/>
              <w:t xml:space="preserve">  Respiratory symptoms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76.9% (10/13)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10.8% (10/93)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56.3% (9/16)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23.1% (3/13)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21% (12/58)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Neurologic symptoms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15.4% (2/13)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2.2% (2/93)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tabs>
                <w:tab w:val="left" w:pos="551"/>
                <w:tab w:val="center" w:pos="761"/>
              </w:tabs>
              <w:spacing w:before="240" w:line="480" w:lineRule="auto"/>
              <w:ind w:left="100" w:hangingChars="50" w:hanging="100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37.5% </w:t>
            </w:r>
            <w:r w:rsidRPr="008F7417">
              <w:rPr>
                <w:rFonts w:ascii="Times New Roman" w:hAnsi="Times New Roman" w:cs="Times New Roman"/>
                <w:szCs w:val="20"/>
              </w:rPr>
              <w:tab/>
              <w:t>(6/16)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61.5% (8/13)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9% (5/58)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Pantalgia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53.8% (7/13)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3.2% (3/93)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25.0% (4/16)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53.8% (7/13)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ind w:firstLineChars="100" w:firstLine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Pleural effusion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76.9% (10/13)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2.2% (2/93)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43.8% (7/16)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38.5% (5/13)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ind w:firstLineChars="100" w:firstLine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Organ damage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92.3% (12/13)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21.5%(20/93)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75.0% (12/16)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92.3% (12/13)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Diagnosis</w:t>
            </w: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Initial diagnosis of KD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23.1% (3/13)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80.6% (75/93)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Complete KD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46.2% (6/13)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67.7% (63/93)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Incomplete KD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38.5% (5/13)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29.0% (27/93)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Treatment</w:t>
            </w: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1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>st</w:t>
            </w:r>
            <w:r w:rsidRPr="008F7417">
              <w:rPr>
                <w:rFonts w:ascii="Times New Roman" w:hAnsi="Times New Roman" w:cs="Times New Roman"/>
                <w:szCs w:val="20"/>
              </w:rPr>
              <w:t xml:space="preserve"> IVIG 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84.6% (11/13)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98.9% (92/93)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50.0% (8/16)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53.8% (7/13)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71% (41/58)++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2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>nd</w:t>
            </w:r>
            <w:r w:rsidRPr="008F7417">
              <w:rPr>
                <w:rFonts w:ascii="Times New Roman" w:hAnsi="Times New Roman" w:cs="Times New Roman"/>
                <w:szCs w:val="20"/>
              </w:rPr>
              <w:t xml:space="preserve"> IVIG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76.9% (10/13)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20.4% (19/93)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25.0% (4/16)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7.7% (1/13)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lastRenderedPageBreak/>
              <w:t xml:space="preserve">  Oral prednisolone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7.7% (1/13)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10.8% (10/93)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64% (37/58)</w:t>
            </w: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ind w:left="200" w:hangingChars="100" w:hanging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Methylprednisolone pulse therapy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38.5% (5/13)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10.8% (10/93)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3544" w:type="dxa"/>
            <w:tcBorders>
              <w:top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 Infliximab</w:t>
            </w:r>
          </w:p>
        </w:tc>
        <w:tc>
          <w:tcPr>
            <w:tcW w:w="1928" w:type="dxa"/>
            <w:tcBorders>
              <w:top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15.4% (2/13)</w:t>
            </w:r>
          </w:p>
        </w:tc>
        <w:tc>
          <w:tcPr>
            <w:tcW w:w="1928" w:type="dxa"/>
            <w:tcBorders>
              <w:top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(0/93)</w:t>
            </w:r>
          </w:p>
        </w:tc>
        <w:tc>
          <w:tcPr>
            <w:tcW w:w="1928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(0/16)</w:t>
            </w:r>
          </w:p>
        </w:tc>
        <w:tc>
          <w:tcPr>
            <w:tcW w:w="1928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1928" w:type="dxa"/>
            <w:tcBorders>
              <w:top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14% (8/58)</w:t>
            </w:r>
          </w:p>
        </w:tc>
      </w:tr>
    </w:tbl>
    <w:p w:rsidR="004E477A" w:rsidRPr="008F7417" w:rsidRDefault="004E477A" w:rsidP="004E477A">
      <w:pPr>
        <w:spacing w:before="240" w:after="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8F7417">
        <w:rPr>
          <w:rFonts w:ascii="Times New Roman" w:eastAsia="맑은 고딕" w:hAnsi="Times New Roman" w:cs="Times New Roman"/>
          <w:szCs w:val="20"/>
        </w:rPr>
        <w:t>IVIG = Intravenous immunoglobulin, KD = Kawasaki disease, KDSS = Kawasaki disease sh</w:t>
      </w:r>
      <w:r w:rsidR="008F7417">
        <w:rPr>
          <w:rFonts w:ascii="Times New Roman" w:eastAsia="맑은 고딕" w:hAnsi="Times New Roman" w:cs="Times New Roman"/>
          <w:szCs w:val="20"/>
        </w:rPr>
        <w:t>ock syndrome, SS = Septic shock, TSS=</w:t>
      </w:r>
      <w:r w:rsidRPr="008F7417">
        <w:rPr>
          <w:rFonts w:ascii="Times New Roman" w:eastAsia="맑은 고딕" w:hAnsi="Times New Roman" w:cs="Times New Roman"/>
          <w:szCs w:val="20"/>
        </w:rPr>
        <w:t>toxic shock syndrome</w:t>
      </w:r>
    </w:p>
    <w:p w:rsidR="004E477A" w:rsidRPr="008F7417" w:rsidRDefault="004E477A" w:rsidP="004E477A">
      <w:pPr>
        <w:spacing w:before="240" w:after="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8F7417">
        <w:rPr>
          <w:rFonts w:ascii="Times New Roman" w:eastAsia="맑은 고딕" w:hAnsi="Times New Roman" w:cs="Times New Roman"/>
          <w:szCs w:val="20"/>
        </w:rPr>
        <w:t>*= mucus membrane change</w:t>
      </w:r>
    </w:p>
    <w:p w:rsidR="004E477A" w:rsidRPr="008F7417" w:rsidRDefault="004E477A" w:rsidP="004E477A">
      <w:pPr>
        <w:spacing w:before="240" w:after="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8F7417">
        <w:rPr>
          <w:rFonts w:ascii="Times New Roman" w:eastAsia="맑은 고딕" w:hAnsi="Times New Roman" w:cs="Times New Roman"/>
          <w:szCs w:val="20"/>
        </w:rPr>
        <w:t>+= lymphadenopathy</w:t>
      </w:r>
    </w:p>
    <w:p w:rsidR="004E477A" w:rsidRPr="008F7417" w:rsidRDefault="004E477A" w:rsidP="004E477A">
      <w:pPr>
        <w:spacing w:before="240" w:after="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8F7417">
        <w:rPr>
          <w:rFonts w:ascii="Times New Roman" w:eastAsia="맑은 고딕" w:hAnsi="Times New Roman" w:cs="Times New Roman"/>
          <w:szCs w:val="20"/>
        </w:rPr>
        <w:t>++= ratio of IVIG use</w:t>
      </w:r>
    </w:p>
    <w:p w:rsidR="004E477A" w:rsidRPr="008F7417" w:rsidRDefault="004E477A" w:rsidP="004E477A">
      <w:pPr>
        <w:pStyle w:val="EndNoteBibliography"/>
        <w:rPr>
          <w:sz w:val="20"/>
          <w:szCs w:val="20"/>
        </w:rPr>
      </w:pPr>
    </w:p>
    <w:p w:rsidR="004E477A" w:rsidRDefault="004E477A" w:rsidP="004E477A">
      <w:pPr>
        <w:pStyle w:val="EndNoteBibliography"/>
        <w:rPr>
          <w:sz w:val="20"/>
          <w:szCs w:val="20"/>
        </w:rPr>
      </w:pPr>
    </w:p>
    <w:p w:rsidR="001A4333" w:rsidRDefault="001A4333" w:rsidP="004E477A">
      <w:pPr>
        <w:pStyle w:val="EndNoteBibliography"/>
        <w:rPr>
          <w:sz w:val="20"/>
          <w:szCs w:val="20"/>
        </w:rPr>
      </w:pPr>
    </w:p>
    <w:p w:rsidR="001A4333" w:rsidRDefault="001A4333" w:rsidP="004E477A">
      <w:pPr>
        <w:pStyle w:val="EndNoteBibliography"/>
        <w:rPr>
          <w:sz w:val="20"/>
          <w:szCs w:val="20"/>
        </w:rPr>
      </w:pPr>
    </w:p>
    <w:p w:rsidR="001A4333" w:rsidRPr="008F7417" w:rsidRDefault="001A4333" w:rsidP="004E477A">
      <w:pPr>
        <w:pStyle w:val="EndNoteBibliography"/>
        <w:rPr>
          <w:sz w:val="20"/>
          <w:szCs w:val="20"/>
        </w:rPr>
      </w:pPr>
    </w:p>
    <w:p w:rsidR="004E477A" w:rsidRPr="008F7417" w:rsidRDefault="004E477A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4E477A" w:rsidRPr="008F7417" w:rsidRDefault="004E477A" w:rsidP="00EB3235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</w:p>
    <w:p w:rsidR="008F7417" w:rsidRPr="008F7417" w:rsidRDefault="00EB3235" w:rsidP="008F7417">
      <w:pPr>
        <w:spacing w:after="0" w:line="480" w:lineRule="auto"/>
        <w:jc w:val="left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lastRenderedPageBreak/>
        <w:t xml:space="preserve">Supplement Table </w:t>
      </w:r>
      <w:r w:rsidR="004E477A" w:rsidRPr="008F7417">
        <w:rPr>
          <w:rFonts w:ascii="Times New Roman" w:hAnsi="Times New Roman" w:cs="Times New Roman"/>
          <w:szCs w:val="20"/>
        </w:rPr>
        <w:t>4</w:t>
      </w:r>
      <w:r w:rsidRPr="008F7417">
        <w:rPr>
          <w:rFonts w:ascii="Times New Roman" w:hAnsi="Times New Roman" w:cs="Times New Roman"/>
          <w:szCs w:val="20"/>
        </w:rPr>
        <w:t xml:space="preserve">. Demographics and clinical characteristics of patients with </w:t>
      </w:r>
      <w:r w:rsidR="008F7417">
        <w:rPr>
          <w:rFonts w:ascii="Times New Roman" w:hAnsi="Times New Roman" w:cs="Times New Roman"/>
          <w:szCs w:val="20"/>
        </w:rPr>
        <w:t>M</w:t>
      </w:r>
      <w:r w:rsidR="008F7417" w:rsidRPr="008F7417">
        <w:rPr>
          <w:rFonts w:ascii="Times New Roman" w:hAnsi="Times New Roman" w:cs="Times New Roman"/>
          <w:szCs w:val="20"/>
        </w:rPr>
        <w:t xml:space="preserve">ultiple </w:t>
      </w:r>
      <w:r w:rsidR="008F7417">
        <w:rPr>
          <w:rFonts w:ascii="Times New Roman" w:hAnsi="Times New Roman" w:cs="Times New Roman"/>
          <w:szCs w:val="20"/>
        </w:rPr>
        <w:t>i</w:t>
      </w:r>
      <w:r w:rsidR="008F7417" w:rsidRPr="008F7417">
        <w:rPr>
          <w:rFonts w:ascii="Times New Roman" w:hAnsi="Times New Roman" w:cs="Times New Roman"/>
          <w:szCs w:val="20"/>
        </w:rPr>
        <w:t xml:space="preserve">nflammatory </w:t>
      </w:r>
      <w:r w:rsidR="008F7417">
        <w:rPr>
          <w:rFonts w:ascii="Times New Roman" w:hAnsi="Times New Roman" w:cs="Times New Roman"/>
          <w:szCs w:val="20"/>
        </w:rPr>
        <w:t>syndrome in c</w:t>
      </w:r>
      <w:r w:rsidR="008F7417" w:rsidRPr="008F7417">
        <w:rPr>
          <w:rFonts w:ascii="Times New Roman" w:hAnsi="Times New Roman" w:cs="Times New Roman"/>
          <w:szCs w:val="20"/>
        </w:rPr>
        <w:t>hildren</w:t>
      </w:r>
      <w:r w:rsidR="008F7417">
        <w:rPr>
          <w:rFonts w:ascii="Times New Roman" w:hAnsi="Times New Roman" w:cs="Times New Roman"/>
          <w:szCs w:val="20"/>
        </w:rPr>
        <w:t>,</w:t>
      </w:r>
      <w:r w:rsidR="008F7417" w:rsidRPr="008F7417">
        <w:rPr>
          <w:rFonts w:ascii="Times New Roman" w:hAnsi="Times New Roman" w:cs="Times New Roman"/>
          <w:szCs w:val="20"/>
        </w:rPr>
        <w:t xml:space="preserve"> </w:t>
      </w:r>
      <w:r w:rsidR="008F7417" w:rsidRPr="008F7417">
        <w:rPr>
          <w:rFonts w:ascii="Times New Roman" w:eastAsia="맑은 고딕" w:hAnsi="Times New Roman" w:cs="Times New Roman"/>
          <w:szCs w:val="20"/>
        </w:rPr>
        <w:t>Kawasaki disease shock syndrome</w:t>
      </w:r>
      <w:r w:rsidR="008F7417" w:rsidRPr="008F7417">
        <w:rPr>
          <w:rFonts w:ascii="Times New Roman" w:hAnsi="Times New Roman" w:cs="Times New Roman"/>
          <w:szCs w:val="20"/>
        </w:rPr>
        <w:t xml:space="preserve">, </w:t>
      </w:r>
      <w:r w:rsidR="008F7417" w:rsidRPr="008F7417">
        <w:rPr>
          <w:rFonts w:ascii="Times New Roman" w:eastAsia="맑은 고딕" w:hAnsi="Times New Roman" w:cs="Times New Roman"/>
          <w:szCs w:val="20"/>
        </w:rPr>
        <w:t>Kawasaki disease</w:t>
      </w:r>
      <w:r w:rsidR="008F7417" w:rsidRPr="008F7417">
        <w:rPr>
          <w:rFonts w:ascii="Times New Roman" w:hAnsi="Times New Roman" w:cs="Times New Roman"/>
          <w:szCs w:val="20"/>
        </w:rPr>
        <w:t xml:space="preserve">, </w:t>
      </w:r>
      <w:r w:rsidR="008F7417">
        <w:rPr>
          <w:rFonts w:ascii="Times New Roman" w:hAnsi="Times New Roman" w:cs="Times New Roman"/>
          <w:szCs w:val="20"/>
        </w:rPr>
        <w:t>Septic shock and Toxic shock syndrome</w:t>
      </w:r>
    </w:p>
    <w:p w:rsidR="00EB3235" w:rsidRPr="008F7417" w:rsidRDefault="008F7417" w:rsidP="008F7417">
      <w:pPr>
        <w:tabs>
          <w:tab w:val="left" w:pos="6105"/>
        </w:tabs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 xml:space="preserve"> </w:t>
      </w:r>
      <w:r w:rsidR="00EB3235" w:rsidRPr="008F7417">
        <w:rPr>
          <w:rFonts w:ascii="Times New Roman" w:hAnsi="Times New Roman" w:cs="Times New Roman"/>
          <w:szCs w:val="20"/>
        </w:rPr>
        <w:t>(continuous variables were described as median and range)</w:t>
      </w:r>
    </w:p>
    <w:tbl>
      <w:tblPr>
        <w:tblStyle w:val="a3"/>
        <w:tblW w:w="1332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098"/>
        <w:gridCol w:w="2098"/>
        <w:gridCol w:w="2098"/>
        <w:gridCol w:w="2099"/>
        <w:gridCol w:w="2099"/>
      </w:tblGrid>
      <w:tr w:rsidR="00483F0F" w:rsidRPr="008F7417" w:rsidTr="00483F0F">
        <w:trPr>
          <w:jc w:val="center"/>
        </w:trPr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KDSS (n=13)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KD (n=93)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SS (n=16)</w:t>
            </w:r>
          </w:p>
        </w:tc>
        <w:tc>
          <w:tcPr>
            <w:tcW w:w="2099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TSS (n=13)</w:t>
            </w:r>
          </w:p>
        </w:tc>
        <w:tc>
          <w:tcPr>
            <w:tcW w:w="2099" w:type="dxa"/>
            <w:tcBorders>
              <w:bottom w:val="single" w:sz="4" w:space="0" w:color="auto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MIS-C (n=58) [4]</w:t>
            </w: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Age, (years)</w:t>
            </w:r>
          </w:p>
        </w:tc>
        <w:tc>
          <w:tcPr>
            <w:tcW w:w="2098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5.1</w:t>
            </w:r>
            <w:r w:rsidRPr="008F7417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(0.5-10.6)</w:t>
            </w:r>
          </w:p>
        </w:tc>
        <w:tc>
          <w:tcPr>
            <w:tcW w:w="2098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2.3 (0.2-8.4)</w:t>
            </w:r>
          </w:p>
        </w:tc>
        <w:tc>
          <w:tcPr>
            <w:tcW w:w="2098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5.9 (0.3-15.9)</w:t>
            </w:r>
          </w:p>
        </w:tc>
        <w:tc>
          <w:tcPr>
            <w:tcW w:w="2099" w:type="dxa"/>
            <w:tcBorders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9.3(1.2-19.9)</w:t>
            </w:r>
          </w:p>
        </w:tc>
        <w:tc>
          <w:tcPr>
            <w:tcW w:w="2099" w:type="dxa"/>
            <w:tcBorders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9(5.7-14)</w:t>
            </w: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Male (%)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46.2% (6/13) 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57.0% (53/93)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62.5% (10/16)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69.2% (9/13)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43% (25/58)</w:t>
            </w: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Fever duration (days)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11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hAnsi="Times New Roman" w:cs="Times New Roman"/>
                <w:szCs w:val="20"/>
              </w:rPr>
              <w:t>(8-23)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8 (3-29)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7.5(1-114)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7(5-33)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Total hospital day (days)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eastAsia="맑은 고딕" w:hAnsi="Times New Roman" w:cs="Times New Roman"/>
                <w:szCs w:val="20"/>
                <w:vertAlign w:val="superscript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18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  <w:r w:rsidRPr="008F7417">
              <w:rPr>
                <w:rFonts w:ascii="Times New Roman" w:eastAsia="맑은 고딕" w:hAnsi="Times New Roman" w:cs="Times New Roman"/>
                <w:szCs w:val="20"/>
              </w:rPr>
              <w:t>(6-31)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 (3-18)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14(7-225)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13(7-74)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Follow up duration (months)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 (1-105)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13 (0-175)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1(0-105)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4(0-111)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ICU care (%)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53.8 % (7/13)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68.8%(11/16)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53.8%(7/13)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483F0F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ICU care duration (days)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 (0 - 11)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4(0-11)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3(0-20)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Inotropic drugs (%)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92.3 % (12/13)</w:t>
            </w:r>
            <w:r w:rsidRPr="008F7417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§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1.1% (1/93)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100%(16/16)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69.2%(9/13)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47% (27/58)</w:t>
            </w: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Respiratory support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ind w:firstLineChars="50" w:firstLine="1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lastRenderedPageBreak/>
              <w:t>- No support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30.8 % (4/13)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100% (93/93)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37.5% (6/16)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61.5% (8/13)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ind w:firstLineChars="50" w:firstLine="1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- Oxygen delivery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53.8% (7/13)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12.5% (2/16)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15.4% (2/13)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ind w:left="200" w:hangingChars="100" w:hanging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- Mechanical ventilation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 xml:space="preserve"> 15.4% (2/13)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(0/93)</w:t>
            </w:r>
          </w:p>
        </w:tc>
        <w:tc>
          <w:tcPr>
            <w:tcW w:w="2098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50.0% (8/16)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23.1% (3/13)</w:t>
            </w:r>
          </w:p>
        </w:tc>
        <w:tc>
          <w:tcPr>
            <w:tcW w:w="2099" w:type="dxa"/>
            <w:tcBorders>
              <w:top w:val="nil"/>
              <w:bottom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43% (25/58)*</w:t>
            </w:r>
          </w:p>
        </w:tc>
      </w:tr>
      <w:tr w:rsidR="00483F0F" w:rsidRPr="008F7417" w:rsidTr="00281FDC">
        <w:trPr>
          <w:jc w:val="center"/>
        </w:trPr>
        <w:tc>
          <w:tcPr>
            <w:tcW w:w="2835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Mortality (%)</w:t>
            </w:r>
          </w:p>
        </w:tc>
        <w:tc>
          <w:tcPr>
            <w:tcW w:w="2098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0.0 % (0/13)</w:t>
            </w:r>
          </w:p>
        </w:tc>
        <w:tc>
          <w:tcPr>
            <w:tcW w:w="2098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(0/93)</w:t>
            </w:r>
          </w:p>
        </w:tc>
        <w:tc>
          <w:tcPr>
            <w:tcW w:w="2098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18.8% (3/16)</w:t>
            </w:r>
          </w:p>
        </w:tc>
        <w:tc>
          <w:tcPr>
            <w:tcW w:w="2099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0.0% (0/13)</w:t>
            </w:r>
          </w:p>
        </w:tc>
        <w:tc>
          <w:tcPr>
            <w:tcW w:w="2099" w:type="dxa"/>
            <w:tcBorders>
              <w:top w:val="nil"/>
            </w:tcBorders>
            <w:vAlign w:val="center"/>
          </w:tcPr>
          <w:p w:rsidR="00483F0F" w:rsidRPr="008F7417" w:rsidRDefault="00483F0F" w:rsidP="00483F0F">
            <w:pPr>
              <w:spacing w:before="240"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F7417">
              <w:rPr>
                <w:rFonts w:ascii="Times New Roman" w:hAnsi="Times New Roman" w:cs="Times New Roman"/>
                <w:szCs w:val="20"/>
              </w:rPr>
              <w:t>2% (1/58)</w:t>
            </w:r>
          </w:p>
        </w:tc>
      </w:tr>
    </w:tbl>
    <w:p w:rsidR="00EB3235" w:rsidRPr="008F7417" w:rsidRDefault="00EB3235" w:rsidP="00EB3235">
      <w:pPr>
        <w:spacing w:before="240" w:after="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8F7417">
        <w:rPr>
          <w:rFonts w:ascii="Times New Roman" w:eastAsia="맑은 고딕" w:hAnsi="Times New Roman" w:cs="Times New Roman"/>
          <w:szCs w:val="20"/>
        </w:rPr>
        <w:t>KDSS = Kawasaki disease shock syndrome, KD = Kawasaki disease, SS = Septic shock</w:t>
      </w:r>
      <w:r w:rsidR="008F7417">
        <w:rPr>
          <w:rFonts w:ascii="Times New Roman" w:eastAsia="맑은 고딕" w:hAnsi="Times New Roman" w:cs="Times New Roman"/>
          <w:szCs w:val="20"/>
        </w:rPr>
        <w:t>, TSS=</w:t>
      </w:r>
      <w:r w:rsidRPr="008F7417">
        <w:rPr>
          <w:rFonts w:ascii="Times New Roman" w:eastAsia="맑은 고딕" w:hAnsi="Times New Roman" w:cs="Times New Roman"/>
          <w:szCs w:val="20"/>
        </w:rPr>
        <w:t>toxic shock syndrome, ICU = Intensive care unit</w:t>
      </w:r>
    </w:p>
    <w:p w:rsidR="00EB3235" w:rsidRPr="008F7417" w:rsidRDefault="00EB3235" w:rsidP="00EB3235">
      <w:pPr>
        <w:spacing w:before="240" w:after="0" w:line="480" w:lineRule="auto"/>
        <w:jc w:val="left"/>
        <w:rPr>
          <w:rFonts w:ascii="Times New Roman" w:hAnsi="Times New Roman" w:cs="Times New Roman"/>
          <w:szCs w:val="20"/>
        </w:rPr>
      </w:pPr>
      <w:r w:rsidRPr="008F7417">
        <w:rPr>
          <w:rFonts w:ascii="Times New Roman" w:hAnsi="Times New Roman" w:cs="Times New Roman"/>
          <w:szCs w:val="20"/>
        </w:rPr>
        <w:t xml:space="preserve">* = only intubation support </w:t>
      </w:r>
    </w:p>
    <w:sectPr w:rsidR="00EB3235" w:rsidRPr="008F7417" w:rsidSect="00050C17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47C" w:rsidRDefault="00F0247C" w:rsidP="00AF025E">
      <w:pPr>
        <w:spacing w:after="0" w:line="240" w:lineRule="auto"/>
      </w:pPr>
      <w:r>
        <w:separator/>
      </w:r>
    </w:p>
  </w:endnote>
  <w:endnote w:type="continuationSeparator" w:id="0">
    <w:p w:rsidR="00F0247C" w:rsidRDefault="00F0247C" w:rsidP="00AF0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47C" w:rsidRDefault="00F0247C" w:rsidP="00AF025E">
      <w:pPr>
        <w:spacing w:after="0" w:line="240" w:lineRule="auto"/>
      </w:pPr>
      <w:r>
        <w:separator/>
      </w:r>
    </w:p>
  </w:footnote>
  <w:footnote w:type="continuationSeparator" w:id="0">
    <w:p w:rsidR="00F0247C" w:rsidRDefault="00F0247C" w:rsidP="00AF0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69F"/>
    <w:rsid w:val="00031EEC"/>
    <w:rsid w:val="000400EA"/>
    <w:rsid w:val="000D4020"/>
    <w:rsid w:val="00170299"/>
    <w:rsid w:val="001A1B24"/>
    <w:rsid w:val="001A4333"/>
    <w:rsid w:val="002455B7"/>
    <w:rsid w:val="00287DE8"/>
    <w:rsid w:val="002C0E88"/>
    <w:rsid w:val="003334AC"/>
    <w:rsid w:val="00360854"/>
    <w:rsid w:val="003807AB"/>
    <w:rsid w:val="00465ABB"/>
    <w:rsid w:val="00483F0F"/>
    <w:rsid w:val="004E477A"/>
    <w:rsid w:val="004F069F"/>
    <w:rsid w:val="005A095B"/>
    <w:rsid w:val="006B342E"/>
    <w:rsid w:val="00722921"/>
    <w:rsid w:val="007A6172"/>
    <w:rsid w:val="00807EF9"/>
    <w:rsid w:val="0082100F"/>
    <w:rsid w:val="00834620"/>
    <w:rsid w:val="008E3C4A"/>
    <w:rsid w:val="008F7417"/>
    <w:rsid w:val="0090297D"/>
    <w:rsid w:val="009E4C40"/>
    <w:rsid w:val="009E6211"/>
    <w:rsid w:val="009F7965"/>
    <w:rsid w:val="00A22EF8"/>
    <w:rsid w:val="00A40F85"/>
    <w:rsid w:val="00AB16C6"/>
    <w:rsid w:val="00AF025E"/>
    <w:rsid w:val="00B04340"/>
    <w:rsid w:val="00D666BE"/>
    <w:rsid w:val="00DD0B5C"/>
    <w:rsid w:val="00E05416"/>
    <w:rsid w:val="00EB3235"/>
    <w:rsid w:val="00F0247C"/>
    <w:rsid w:val="00FC0BA1"/>
    <w:rsid w:val="00FD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06260A-46B4-4408-83D3-622F2BA8D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69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4F069F"/>
    <w:pPr>
      <w:spacing w:line="480" w:lineRule="auto"/>
    </w:pPr>
    <w:rPr>
      <w:rFonts w:ascii="Times New Roman" w:eastAsia="맑은 고딕" w:hAnsi="Times New Roman" w:cs="Times New Roman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4F069F"/>
    <w:rPr>
      <w:rFonts w:ascii="Times New Roman" w:eastAsia="맑은 고딕" w:hAnsi="Times New Roman" w:cs="Times New Roman"/>
      <w:noProof/>
      <w:sz w:val="22"/>
    </w:rPr>
  </w:style>
  <w:style w:type="table" w:styleId="a3">
    <w:name w:val="Table Grid"/>
    <w:basedOn w:val="a1"/>
    <w:uiPriority w:val="39"/>
    <w:rsid w:val="004F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F025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F025E"/>
  </w:style>
  <w:style w:type="paragraph" w:styleId="a5">
    <w:name w:val="footer"/>
    <w:basedOn w:val="a"/>
    <w:link w:val="Char0"/>
    <w:uiPriority w:val="99"/>
    <w:unhideWhenUsed/>
    <w:rsid w:val="00AF02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F02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1235</Words>
  <Characters>7041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2020-07-29T04:52:00Z</dcterms:created>
  <dcterms:modified xsi:type="dcterms:W3CDTF">2020-07-31T05:53:00Z</dcterms:modified>
</cp:coreProperties>
</file>