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4D842" w14:textId="761A2D0C" w:rsidR="007509A2" w:rsidRPr="00FD1151" w:rsidRDefault="00E31CA4" w:rsidP="00DB3D53">
      <w:pPr>
        <w:spacing w:line="276" w:lineRule="auto"/>
        <w:jc w:val="center"/>
        <w:rPr>
          <w:rFonts w:ascii="Times New Roman" w:hAnsi="Times New Roman" w:cs="Times New Roman"/>
          <w:b/>
          <w:bCs/>
          <w:sz w:val="36"/>
          <w:szCs w:val="36"/>
        </w:rPr>
      </w:pPr>
      <w:r w:rsidRPr="00FD1151">
        <w:rPr>
          <w:rFonts w:ascii="Times New Roman" w:hAnsi="Times New Roman" w:cs="Times New Roman"/>
          <w:b/>
          <w:bCs/>
          <w:sz w:val="36"/>
          <w:szCs w:val="36"/>
        </w:rPr>
        <w:t>Supplementary</w:t>
      </w:r>
      <w:r w:rsidR="00383F97" w:rsidRPr="00FD1151">
        <w:rPr>
          <w:rFonts w:ascii="Times New Roman" w:hAnsi="Times New Roman" w:cs="Times New Roman"/>
          <w:b/>
          <w:bCs/>
          <w:sz w:val="36"/>
          <w:szCs w:val="36"/>
        </w:rPr>
        <w:t xml:space="preserve"> </w:t>
      </w:r>
      <w:r w:rsidR="005B5B80" w:rsidRPr="00FD1151">
        <w:rPr>
          <w:rFonts w:ascii="Times New Roman" w:hAnsi="Times New Roman" w:cs="Times New Roman"/>
          <w:b/>
          <w:bCs/>
          <w:sz w:val="36"/>
          <w:szCs w:val="36"/>
        </w:rPr>
        <w:t>Information</w:t>
      </w:r>
    </w:p>
    <w:p w14:paraId="71FB2DB5" w14:textId="77777777" w:rsidR="002718EE" w:rsidRPr="00FD1151" w:rsidRDefault="002718EE" w:rsidP="00DB3D53">
      <w:pPr>
        <w:spacing w:line="276" w:lineRule="auto"/>
        <w:jc w:val="center"/>
        <w:rPr>
          <w:rFonts w:ascii="Times New Roman" w:hAnsi="Times New Roman" w:cs="Times New Roman"/>
          <w:b/>
          <w:bCs/>
          <w:sz w:val="28"/>
        </w:rPr>
      </w:pPr>
    </w:p>
    <w:p w14:paraId="5934AC73" w14:textId="77777777" w:rsidR="002718EE" w:rsidRPr="00FD1151" w:rsidRDefault="002718EE" w:rsidP="002718EE">
      <w:pPr>
        <w:jc w:val="center"/>
        <w:rPr>
          <w:rFonts w:ascii="Times New Roman" w:hAnsi="Times New Roman" w:cs="Times New Roman"/>
          <w:b/>
          <w:bCs/>
          <w:sz w:val="28"/>
        </w:rPr>
      </w:pPr>
      <w:r w:rsidRPr="00FD1151">
        <w:rPr>
          <w:rFonts w:ascii="Times New Roman" w:hAnsi="Times New Roman" w:cs="Times New Roman"/>
          <w:b/>
          <w:bCs/>
          <w:sz w:val="28"/>
        </w:rPr>
        <w:t>Rational Design of Thrombin-Derived VFR12 Analogs with Enhanced Antimicrobial, Antibiofilm, and Anti-inflammatory Properties</w:t>
      </w:r>
    </w:p>
    <w:p w14:paraId="54C8AF5D" w14:textId="2E3EC6E9" w:rsidR="002718EE" w:rsidRPr="00FD1151" w:rsidRDefault="002718EE" w:rsidP="002718EE">
      <w:pPr>
        <w:jc w:val="center"/>
        <w:rPr>
          <w:rFonts w:ascii="Times New Roman" w:hAnsi="Times New Roman" w:cs="Times New Roman"/>
          <w:bCs/>
        </w:rPr>
      </w:pPr>
      <w:r w:rsidRPr="00FD1151">
        <w:rPr>
          <w:rFonts w:ascii="Times New Roman" w:hAnsi="Times New Roman" w:cs="Times New Roman"/>
          <w:bCs/>
        </w:rPr>
        <w:t>Ishrat Jahan</w:t>
      </w:r>
      <w:r w:rsidRPr="00FD1151">
        <w:rPr>
          <w:rFonts w:ascii="Times New Roman" w:hAnsi="Times New Roman" w:cs="Times New Roman"/>
          <w:bCs/>
          <w:vertAlign w:val="superscript"/>
        </w:rPr>
        <w:t>1</w:t>
      </w:r>
      <w:r w:rsidRPr="00FD1151">
        <w:rPr>
          <w:rFonts w:ascii="Times New Roman" w:hAnsi="Times New Roman" w:cs="Times New Roman"/>
          <w:bCs/>
        </w:rPr>
        <w:t>, S. Dinesh Kumar</w:t>
      </w:r>
      <w:r w:rsidRPr="00FD1151">
        <w:rPr>
          <w:rFonts w:ascii="Times New Roman" w:hAnsi="Times New Roman" w:cs="Times New Roman"/>
          <w:bCs/>
          <w:vertAlign w:val="superscript"/>
        </w:rPr>
        <w:t>2</w:t>
      </w:r>
      <w:r w:rsidRPr="00FD1151">
        <w:rPr>
          <w:rFonts w:ascii="Times New Roman" w:hAnsi="Times New Roman" w:cs="Times New Roman"/>
          <w:bCs/>
        </w:rPr>
        <w:t xml:space="preserve">, </w:t>
      </w:r>
      <w:proofErr w:type="spellStart"/>
      <w:r w:rsidRPr="00FD1151">
        <w:rPr>
          <w:rFonts w:ascii="Times New Roman" w:hAnsi="Times New Roman" w:cs="Times New Roman"/>
          <w:kern w:val="0"/>
        </w:rPr>
        <w:t>Chelladurai</w:t>
      </w:r>
      <w:proofErr w:type="spellEnd"/>
      <w:r w:rsidRPr="00FD1151">
        <w:rPr>
          <w:rFonts w:ascii="Times New Roman" w:hAnsi="Times New Roman" w:cs="Times New Roman"/>
          <w:kern w:val="0"/>
        </w:rPr>
        <w:t xml:space="preserve"> Ajish</w:t>
      </w:r>
      <w:r w:rsidRPr="00FD1151">
        <w:rPr>
          <w:rFonts w:ascii="Times New Roman" w:hAnsi="Times New Roman" w:cs="Times New Roman"/>
          <w:bCs/>
          <w:vertAlign w:val="superscript"/>
        </w:rPr>
        <w:t>1</w:t>
      </w:r>
      <w:r w:rsidRPr="00FD1151">
        <w:rPr>
          <w:rFonts w:ascii="Times New Roman" w:hAnsi="Times New Roman" w:cs="Times New Roman"/>
          <w:bCs/>
        </w:rPr>
        <w:t xml:space="preserve">, </w:t>
      </w:r>
      <w:proofErr w:type="spellStart"/>
      <w:r w:rsidRPr="00FD1151">
        <w:rPr>
          <w:rFonts w:ascii="Times New Roman" w:hAnsi="Times New Roman" w:cs="Times New Roman"/>
          <w:bCs/>
        </w:rPr>
        <w:t>Chul</w:t>
      </w:r>
      <w:proofErr w:type="spellEnd"/>
      <w:r w:rsidRPr="00FD1151">
        <w:rPr>
          <w:rFonts w:ascii="Times New Roman" w:hAnsi="Times New Roman" w:cs="Times New Roman"/>
          <w:bCs/>
        </w:rPr>
        <w:t xml:space="preserve"> Won Lee</w:t>
      </w:r>
      <w:r w:rsidRPr="00FD1151">
        <w:rPr>
          <w:rFonts w:ascii="Times New Roman" w:hAnsi="Times New Roman" w:cs="Times New Roman"/>
          <w:bCs/>
          <w:vertAlign w:val="superscript"/>
        </w:rPr>
        <w:t>3</w:t>
      </w:r>
      <w:r w:rsidRPr="00FD1151">
        <w:rPr>
          <w:rFonts w:ascii="Times New Roman" w:hAnsi="Times New Roman" w:cs="Times New Roman"/>
          <w:bCs/>
        </w:rPr>
        <w:t xml:space="preserve">, Song </w:t>
      </w:r>
      <w:proofErr w:type="spellStart"/>
      <w:r w:rsidRPr="00FD1151">
        <w:rPr>
          <w:rFonts w:ascii="Times New Roman" w:hAnsi="Times New Roman" w:cs="Times New Roman"/>
          <w:bCs/>
        </w:rPr>
        <w:t>Yub</w:t>
      </w:r>
      <w:proofErr w:type="spellEnd"/>
      <w:r w:rsidRPr="00FD1151">
        <w:rPr>
          <w:rFonts w:ascii="Times New Roman" w:hAnsi="Times New Roman" w:cs="Times New Roman"/>
          <w:bCs/>
        </w:rPr>
        <w:t xml:space="preserve"> Shin</w:t>
      </w:r>
      <w:r w:rsidR="008533D3" w:rsidRPr="00FD1151">
        <w:rPr>
          <w:rFonts w:ascii="Times New Roman" w:hAnsi="Times New Roman" w:cs="Times New Roman"/>
          <w:bCs/>
          <w:vertAlign w:val="superscript"/>
        </w:rPr>
        <w:t>1,</w:t>
      </w:r>
      <w:r w:rsidRPr="00FD1151">
        <w:rPr>
          <w:rFonts w:ascii="Times New Roman" w:hAnsi="Times New Roman" w:cs="Times New Roman"/>
          <w:bCs/>
          <w:vertAlign w:val="superscript"/>
        </w:rPr>
        <w:t>2,</w:t>
      </w:r>
      <w:r w:rsidRPr="00FD1151">
        <w:rPr>
          <w:rFonts w:ascii="Times New Roman" w:hAnsi="Times New Roman" w:cs="Times New Roman"/>
          <w:bCs/>
        </w:rPr>
        <w:t xml:space="preserve">* and </w:t>
      </w:r>
      <w:proofErr w:type="spellStart"/>
      <w:r w:rsidRPr="00FD1151">
        <w:rPr>
          <w:rFonts w:ascii="Times New Roman" w:hAnsi="Times New Roman" w:cs="Times New Roman"/>
          <w:bCs/>
        </w:rPr>
        <w:t>Sungtae</w:t>
      </w:r>
      <w:proofErr w:type="spellEnd"/>
      <w:r w:rsidRPr="00FD1151">
        <w:rPr>
          <w:rFonts w:ascii="Times New Roman" w:hAnsi="Times New Roman" w:cs="Times New Roman"/>
          <w:bCs/>
        </w:rPr>
        <w:t xml:space="preserve"> Yang</w:t>
      </w:r>
      <w:r w:rsidRPr="00FD1151">
        <w:rPr>
          <w:rFonts w:ascii="Times New Roman" w:hAnsi="Times New Roman" w:cs="Times New Roman"/>
          <w:bCs/>
          <w:vertAlign w:val="superscript"/>
        </w:rPr>
        <w:t>1,4,</w:t>
      </w:r>
      <w:r w:rsidRPr="00FD1151">
        <w:rPr>
          <w:rFonts w:ascii="Times New Roman" w:hAnsi="Times New Roman" w:cs="Times New Roman"/>
          <w:bCs/>
        </w:rPr>
        <w:t>*</w:t>
      </w:r>
    </w:p>
    <w:p w14:paraId="31FC58BB" w14:textId="77777777" w:rsidR="002718EE" w:rsidRPr="00FD1151" w:rsidRDefault="002718EE" w:rsidP="002718EE">
      <w:pPr>
        <w:rPr>
          <w:rFonts w:ascii="Times New Roman" w:hAnsi="Times New Roman" w:cs="Times New Roman"/>
        </w:rPr>
      </w:pPr>
      <w:r w:rsidRPr="00FD1151">
        <w:rPr>
          <w:rFonts w:ascii="Times New Roman" w:hAnsi="Times New Roman" w:cs="Times New Roman"/>
          <w:vertAlign w:val="superscript"/>
        </w:rPr>
        <w:t>1</w:t>
      </w:r>
      <w:r w:rsidRPr="00FD1151">
        <w:rPr>
          <w:rFonts w:ascii="Times New Roman" w:hAnsi="Times New Roman" w:cs="Times New Roman"/>
        </w:rPr>
        <w:t>Department of Biomedical Sciences, School of Medicine, Chosun University, Gwangju 61452, Republic of Korea</w:t>
      </w:r>
    </w:p>
    <w:p w14:paraId="38E4BE86" w14:textId="77777777" w:rsidR="002718EE" w:rsidRPr="00FD1151" w:rsidRDefault="002718EE" w:rsidP="002718EE">
      <w:pPr>
        <w:rPr>
          <w:rFonts w:ascii="Times New Roman" w:hAnsi="Times New Roman" w:cs="Times New Roman"/>
        </w:rPr>
      </w:pPr>
      <w:r w:rsidRPr="00FD1151">
        <w:rPr>
          <w:rFonts w:ascii="Times New Roman" w:hAnsi="Times New Roman" w:cs="Times New Roman"/>
          <w:vertAlign w:val="superscript"/>
        </w:rPr>
        <w:t>2</w:t>
      </w:r>
      <w:r w:rsidRPr="00FD1151">
        <w:rPr>
          <w:rFonts w:ascii="Times New Roman" w:hAnsi="Times New Roman" w:cs="Times New Roman"/>
        </w:rPr>
        <w:t>Department of Cellular &amp; Molecular Medicine, School of Medicine, Chosun University, Gwangju, 61452, Republic of Korea</w:t>
      </w:r>
    </w:p>
    <w:p w14:paraId="3A6DE42F" w14:textId="77777777" w:rsidR="002718EE" w:rsidRPr="00FD1151" w:rsidRDefault="002718EE" w:rsidP="002718EE">
      <w:pPr>
        <w:rPr>
          <w:rFonts w:ascii="Times New Roman" w:hAnsi="Times New Roman" w:cs="Times New Roman"/>
        </w:rPr>
      </w:pPr>
      <w:r w:rsidRPr="00FD1151">
        <w:rPr>
          <w:rFonts w:ascii="Times New Roman" w:hAnsi="Times New Roman" w:cs="Times New Roman"/>
          <w:vertAlign w:val="superscript"/>
        </w:rPr>
        <w:t>3</w:t>
      </w:r>
      <w:r w:rsidRPr="00FD1151">
        <w:rPr>
          <w:rFonts w:ascii="Times New Roman" w:hAnsi="Times New Roman" w:cs="Times New Roman"/>
        </w:rPr>
        <w:t>Department of Chemistry, Chonnam National University, Gwangju, 61186, Republic of Korea</w:t>
      </w:r>
    </w:p>
    <w:p w14:paraId="24D7C02F" w14:textId="77777777" w:rsidR="002718EE" w:rsidRPr="004E78FB" w:rsidRDefault="002718EE" w:rsidP="002718EE">
      <w:pPr>
        <w:rPr>
          <w:rFonts w:ascii="Times New Roman" w:hAnsi="Times New Roman" w:cs="Times New Roman"/>
        </w:rPr>
      </w:pPr>
      <w:r w:rsidRPr="00FD1151">
        <w:rPr>
          <w:rFonts w:ascii="Times New Roman" w:hAnsi="Times New Roman" w:cs="Times New Roman"/>
          <w:vertAlign w:val="superscript"/>
        </w:rPr>
        <w:t>4</w:t>
      </w:r>
      <w:r w:rsidRPr="00FD1151">
        <w:rPr>
          <w:rFonts w:ascii="Times New Roman" w:eastAsia="ArnoPro-Italic" w:hAnsi="Times New Roman" w:cs="Times New Roman"/>
          <w:iCs/>
          <w:kern w:val="0"/>
        </w:rPr>
        <w:t xml:space="preserve"> Department of Microbiology, School of Medicine and </w:t>
      </w:r>
      <w:r w:rsidRPr="00FD1151">
        <w:rPr>
          <w:rFonts w:ascii="Times New Roman" w:hAnsi="Times New Roman" w:cs="Times New Roman"/>
        </w:rPr>
        <w:t xml:space="preserve">Institute of Well-Aging Medicare &amp; CSU G-LAMP Project Group, Chosun University, Gwangju, 61452, </w:t>
      </w:r>
      <w:r w:rsidRPr="004E78FB">
        <w:rPr>
          <w:rFonts w:ascii="Times New Roman" w:hAnsi="Times New Roman" w:cs="Times New Roman"/>
        </w:rPr>
        <w:t>Republic of Korea</w:t>
      </w:r>
    </w:p>
    <w:p w14:paraId="03F48E24" w14:textId="77777777" w:rsidR="002718EE" w:rsidRPr="004E78FB" w:rsidRDefault="002718EE" w:rsidP="002718EE">
      <w:pPr>
        <w:rPr>
          <w:rFonts w:ascii="Times New Roman" w:hAnsi="Times New Roman" w:cs="Times New Roman"/>
          <w:b/>
          <w:bCs/>
        </w:rPr>
      </w:pPr>
    </w:p>
    <w:p w14:paraId="57FD9DFE" w14:textId="77777777" w:rsidR="002718EE" w:rsidRPr="00FD1151" w:rsidRDefault="002718EE" w:rsidP="002718EE">
      <w:pPr>
        <w:rPr>
          <w:rFonts w:ascii="Times New Roman" w:hAnsi="Times New Roman" w:cs="Times New Roman"/>
          <w:b/>
          <w:bCs/>
        </w:rPr>
      </w:pPr>
    </w:p>
    <w:p w14:paraId="37A30BD7" w14:textId="77777777" w:rsidR="002718EE" w:rsidRPr="00FD1151" w:rsidRDefault="002718EE" w:rsidP="002718EE">
      <w:pPr>
        <w:spacing w:line="360" w:lineRule="auto"/>
        <w:rPr>
          <w:rFonts w:ascii="Times New Roman" w:hAnsi="Times New Roman" w:cs="Times New Roman"/>
        </w:rPr>
      </w:pPr>
      <w:r w:rsidRPr="00FD1151">
        <w:rPr>
          <w:rFonts w:ascii="Times New Roman" w:hAnsi="Times New Roman" w:cs="Times New Roman"/>
        </w:rPr>
        <w:t xml:space="preserve">* Corresponding authors: </w:t>
      </w:r>
    </w:p>
    <w:p w14:paraId="050A0689" w14:textId="77777777" w:rsidR="002718EE" w:rsidRPr="00FD1151" w:rsidRDefault="002718EE" w:rsidP="002718EE">
      <w:pPr>
        <w:spacing w:line="360" w:lineRule="auto"/>
        <w:rPr>
          <w:rFonts w:ascii="Times New Roman" w:hAnsi="Times New Roman" w:cs="Times New Roman"/>
        </w:rPr>
      </w:pPr>
      <w:r w:rsidRPr="00FD1151">
        <w:rPr>
          <w:rFonts w:ascii="Times New Roman" w:hAnsi="Times New Roman" w:cs="Times New Roman"/>
        </w:rPr>
        <w:t xml:space="preserve">Song </w:t>
      </w:r>
      <w:proofErr w:type="spellStart"/>
      <w:r w:rsidRPr="00FD1151">
        <w:rPr>
          <w:rFonts w:ascii="Times New Roman" w:hAnsi="Times New Roman" w:cs="Times New Roman"/>
        </w:rPr>
        <w:t>Yub</w:t>
      </w:r>
      <w:proofErr w:type="spellEnd"/>
      <w:r w:rsidRPr="00FD1151">
        <w:rPr>
          <w:rFonts w:ascii="Times New Roman" w:hAnsi="Times New Roman" w:cs="Times New Roman"/>
        </w:rPr>
        <w:t xml:space="preserve"> Shin (</w:t>
      </w:r>
      <w:hyperlink r:id="rId5" w:history="1">
        <w:r w:rsidRPr="00FD1151">
          <w:rPr>
            <w:rStyle w:val="aa"/>
            <w:rFonts w:ascii="Times New Roman" w:hAnsi="Times New Roman" w:cs="Times New Roman"/>
            <w:color w:val="auto"/>
            <w:u w:val="none"/>
          </w:rPr>
          <w:t>syshin@chosun.ac.kr</w:t>
        </w:r>
      </w:hyperlink>
      <w:r w:rsidRPr="00FD1151">
        <w:rPr>
          <w:rFonts w:ascii="Times New Roman" w:hAnsi="Times New Roman" w:cs="Times New Roman"/>
        </w:rPr>
        <w:t xml:space="preserve">)  &amp; </w:t>
      </w:r>
      <w:proofErr w:type="spellStart"/>
      <w:r w:rsidRPr="00FD1151">
        <w:rPr>
          <w:rFonts w:ascii="Times New Roman" w:hAnsi="Times New Roman" w:cs="Times New Roman"/>
        </w:rPr>
        <w:t>Sungtae</w:t>
      </w:r>
      <w:proofErr w:type="spellEnd"/>
      <w:r w:rsidRPr="00FD1151">
        <w:rPr>
          <w:rFonts w:ascii="Times New Roman" w:hAnsi="Times New Roman" w:cs="Times New Roman"/>
        </w:rPr>
        <w:t xml:space="preserve"> Yang (</w:t>
      </w:r>
      <w:hyperlink r:id="rId6" w:history="1">
        <w:r w:rsidRPr="00FD1151">
          <w:rPr>
            <w:rStyle w:val="aa"/>
            <w:rFonts w:ascii="Times New Roman" w:hAnsi="Times New Roman" w:cs="Times New Roman"/>
            <w:color w:val="auto"/>
            <w:u w:val="none"/>
          </w:rPr>
          <w:t>styang@chosun.ac.kr</w:t>
        </w:r>
      </w:hyperlink>
      <w:r w:rsidRPr="00FD1151">
        <w:rPr>
          <w:rFonts w:ascii="Times New Roman" w:hAnsi="Times New Roman" w:cs="Times New Roman"/>
        </w:rPr>
        <w:t>)</w:t>
      </w:r>
    </w:p>
    <w:p w14:paraId="1BF6A2BF" w14:textId="77777777" w:rsidR="00383F97" w:rsidRPr="00FD1151" w:rsidRDefault="00383F97" w:rsidP="00DB3D53">
      <w:pPr>
        <w:spacing w:line="276" w:lineRule="auto"/>
        <w:rPr>
          <w:rFonts w:ascii="Times New Roman" w:hAnsi="Times New Roman" w:cs="Times New Roman"/>
          <w:b/>
          <w:bCs/>
        </w:rPr>
      </w:pPr>
    </w:p>
    <w:p w14:paraId="3F1F8D78" w14:textId="77777777" w:rsidR="00383F97" w:rsidRPr="00FD1151" w:rsidRDefault="00383F97" w:rsidP="00DB3D53">
      <w:pPr>
        <w:spacing w:line="276" w:lineRule="auto"/>
        <w:jc w:val="both"/>
        <w:rPr>
          <w:rFonts w:ascii="Times New Roman" w:hAnsi="Times New Roman" w:cs="Times New Roman"/>
          <w:b/>
          <w:bCs/>
        </w:rPr>
      </w:pPr>
    </w:p>
    <w:p w14:paraId="2DC82D64" w14:textId="77777777" w:rsidR="00383F97" w:rsidRDefault="00383F97" w:rsidP="00DB3D53">
      <w:pPr>
        <w:spacing w:after="0" w:line="276" w:lineRule="auto"/>
        <w:rPr>
          <w:rFonts w:ascii="Times New Roman" w:hAnsi="Times New Roman" w:cs="Times New Roman"/>
          <w:b/>
          <w:bCs/>
        </w:rPr>
      </w:pPr>
    </w:p>
    <w:p w14:paraId="5BAAA029" w14:textId="77777777" w:rsidR="00383F97" w:rsidRDefault="00383F97" w:rsidP="00DB3D53">
      <w:pPr>
        <w:spacing w:after="0" w:line="276" w:lineRule="auto"/>
        <w:rPr>
          <w:rFonts w:ascii="Times New Roman" w:hAnsi="Times New Roman" w:cs="Times New Roman"/>
          <w:b/>
          <w:bCs/>
        </w:rPr>
      </w:pPr>
    </w:p>
    <w:p w14:paraId="1325CC1F" w14:textId="2F9B463F" w:rsidR="00FD1151" w:rsidRDefault="00FD1151">
      <w:pPr>
        <w:rPr>
          <w:rFonts w:ascii="Times New Roman" w:hAnsi="Times New Roman" w:cs="Times New Roman"/>
          <w:b/>
          <w:bCs/>
        </w:rPr>
      </w:pPr>
      <w:r>
        <w:rPr>
          <w:rFonts w:ascii="Times New Roman" w:hAnsi="Times New Roman" w:cs="Times New Roman"/>
          <w:b/>
          <w:bCs/>
        </w:rPr>
        <w:br w:type="page"/>
      </w:r>
    </w:p>
    <w:p w14:paraId="172C3C97" w14:textId="77CAD855" w:rsidR="007468FE" w:rsidRDefault="005B5B80" w:rsidP="00DB3D53">
      <w:pPr>
        <w:pStyle w:val="a6"/>
        <w:numPr>
          <w:ilvl w:val="0"/>
          <w:numId w:val="4"/>
        </w:numPr>
        <w:spacing w:after="0" w:line="276" w:lineRule="auto"/>
        <w:rPr>
          <w:rFonts w:ascii="Times New Roman" w:hAnsi="Times New Roman" w:cs="Times New Roman"/>
          <w:b/>
          <w:bCs/>
        </w:rPr>
      </w:pPr>
      <w:r>
        <w:rPr>
          <w:rFonts w:ascii="Times New Roman" w:hAnsi="Times New Roman" w:cs="Times New Roman"/>
          <w:b/>
          <w:bCs/>
        </w:rPr>
        <w:lastRenderedPageBreak/>
        <w:t>S</w:t>
      </w:r>
      <w:r w:rsidR="007468FE">
        <w:rPr>
          <w:rFonts w:ascii="Times New Roman" w:hAnsi="Times New Roman" w:cs="Times New Roman"/>
          <w:b/>
          <w:bCs/>
        </w:rPr>
        <w:t>upp</w:t>
      </w:r>
      <w:r>
        <w:rPr>
          <w:rFonts w:ascii="Times New Roman" w:hAnsi="Times New Roman" w:cs="Times New Roman"/>
          <w:b/>
          <w:bCs/>
        </w:rPr>
        <w:t xml:space="preserve">lementary </w:t>
      </w:r>
      <w:r w:rsidR="007468FE" w:rsidRPr="007468FE">
        <w:rPr>
          <w:rFonts w:ascii="Times New Roman" w:hAnsi="Times New Roman" w:cs="Times New Roman"/>
          <w:b/>
          <w:bCs/>
        </w:rPr>
        <w:t xml:space="preserve">Methods </w:t>
      </w:r>
    </w:p>
    <w:p w14:paraId="36CDBC7E" w14:textId="77777777" w:rsidR="0060480D" w:rsidRPr="007468FE" w:rsidRDefault="0060480D" w:rsidP="00DB3D53">
      <w:pPr>
        <w:pStyle w:val="a6"/>
        <w:spacing w:after="0" w:line="276" w:lineRule="auto"/>
        <w:ind w:left="360"/>
        <w:rPr>
          <w:rFonts w:ascii="Times New Roman" w:hAnsi="Times New Roman" w:cs="Times New Roman"/>
          <w:b/>
          <w:bCs/>
        </w:rPr>
      </w:pPr>
    </w:p>
    <w:p w14:paraId="591876D9" w14:textId="49632E43" w:rsidR="0060480D" w:rsidRPr="00A84129" w:rsidRDefault="007509A2" w:rsidP="00DB3D53">
      <w:pPr>
        <w:spacing w:after="0" w:line="276" w:lineRule="auto"/>
        <w:rPr>
          <w:rFonts w:ascii="Times New Roman" w:hAnsi="Times New Roman" w:cs="Times New Roman"/>
          <w:b/>
          <w:bCs/>
        </w:rPr>
      </w:pPr>
      <w:r w:rsidRPr="00A84129">
        <w:rPr>
          <w:rFonts w:ascii="Times New Roman" w:hAnsi="Times New Roman" w:cs="Times New Roman"/>
          <w:b/>
          <w:bCs/>
        </w:rPr>
        <w:t xml:space="preserve">Peptide synthesis &amp; characterization </w:t>
      </w:r>
    </w:p>
    <w:p w14:paraId="235CF449" w14:textId="64BF57BE" w:rsidR="007509A2" w:rsidRPr="00A84129" w:rsidRDefault="00AB1A27" w:rsidP="006B5425">
      <w:pPr>
        <w:spacing w:after="0" w:line="276" w:lineRule="auto"/>
        <w:jc w:val="both"/>
        <w:rPr>
          <w:rFonts w:ascii="Times New Roman" w:hAnsi="Times New Roman" w:cs="Times New Roman"/>
        </w:rPr>
      </w:pPr>
      <w:r>
        <w:rPr>
          <w:rFonts w:ascii="Times New Roman" w:hAnsi="Times New Roman" w:cs="Times New Roman"/>
        </w:rPr>
        <w:t>VFR12</w:t>
      </w:r>
      <w:r w:rsidR="007509A2" w:rsidRPr="00A84129">
        <w:rPr>
          <w:rFonts w:ascii="Times New Roman" w:hAnsi="Times New Roman" w:cs="Times New Roman"/>
        </w:rPr>
        <w:t xml:space="preserve"> peptide</w:t>
      </w:r>
      <w:r w:rsidR="001F01EB">
        <w:rPr>
          <w:rFonts w:ascii="Times New Roman" w:hAnsi="Times New Roman" w:cs="Times New Roman"/>
        </w:rPr>
        <w:t xml:space="preserve"> with analogues</w:t>
      </w:r>
      <w:r w:rsidR="007509A2" w:rsidRPr="00A84129">
        <w:rPr>
          <w:rFonts w:ascii="Times New Roman" w:hAnsi="Times New Roman" w:cs="Times New Roman"/>
        </w:rPr>
        <w:t xml:space="preserve"> were synthesized utilizing Fmoc solid-phase peptide synthesis (SPPS) methodology employing Rink amide MBHA resin as the solid support matrix. Coupling reactions were facilitated by </w:t>
      </w:r>
      <w:proofErr w:type="spellStart"/>
      <w:r w:rsidR="007509A2" w:rsidRPr="00A84129">
        <w:rPr>
          <w:rFonts w:ascii="Times New Roman" w:hAnsi="Times New Roman" w:cs="Times New Roman"/>
        </w:rPr>
        <w:t>dicyclohexylcarbodiimide</w:t>
      </w:r>
      <w:proofErr w:type="spellEnd"/>
      <w:r w:rsidR="007509A2" w:rsidRPr="00A84129">
        <w:rPr>
          <w:rFonts w:ascii="Times New Roman" w:hAnsi="Times New Roman" w:cs="Times New Roman"/>
        </w:rPr>
        <w:t xml:space="preserve"> (DCC) in conjunction with 1-hydroxybenzotriazole (</w:t>
      </w:r>
      <w:proofErr w:type="spellStart"/>
      <w:r w:rsidR="007509A2" w:rsidRPr="00A84129">
        <w:rPr>
          <w:rFonts w:ascii="Times New Roman" w:hAnsi="Times New Roman" w:cs="Times New Roman"/>
        </w:rPr>
        <w:t>HOBt</w:t>
      </w:r>
      <w:proofErr w:type="spellEnd"/>
      <w:r w:rsidR="007509A2" w:rsidRPr="00A84129">
        <w:rPr>
          <w:rFonts w:ascii="Times New Roman" w:hAnsi="Times New Roman" w:cs="Times New Roman"/>
        </w:rPr>
        <w:t xml:space="preserve">) as coupling reagents. For each coupling cycle, Fmoc-protected amino acids were employed in 10-fold molar excess. Following completion of the synthesis, the peptides were subjected to standard trifluoroacetic acid-based cleavage conditions, and the resulting crude peptides were precipitated and washed with diethyl ether. Analytical assessment of peptide purity was conducted via reversed-phase high-performance liquid chromatography (RP-HPLC) utilizing an analytical </w:t>
      </w:r>
      <w:proofErr w:type="spellStart"/>
      <w:r w:rsidR="007509A2" w:rsidRPr="00A84129">
        <w:rPr>
          <w:rFonts w:ascii="Times New Roman" w:hAnsi="Times New Roman" w:cs="Times New Roman"/>
        </w:rPr>
        <w:t>Vydac</w:t>
      </w:r>
      <w:proofErr w:type="spellEnd"/>
      <w:r w:rsidR="007509A2" w:rsidRPr="00A84129">
        <w:rPr>
          <w:rFonts w:ascii="Times New Roman" w:hAnsi="Times New Roman" w:cs="Times New Roman"/>
        </w:rPr>
        <w:t xml:space="preserve"> C18 column. Subsequent purification was achieved through preparative RP-HPLC, and molecular mass confirmation was performed via electrospray ionization liquid chromatography-mass spectrometry (ESI-LC-MS).</w:t>
      </w:r>
    </w:p>
    <w:p w14:paraId="66A69D6D" w14:textId="77777777" w:rsidR="00E31CA4" w:rsidRDefault="00E31CA4" w:rsidP="00DB3D53">
      <w:pPr>
        <w:spacing w:after="0" w:line="276" w:lineRule="auto"/>
        <w:rPr>
          <w:rFonts w:ascii="Times New Roman" w:hAnsi="Times New Roman" w:cs="Times New Roman"/>
          <w:b/>
          <w:bCs/>
        </w:rPr>
      </w:pPr>
    </w:p>
    <w:p w14:paraId="40144BA1" w14:textId="6276123D" w:rsidR="007509A2" w:rsidRPr="00A84129" w:rsidRDefault="007509A2" w:rsidP="00DB3D53">
      <w:pPr>
        <w:spacing w:after="0" w:line="276" w:lineRule="auto"/>
        <w:rPr>
          <w:rFonts w:ascii="Times New Roman" w:hAnsi="Times New Roman" w:cs="Times New Roman"/>
          <w:b/>
          <w:bCs/>
        </w:rPr>
      </w:pPr>
      <w:r w:rsidRPr="00A84129">
        <w:rPr>
          <w:rFonts w:ascii="Times New Roman" w:hAnsi="Times New Roman" w:cs="Times New Roman"/>
          <w:b/>
          <w:bCs/>
        </w:rPr>
        <w:t>Circular Dichroism Spectroscopic Analysis</w:t>
      </w:r>
    </w:p>
    <w:p w14:paraId="358066D3" w14:textId="40F3BD76" w:rsidR="007509A2" w:rsidRPr="00A84129" w:rsidRDefault="007509A2" w:rsidP="00DB3D53">
      <w:pPr>
        <w:spacing w:after="0" w:line="276" w:lineRule="auto"/>
        <w:jc w:val="both"/>
        <w:rPr>
          <w:rFonts w:ascii="Times New Roman" w:hAnsi="Times New Roman" w:cs="Times New Roman"/>
        </w:rPr>
      </w:pPr>
      <w:r w:rsidRPr="00A84129">
        <w:rPr>
          <w:rFonts w:ascii="Times New Roman" w:hAnsi="Times New Roman" w:cs="Times New Roman"/>
        </w:rPr>
        <w:t>Circular dichroism (CD) spectroscopic analysis was conducted to elucidate the secondary structural characteristics of the synthesized peptides. Measurements were performed on a J-715 CD spectropolarimeter (Jasco, Tokyo, Japan) equipped with a 1 mm path length quartz cell at a constant temperature of 25°C. Peptide conformational properties were investigated under multiple environmental conditions, including: (</w:t>
      </w:r>
      <w:proofErr w:type="spellStart"/>
      <w:r w:rsidRPr="00A84129">
        <w:rPr>
          <w:rFonts w:ascii="Times New Roman" w:hAnsi="Times New Roman" w:cs="Times New Roman"/>
        </w:rPr>
        <w:t>i</w:t>
      </w:r>
      <w:proofErr w:type="spellEnd"/>
      <w:r w:rsidRPr="00A84129">
        <w:rPr>
          <w:rFonts w:ascii="Times New Roman" w:hAnsi="Times New Roman" w:cs="Times New Roman"/>
        </w:rPr>
        <w:t xml:space="preserve">) 10 </w:t>
      </w:r>
      <w:proofErr w:type="spellStart"/>
      <w:r w:rsidRPr="00A84129">
        <w:rPr>
          <w:rFonts w:ascii="Times New Roman" w:hAnsi="Times New Roman" w:cs="Times New Roman"/>
        </w:rPr>
        <w:t>mM</w:t>
      </w:r>
      <w:proofErr w:type="spellEnd"/>
      <w:r w:rsidRPr="00A84129">
        <w:rPr>
          <w:rFonts w:ascii="Times New Roman" w:hAnsi="Times New Roman" w:cs="Times New Roman"/>
        </w:rPr>
        <w:t xml:space="preserve"> sodium phosphate buffer (pH 7.4),  (ii) 50% 2,2,2-trifluoroethanol (TFE)</w:t>
      </w:r>
      <w:r w:rsidR="00BA70B4">
        <w:rPr>
          <w:rFonts w:ascii="Times New Roman" w:hAnsi="Times New Roman" w:cs="Times New Roman"/>
        </w:rPr>
        <w:t xml:space="preserve"> and</w:t>
      </w:r>
      <w:r w:rsidRPr="00A84129">
        <w:rPr>
          <w:rFonts w:ascii="Times New Roman" w:hAnsi="Times New Roman" w:cs="Times New Roman"/>
        </w:rPr>
        <w:t xml:space="preserve"> </w:t>
      </w:r>
      <w:r w:rsidR="00802A86" w:rsidRPr="00A84129">
        <w:rPr>
          <w:rFonts w:ascii="Times New Roman" w:hAnsi="Times New Roman" w:cs="Times New Roman"/>
        </w:rPr>
        <w:t>(</w:t>
      </w:r>
      <w:r w:rsidR="00BA70B4">
        <w:rPr>
          <w:rFonts w:ascii="Times New Roman" w:hAnsi="Times New Roman" w:cs="Times New Roman"/>
        </w:rPr>
        <w:t>iii</w:t>
      </w:r>
      <w:r w:rsidR="00802A86" w:rsidRPr="00A84129">
        <w:rPr>
          <w:rFonts w:ascii="Times New Roman" w:hAnsi="Times New Roman" w:cs="Times New Roman"/>
        </w:rPr>
        <w:t>) 30 mM sodium dodecyl sulfate (SDS) micelles</w:t>
      </w:r>
      <w:r w:rsidR="00802A86">
        <w:rPr>
          <w:rFonts w:ascii="Times New Roman" w:hAnsi="Times New Roman" w:cs="Times New Roman"/>
        </w:rPr>
        <w:t xml:space="preserve"> </w:t>
      </w:r>
      <w:r w:rsidRPr="00A84129">
        <w:rPr>
          <w:rFonts w:ascii="Times New Roman" w:hAnsi="Times New Roman" w:cs="Times New Roman"/>
        </w:rPr>
        <w:t xml:space="preserve">in sodium phosphate buffer. Spectral acquisition was conducted within the far-UV region spanning the 190-250 nm wavelength range. Three consecutive scans were recorded, averaged, and baseline-corrected for each experimental condition by subtracting the corresponding solvent spectrum. The CD data were expressed as mean residue ellipticity [θ] in units of degree square centimeter per </w:t>
      </w:r>
      <w:proofErr w:type="spellStart"/>
      <w:r w:rsidRPr="00A84129">
        <w:rPr>
          <w:rFonts w:ascii="Times New Roman" w:hAnsi="Times New Roman" w:cs="Times New Roman"/>
        </w:rPr>
        <w:t>decimole</w:t>
      </w:r>
      <w:proofErr w:type="spellEnd"/>
      <w:r w:rsidRPr="00A84129">
        <w:rPr>
          <w:rFonts w:ascii="Times New Roman" w:hAnsi="Times New Roman" w:cs="Times New Roman"/>
        </w:rPr>
        <w:t xml:space="preserve"> (deg·cm²/</w:t>
      </w:r>
      <w:proofErr w:type="spellStart"/>
      <w:r w:rsidRPr="00A84129">
        <w:rPr>
          <w:rFonts w:ascii="Times New Roman" w:hAnsi="Times New Roman" w:cs="Times New Roman"/>
        </w:rPr>
        <w:t>dmol</w:t>
      </w:r>
      <w:proofErr w:type="spellEnd"/>
      <w:r w:rsidRPr="00A84129">
        <w:rPr>
          <w:rFonts w:ascii="Times New Roman" w:hAnsi="Times New Roman" w:cs="Times New Roman"/>
        </w:rPr>
        <w:t>).</w:t>
      </w:r>
    </w:p>
    <w:p w14:paraId="19F57D5A" w14:textId="77777777" w:rsidR="007509A2" w:rsidRPr="00680656" w:rsidRDefault="007509A2" w:rsidP="00DB3D53">
      <w:pPr>
        <w:spacing w:after="0" w:line="276" w:lineRule="auto"/>
        <w:jc w:val="both"/>
        <w:rPr>
          <w:rFonts w:ascii="Times New Roman" w:hAnsi="Times New Roman" w:cs="Times New Roman"/>
        </w:rPr>
      </w:pPr>
    </w:p>
    <w:p w14:paraId="79D6B138" w14:textId="4525CED1" w:rsidR="007509A2" w:rsidRPr="00A84129" w:rsidRDefault="007509A2" w:rsidP="00DB3D53">
      <w:pPr>
        <w:spacing w:after="0" w:line="276" w:lineRule="auto"/>
        <w:rPr>
          <w:rFonts w:ascii="Times New Roman" w:hAnsi="Times New Roman" w:cs="Times New Roman"/>
          <w:b/>
          <w:bCs/>
        </w:rPr>
      </w:pPr>
      <w:r w:rsidRPr="00A84129">
        <w:rPr>
          <w:rFonts w:ascii="Times New Roman" w:hAnsi="Times New Roman" w:cs="Times New Roman"/>
          <w:b/>
          <w:bCs/>
        </w:rPr>
        <w:t>Antimicrobial susceptibility assay</w:t>
      </w:r>
    </w:p>
    <w:p w14:paraId="5B035C97" w14:textId="00551703" w:rsidR="0060480D" w:rsidRDefault="007509A2" w:rsidP="006B5425">
      <w:pPr>
        <w:spacing w:after="0" w:line="276" w:lineRule="auto"/>
        <w:jc w:val="both"/>
        <w:rPr>
          <w:rFonts w:ascii="Times New Roman" w:hAnsi="Times New Roman" w:cs="Times New Roman"/>
        </w:rPr>
      </w:pPr>
      <w:r w:rsidRPr="00A84129">
        <w:rPr>
          <w:rFonts w:ascii="Times New Roman" w:hAnsi="Times New Roman" w:cs="Times New Roman"/>
        </w:rPr>
        <w:t>Minimum inhibitory concentrations (MICs) were determined utilizing the standardized microtiter broth dilution methodology</w:t>
      </w:r>
      <w:r w:rsidR="00A41A0F">
        <w:rPr>
          <w:rFonts w:ascii="Times New Roman" w:hAnsi="Times New Roman" w:cs="Times New Roman"/>
        </w:rPr>
        <w:t xml:space="preserve"> as per the guidelines of CLSI</w:t>
      </w:r>
      <w:r w:rsidRPr="00A84129">
        <w:rPr>
          <w:rFonts w:ascii="Times New Roman" w:hAnsi="Times New Roman" w:cs="Times New Roman"/>
        </w:rPr>
        <w:t xml:space="preserve">. Bacterial isolates were initially cultured to </w:t>
      </w:r>
      <w:r w:rsidR="0068446F">
        <w:rPr>
          <w:rFonts w:ascii="Times New Roman" w:hAnsi="Times New Roman" w:cs="Times New Roman"/>
        </w:rPr>
        <w:t xml:space="preserve">the </w:t>
      </w:r>
      <w:r w:rsidRPr="00A84129">
        <w:rPr>
          <w:rFonts w:ascii="Times New Roman" w:hAnsi="Times New Roman" w:cs="Times New Roman"/>
        </w:rPr>
        <w:t>stationary phase via overnight incubation at 37°C in appropriate growth media. Subsequently, these cultures were subjected to a 10-fold dilution in Mueller-Hinton broth (MHB) (</w:t>
      </w:r>
      <w:proofErr w:type="spellStart"/>
      <w:r w:rsidRPr="00A84129">
        <w:rPr>
          <w:rFonts w:ascii="Times New Roman" w:hAnsi="Times New Roman" w:cs="Times New Roman"/>
        </w:rPr>
        <w:t>Difco</w:t>
      </w:r>
      <w:proofErr w:type="spellEnd"/>
      <w:r w:rsidRPr="00A84129">
        <w:rPr>
          <w:rFonts w:ascii="Times New Roman" w:hAnsi="Times New Roman" w:cs="Times New Roman"/>
        </w:rPr>
        <w:t xml:space="preserve">, USA) and incubated for several hours to achieve mid-logarithmic phase growth. The resultant mid-logarithmic phase bacterial suspensions were further diluted with MHB to achieve the recommended inoculum density and subsequently dispensed into sterile 96-well microtiter plates containing two-fold serial dilutions of the test peptides and reference </w:t>
      </w:r>
      <w:r w:rsidR="009E45D7">
        <w:rPr>
          <w:rFonts w:ascii="Times New Roman" w:hAnsi="Times New Roman" w:cs="Times New Roman"/>
        </w:rPr>
        <w:t>peptide</w:t>
      </w:r>
      <w:r w:rsidRPr="00A84129">
        <w:rPr>
          <w:rFonts w:ascii="Times New Roman" w:hAnsi="Times New Roman" w:cs="Times New Roman"/>
        </w:rPr>
        <w:t xml:space="preserve">. Following inoculation, the plates were incubated under aerobic conditions at 37°C for 18-24 hours. The MIC values were defined as the lowest peptide concentration at which no visible bacterial growth was observed. Quantitative verification of growth inhibition was performed by measuring optical </w:t>
      </w:r>
      <w:r w:rsidRPr="00A84129">
        <w:rPr>
          <w:rFonts w:ascii="Times New Roman" w:hAnsi="Times New Roman" w:cs="Times New Roman"/>
        </w:rPr>
        <w:lastRenderedPageBreak/>
        <w:t>density at 600 nm (OD600) using a microplate enzyme-linked immunosorbent assay (ELISA) reader (Bio-Tek Instruments EL800, USA).</w:t>
      </w:r>
    </w:p>
    <w:p w14:paraId="222074CA" w14:textId="77777777" w:rsidR="006B5425" w:rsidRPr="00680656" w:rsidRDefault="006B5425" w:rsidP="006B5425">
      <w:pPr>
        <w:spacing w:after="0" w:line="276" w:lineRule="auto"/>
        <w:jc w:val="both"/>
        <w:rPr>
          <w:rFonts w:ascii="Times New Roman" w:hAnsi="Times New Roman" w:cs="Times New Roman"/>
        </w:rPr>
      </w:pPr>
    </w:p>
    <w:p w14:paraId="51000A6B" w14:textId="3D8FB9C6" w:rsidR="007509A2" w:rsidRDefault="00A84129" w:rsidP="00DB3D53">
      <w:pPr>
        <w:spacing w:after="0" w:line="276" w:lineRule="auto"/>
        <w:rPr>
          <w:rFonts w:ascii="Times New Roman" w:hAnsi="Times New Roman" w:cs="Times New Roman"/>
          <w:b/>
          <w:bCs/>
        </w:rPr>
      </w:pPr>
      <w:r>
        <w:rPr>
          <w:rFonts w:ascii="Times New Roman" w:hAnsi="Times New Roman" w:cs="Times New Roman"/>
          <w:b/>
          <w:bCs/>
        </w:rPr>
        <w:t>Hemolysis assay</w:t>
      </w:r>
    </w:p>
    <w:p w14:paraId="53790103" w14:textId="04DD8F14" w:rsidR="0060480D" w:rsidRDefault="00654FA5" w:rsidP="00B82C7E">
      <w:pPr>
        <w:spacing w:after="0" w:line="276" w:lineRule="auto"/>
        <w:jc w:val="both"/>
        <w:rPr>
          <w:rFonts w:ascii="Times New Roman" w:hAnsi="Times New Roman" w:cs="Times New Roman"/>
        </w:rPr>
      </w:pPr>
      <w:r w:rsidRPr="00654FA5">
        <w:rPr>
          <w:rFonts w:ascii="Times New Roman" w:hAnsi="Times New Roman" w:cs="Times New Roman"/>
        </w:rPr>
        <w:t>Fresh sheep red blood cells (</w:t>
      </w:r>
      <w:proofErr w:type="spellStart"/>
      <w:r w:rsidRPr="00654FA5">
        <w:rPr>
          <w:rFonts w:ascii="Times New Roman" w:hAnsi="Times New Roman" w:cs="Times New Roman"/>
        </w:rPr>
        <w:t>sRBCs</w:t>
      </w:r>
      <w:proofErr w:type="spellEnd"/>
      <w:r w:rsidRPr="00654FA5">
        <w:rPr>
          <w:rFonts w:ascii="Times New Roman" w:hAnsi="Times New Roman" w:cs="Times New Roman"/>
        </w:rPr>
        <w:t xml:space="preserve">) were washed three times with phosphate-buffered saline (PBS), centrifuged at 2000 rpm for 5 minutes, and diluted to 4% concentration in PBS. Peptide solutions (100 </w:t>
      </w:r>
      <w:proofErr w:type="spellStart"/>
      <w:r w:rsidRPr="00654FA5">
        <w:rPr>
          <w:rFonts w:ascii="Times New Roman" w:hAnsi="Times New Roman" w:cs="Times New Roman"/>
        </w:rPr>
        <w:t>μL</w:t>
      </w:r>
      <w:proofErr w:type="spellEnd"/>
      <w:r w:rsidRPr="00654FA5">
        <w:rPr>
          <w:rFonts w:ascii="Times New Roman" w:hAnsi="Times New Roman" w:cs="Times New Roman"/>
        </w:rPr>
        <w:t xml:space="preserve">) and 4% </w:t>
      </w:r>
      <w:proofErr w:type="spellStart"/>
      <w:r w:rsidRPr="00654FA5">
        <w:rPr>
          <w:rFonts w:ascii="Times New Roman" w:hAnsi="Times New Roman" w:cs="Times New Roman"/>
        </w:rPr>
        <w:t>sRBCs</w:t>
      </w:r>
      <w:proofErr w:type="spellEnd"/>
      <w:r w:rsidRPr="00654FA5">
        <w:rPr>
          <w:rFonts w:ascii="Times New Roman" w:hAnsi="Times New Roman" w:cs="Times New Roman"/>
        </w:rPr>
        <w:t xml:space="preserve"> (100 </w:t>
      </w:r>
      <w:proofErr w:type="spellStart"/>
      <w:r w:rsidRPr="00654FA5">
        <w:rPr>
          <w:rFonts w:ascii="Times New Roman" w:hAnsi="Times New Roman" w:cs="Times New Roman"/>
        </w:rPr>
        <w:t>μL</w:t>
      </w:r>
      <w:proofErr w:type="spellEnd"/>
      <w:r w:rsidRPr="00654FA5">
        <w:rPr>
          <w:rFonts w:ascii="Times New Roman" w:hAnsi="Times New Roman" w:cs="Times New Roman"/>
        </w:rPr>
        <w:t xml:space="preserve">) were added to 96-well plates and incubated at 37°C for 1 hour. Following centrifugation at 1000 RCF for 5 minutes, supernatants (100 </w:t>
      </w:r>
      <w:proofErr w:type="spellStart"/>
      <w:r w:rsidRPr="00654FA5">
        <w:rPr>
          <w:rFonts w:ascii="Times New Roman" w:hAnsi="Times New Roman" w:cs="Times New Roman"/>
        </w:rPr>
        <w:t>μL</w:t>
      </w:r>
      <w:proofErr w:type="spellEnd"/>
      <w:r w:rsidRPr="00654FA5">
        <w:rPr>
          <w:rFonts w:ascii="Times New Roman" w:hAnsi="Times New Roman" w:cs="Times New Roman"/>
        </w:rPr>
        <w:t>) were transferred to new plates and hemoglobin release was measured at 405 nm using a microplate reader. Zero and 100% hemolysis controls were determined using PBS and 0.1% Triton-X 100, respectively.</w:t>
      </w:r>
    </w:p>
    <w:p w14:paraId="6557F6E1" w14:textId="77777777" w:rsidR="00B82C7E" w:rsidRPr="00271B24" w:rsidRDefault="00B82C7E" w:rsidP="00B82C7E">
      <w:pPr>
        <w:spacing w:after="0" w:line="276" w:lineRule="auto"/>
        <w:jc w:val="both"/>
        <w:rPr>
          <w:rFonts w:ascii="Times New Roman" w:hAnsi="Times New Roman" w:cs="Times New Roman"/>
        </w:rPr>
      </w:pPr>
    </w:p>
    <w:p w14:paraId="7CDE993C" w14:textId="50178CB3" w:rsidR="00A84129" w:rsidRPr="00A84129" w:rsidRDefault="00A84129" w:rsidP="00DB3D53">
      <w:pPr>
        <w:spacing w:after="0" w:line="276" w:lineRule="auto"/>
        <w:rPr>
          <w:rFonts w:ascii="Times New Roman" w:hAnsi="Times New Roman" w:cs="Times New Roman"/>
          <w:b/>
          <w:bCs/>
        </w:rPr>
      </w:pPr>
      <w:r w:rsidRPr="00A84129">
        <w:rPr>
          <w:rFonts w:ascii="Times New Roman" w:hAnsi="Times New Roman" w:cs="Times New Roman"/>
          <w:b/>
          <w:bCs/>
        </w:rPr>
        <w:t>Membrane depolarization assay</w:t>
      </w:r>
    </w:p>
    <w:p w14:paraId="099C86F6" w14:textId="4D027A3D" w:rsidR="007509A2" w:rsidRPr="00A84129" w:rsidRDefault="007509A2" w:rsidP="00DB3D53">
      <w:pPr>
        <w:spacing w:after="0" w:line="276" w:lineRule="auto"/>
        <w:jc w:val="both"/>
        <w:rPr>
          <w:rFonts w:ascii="Times New Roman" w:hAnsi="Times New Roman" w:cs="Times New Roman"/>
        </w:rPr>
      </w:pPr>
      <w:r w:rsidRPr="00A84129">
        <w:rPr>
          <w:rFonts w:ascii="Times New Roman" w:hAnsi="Times New Roman" w:cs="Times New Roman"/>
          <w:i/>
          <w:iCs/>
        </w:rPr>
        <w:t>S. aureus</w:t>
      </w:r>
      <w:r w:rsidRPr="00A84129">
        <w:rPr>
          <w:rFonts w:ascii="Times New Roman" w:hAnsi="Times New Roman" w:cs="Times New Roman"/>
        </w:rPr>
        <w:t xml:space="preserve"> (KCTC 1621) cultures were grown at 37°C under agitation until reaching mid-logarithmic growth phase, followed by collection via centrifugation. Harvested cells underwent two washing cycles using a buffer solution comprised of 20 mM glucose and 5 mM HEPES (pH 7.4), then were reconstituted in identical buffer to achieve an optical density of 0.05 at 600 nm. The prepared cell suspension was treated with </w:t>
      </w:r>
      <w:r w:rsidR="00295E0E" w:rsidRPr="00A84129">
        <w:rPr>
          <w:rFonts w:ascii="Times New Roman" w:hAnsi="Times New Roman" w:cs="Times New Roman"/>
        </w:rPr>
        <w:t xml:space="preserve">3,3'-dipropylthiadicarbocyanine iodide </w:t>
      </w:r>
      <w:r w:rsidR="00B11ED8">
        <w:rPr>
          <w:rFonts w:ascii="Times New Roman" w:hAnsi="Times New Roman" w:cs="Times New Roman"/>
        </w:rPr>
        <w:t>[</w:t>
      </w:r>
      <w:proofErr w:type="spellStart"/>
      <w:r w:rsidRPr="00A84129">
        <w:rPr>
          <w:rFonts w:ascii="Times New Roman" w:hAnsi="Times New Roman" w:cs="Times New Roman"/>
        </w:rPr>
        <w:t>DiSC</w:t>
      </w:r>
      <w:proofErr w:type="spellEnd"/>
      <w:r w:rsidRPr="00A84129">
        <w:rPr>
          <w:rFonts w:ascii="Times New Roman" w:hAnsi="Times New Roman" w:cs="Times New Roman"/>
        </w:rPr>
        <w:t>₃(5)</w:t>
      </w:r>
      <w:r w:rsidR="00B11ED8">
        <w:rPr>
          <w:rFonts w:ascii="Times New Roman" w:hAnsi="Times New Roman" w:cs="Times New Roman"/>
        </w:rPr>
        <w:t>]</w:t>
      </w:r>
      <w:r w:rsidRPr="00A84129">
        <w:rPr>
          <w:rFonts w:ascii="Times New Roman" w:hAnsi="Times New Roman" w:cs="Times New Roman"/>
        </w:rPr>
        <w:t xml:space="preserve"> and incubated until fluorescence stabilization occurred, indicating complete dye integration into the bacterial cell membrane. Changes in membrane polarization status were evaluated by monitoring fluorescence intensity variations of </w:t>
      </w:r>
      <w:proofErr w:type="spellStart"/>
      <w:r w:rsidRPr="00A84129">
        <w:rPr>
          <w:rFonts w:ascii="Times New Roman" w:hAnsi="Times New Roman" w:cs="Times New Roman"/>
        </w:rPr>
        <w:t>DiSC</w:t>
      </w:r>
      <w:proofErr w:type="spellEnd"/>
      <w:r w:rsidRPr="00A84129">
        <w:rPr>
          <w:rFonts w:ascii="Times New Roman" w:hAnsi="Times New Roman" w:cs="Times New Roman"/>
        </w:rPr>
        <w:t>₃(5) (excitation wavelength = 622 nm, emission wavelength = 670 nm) following exposure to peptides at 2× MIC. Melittin and buforin-2 served as reference control peptides for comparison.</w:t>
      </w:r>
    </w:p>
    <w:p w14:paraId="54F247E9" w14:textId="77777777" w:rsidR="007509A2" w:rsidRPr="00680656" w:rsidRDefault="007509A2" w:rsidP="00DB3D53">
      <w:pPr>
        <w:spacing w:after="0" w:line="276" w:lineRule="auto"/>
        <w:rPr>
          <w:rFonts w:ascii="Times New Roman" w:hAnsi="Times New Roman" w:cs="Times New Roman"/>
        </w:rPr>
      </w:pPr>
    </w:p>
    <w:p w14:paraId="6DBD867D" w14:textId="0B8DBC73" w:rsidR="007509A2" w:rsidRPr="00A84129" w:rsidRDefault="007509A2" w:rsidP="00DB3D53">
      <w:pPr>
        <w:spacing w:after="0" w:line="276" w:lineRule="auto"/>
        <w:rPr>
          <w:rFonts w:ascii="Times New Roman" w:hAnsi="Times New Roman" w:cs="Times New Roman"/>
          <w:b/>
          <w:bCs/>
        </w:rPr>
      </w:pPr>
      <w:r w:rsidRPr="00A84129">
        <w:rPr>
          <w:rFonts w:ascii="Times New Roman" w:hAnsi="Times New Roman" w:cs="Times New Roman"/>
          <w:b/>
          <w:bCs/>
        </w:rPr>
        <w:t>SYTOX Green uptake assay</w:t>
      </w:r>
    </w:p>
    <w:p w14:paraId="332B2CAC" w14:textId="2D65BFE0" w:rsidR="00F455FE" w:rsidRPr="00F455FE" w:rsidRDefault="007509A2" w:rsidP="00DB3D53">
      <w:pPr>
        <w:spacing w:after="0" w:line="276" w:lineRule="auto"/>
        <w:jc w:val="both"/>
        <w:rPr>
          <w:rFonts w:ascii="Times New Roman" w:hAnsi="Times New Roman" w:cs="Times New Roman"/>
        </w:rPr>
      </w:pPr>
      <w:r w:rsidRPr="00A84129">
        <w:rPr>
          <w:rFonts w:ascii="Times New Roman" w:hAnsi="Times New Roman" w:cs="Times New Roman"/>
          <w:i/>
          <w:iCs/>
        </w:rPr>
        <w:t>S. aureus</w:t>
      </w:r>
      <w:r w:rsidRPr="00A84129">
        <w:rPr>
          <w:rFonts w:ascii="Times New Roman" w:hAnsi="Times New Roman" w:cs="Times New Roman"/>
        </w:rPr>
        <w:t xml:space="preserve"> (KCTC 1621) cultures in mid-logarithmic growth phase were harvested and subjected to three sequential washing steps using buffer containing 5 mM HEPES (pH 7.4) and 20 mM glucose. Subsequently, the pelleted bacterial cells were resuspended in buffer composed of 5 mM HEPES (pH 7.4), 20 mM glucose, and 100 </w:t>
      </w:r>
      <w:proofErr w:type="spellStart"/>
      <w:r w:rsidRPr="00A84129">
        <w:rPr>
          <w:rFonts w:ascii="Times New Roman" w:hAnsi="Times New Roman" w:cs="Times New Roman"/>
        </w:rPr>
        <w:t>mM</w:t>
      </w:r>
      <w:proofErr w:type="spellEnd"/>
      <w:r w:rsidRPr="00A84129">
        <w:rPr>
          <w:rFonts w:ascii="Times New Roman" w:hAnsi="Times New Roman" w:cs="Times New Roman"/>
        </w:rPr>
        <w:t xml:space="preserve"> </w:t>
      </w:r>
      <w:proofErr w:type="spellStart"/>
      <w:r w:rsidRPr="00A84129">
        <w:rPr>
          <w:rFonts w:ascii="Times New Roman" w:hAnsi="Times New Roman" w:cs="Times New Roman"/>
        </w:rPr>
        <w:t>KCl</w:t>
      </w:r>
      <w:proofErr w:type="spellEnd"/>
      <w:r w:rsidRPr="00A84129">
        <w:rPr>
          <w:rFonts w:ascii="Times New Roman" w:hAnsi="Times New Roman" w:cs="Times New Roman"/>
        </w:rPr>
        <w:t xml:space="preserve">. </w:t>
      </w:r>
      <w:r w:rsidRPr="00A84129">
        <w:rPr>
          <w:rFonts w:ascii="Times New Roman" w:hAnsi="Times New Roman" w:cs="Times New Roman"/>
          <w:i/>
          <w:iCs/>
        </w:rPr>
        <w:t>S. aureus</w:t>
      </w:r>
      <w:r w:rsidRPr="00A84129">
        <w:rPr>
          <w:rFonts w:ascii="Times New Roman" w:hAnsi="Times New Roman" w:cs="Times New Roman"/>
        </w:rPr>
        <w:t xml:space="preserve"> suspensions were prepared at a concentration of 1 × 10⁶ CFU/mL and combined with 0.5 </w:t>
      </w:r>
      <w:proofErr w:type="spellStart"/>
      <w:r w:rsidRPr="00A84129">
        <w:rPr>
          <w:rFonts w:ascii="Times New Roman" w:hAnsi="Times New Roman" w:cs="Times New Roman"/>
        </w:rPr>
        <w:t>μM</w:t>
      </w:r>
      <w:proofErr w:type="spellEnd"/>
      <w:r w:rsidRPr="00A84129">
        <w:rPr>
          <w:rFonts w:ascii="Times New Roman" w:hAnsi="Times New Roman" w:cs="Times New Roman"/>
        </w:rPr>
        <w:t xml:space="preserve"> SYTOX Green dye, followed by incubation for 15 minutes under dark conditions. </w:t>
      </w:r>
      <w:r w:rsidR="00F455FE" w:rsidRPr="00F455FE">
        <w:rPr>
          <w:rFonts w:ascii="Times New Roman" w:hAnsi="Times New Roman" w:cs="Times New Roman"/>
        </w:rPr>
        <w:t xml:space="preserve">A Shimadzu RF-5300PC fluorescence spectrophotometer (Shimadzu Scientific Instruments, Kyoto, Japan) was used to measure SYTOX Green uptake after peptides were added </w:t>
      </w:r>
      <w:r w:rsidR="00746FC7">
        <w:rPr>
          <w:rFonts w:ascii="Times New Roman" w:hAnsi="Times New Roman" w:cs="Times New Roman"/>
        </w:rPr>
        <w:t>to</w:t>
      </w:r>
      <w:r w:rsidR="00F455FE" w:rsidRPr="00F455FE">
        <w:rPr>
          <w:rFonts w:ascii="Times New Roman" w:hAnsi="Times New Roman" w:cs="Times New Roman"/>
        </w:rPr>
        <w:t xml:space="preserve"> </w:t>
      </w:r>
      <w:r w:rsidR="00746FC7">
        <w:rPr>
          <w:rFonts w:ascii="Times New Roman" w:hAnsi="Times New Roman" w:cs="Times New Roman"/>
        </w:rPr>
        <w:t>a</w:t>
      </w:r>
      <w:r w:rsidR="00F455FE" w:rsidRPr="00F455FE">
        <w:rPr>
          <w:rFonts w:ascii="Times New Roman" w:hAnsi="Times New Roman" w:cs="Times New Roman"/>
        </w:rPr>
        <w:t xml:space="preserve"> concentration equ</w:t>
      </w:r>
      <w:r w:rsidR="00746FC7">
        <w:rPr>
          <w:rFonts w:ascii="Times New Roman" w:hAnsi="Times New Roman" w:cs="Times New Roman"/>
        </w:rPr>
        <w:t>ivalent</w:t>
      </w:r>
      <w:r w:rsidR="00F455FE" w:rsidRPr="00F455FE">
        <w:rPr>
          <w:rFonts w:ascii="Times New Roman" w:hAnsi="Times New Roman" w:cs="Times New Roman"/>
        </w:rPr>
        <w:t xml:space="preserve"> to 2× MIC. Excitation and emission wavelengths were 485 nm and 520 nm, respectively.</w:t>
      </w:r>
    </w:p>
    <w:p w14:paraId="03B185D4" w14:textId="77777777" w:rsidR="006667CB" w:rsidRDefault="006667CB" w:rsidP="00DB3D53">
      <w:pPr>
        <w:spacing w:after="0" w:line="276" w:lineRule="auto"/>
        <w:rPr>
          <w:rFonts w:ascii="Times New Roman" w:hAnsi="Times New Roman" w:cs="Times New Roman"/>
          <w:b/>
          <w:bCs/>
        </w:rPr>
      </w:pPr>
    </w:p>
    <w:p w14:paraId="442A1E6F" w14:textId="7EB51347" w:rsidR="007509A2" w:rsidRPr="00A84129" w:rsidRDefault="007509A2" w:rsidP="00DB3D53">
      <w:pPr>
        <w:spacing w:after="0" w:line="276" w:lineRule="auto"/>
        <w:rPr>
          <w:rFonts w:ascii="Times New Roman" w:hAnsi="Times New Roman" w:cs="Times New Roman"/>
          <w:b/>
          <w:bCs/>
        </w:rPr>
      </w:pPr>
      <w:r w:rsidRPr="00A84129">
        <w:rPr>
          <w:rFonts w:ascii="Times New Roman" w:hAnsi="Times New Roman" w:cs="Times New Roman"/>
          <w:b/>
          <w:bCs/>
        </w:rPr>
        <w:t>Outer membrane permeability assay</w:t>
      </w:r>
    </w:p>
    <w:p w14:paraId="1EDE678F" w14:textId="6508931B" w:rsidR="007509A2" w:rsidRPr="00A84129" w:rsidRDefault="007509A2" w:rsidP="00DB3D53">
      <w:pPr>
        <w:spacing w:after="0" w:line="276" w:lineRule="auto"/>
        <w:jc w:val="both"/>
        <w:rPr>
          <w:rFonts w:ascii="Times New Roman" w:hAnsi="Times New Roman" w:cs="Times New Roman"/>
        </w:rPr>
      </w:pPr>
      <w:r w:rsidRPr="00A84129">
        <w:rPr>
          <w:rFonts w:ascii="Times New Roman" w:hAnsi="Times New Roman" w:cs="Times New Roman"/>
        </w:rPr>
        <w:t xml:space="preserve">Mid-logarithmic phase </w:t>
      </w:r>
      <w:r w:rsidRPr="00A84129">
        <w:rPr>
          <w:rFonts w:ascii="Times New Roman" w:hAnsi="Times New Roman" w:cs="Times New Roman"/>
          <w:i/>
          <w:iCs/>
        </w:rPr>
        <w:t>E. coli</w:t>
      </w:r>
      <w:r w:rsidRPr="00A84129">
        <w:rPr>
          <w:rFonts w:ascii="Times New Roman" w:hAnsi="Times New Roman" w:cs="Times New Roman"/>
        </w:rPr>
        <w:t xml:space="preserve"> cultures were harvested and subjected to three washing cycles using buffer containing 5 mM HEPES, 20 mM glucose, and 5 mM KCN at pH 7.4. Following the washing procedure, bacterial cells were diluted to achieve an optical density of 0.05 at 600 nm. A 1 mM NPN stock solution was prepared by dissolving the probe in acetone. Subsequently, this </w:t>
      </w:r>
      <w:r w:rsidRPr="00A84129">
        <w:rPr>
          <w:rFonts w:ascii="Times New Roman" w:hAnsi="Times New Roman" w:cs="Times New Roman"/>
        </w:rPr>
        <w:lastRenderedPageBreak/>
        <w:t xml:space="preserve">stock solution was added to the bacterial suspension to reach a final NPN concentration of 10 </w:t>
      </w:r>
      <w:proofErr w:type="spellStart"/>
      <w:r w:rsidRPr="00A84129">
        <w:rPr>
          <w:rFonts w:ascii="Times New Roman" w:hAnsi="Times New Roman" w:cs="Times New Roman"/>
        </w:rPr>
        <w:t>μM</w:t>
      </w:r>
      <w:proofErr w:type="spellEnd"/>
      <w:r w:rsidRPr="00A84129">
        <w:rPr>
          <w:rFonts w:ascii="Times New Roman" w:hAnsi="Times New Roman" w:cs="Times New Roman"/>
        </w:rPr>
        <w:t xml:space="preserve">. Fluorescence measurements were performed using excitation and emission wavelengths of 350 nm and 420 nm, respectively, and monitoring continued until stable baseline fluorescence was established. Following peptide addition at concentrations ranging from 0.5 </w:t>
      </w:r>
      <w:proofErr w:type="spellStart"/>
      <w:r w:rsidRPr="00A84129">
        <w:rPr>
          <w:rFonts w:ascii="Times New Roman" w:hAnsi="Times New Roman" w:cs="Times New Roman"/>
        </w:rPr>
        <w:t>μM</w:t>
      </w:r>
      <w:proofErr w:type="spellEnd"/>
      <w:r w:rsidRPr="00A84129">
        <w:rPr>
          <w:rFonts w:ascii="Times New Roman" w:hAnsi="Times New Roman" w:cs="Times New Roman"/>
        </w:rPr>
        <w:t xml:space="preserve"> to 32 </w:t>
      </w:r>
      <w:proofErr w:type="spellStart"/>
      <w:r w:rsidRPr="00A84129">
        <w:rPr>
          <w:rFonts w:ascii="Times New Roman" w:hAnsi="Times New Roman" w:cs="Times New Roman"/>
        </w:rPr>
        <w:t>μM</w:t>
      </w:r>
      <w:proofErr w:type="spellEnd"/>
      <w:r w:rsidRPr="00A84129">
        <w:rPr>
          <w:rFonts w:ascii="Times New Roman" w:hAnsi="Times New Roman" w:cs="Times New Roman"/>
        </w:rPr>
        <w:t>, fluorescence intensity was monitored continuously over time, with measurements recorded until reaching equilibrium. The enhancement of fluorescence intensity indicated outer membrane permeabilization, allowing NPN partitioning into the membrane lipid environment.</w:t>
      </w:r>
    </w:p>
    <w:p w14:paraId="5537AD9E" w14:textId="77777777" w:rsidR="007509A2" w:rsidRPr="003C392A" w:rsidRDefault="007509A2" w:rsidP="00DB3D53">
      <w:pPr>
        <w:spacing w:after="0" w:line="276" w:lineRule="auto"/>
        <w:jc w:val="both"/>
        <w:rPr>
          <w:rFonts w:ascii="Times New Roman" w:hAnsi="Times New Roman" w:cs="Times New Roman"/>
        </w:rPr>
      </w:pPr>
    </w:p>
    <w:p w14:paraId="540C69FA" w14:textId="70B735F8" w:rsidR="007509A2" w:rsidRPr="00A84129" w:rsidRDefault="007509A2" w:rsidP="00DB3D53">
      <w:pPr>
        <w:spacing w:after="0" w:line="276" w:lineRule="auto"/>
        <w:rPr>
          <w:rFonts w:ascii="Times New Roman" w:hAnsi="Times New Roman" w:cs="Times New Roman"/>
          <w:b/>
          <w:bCs/>
        </w:rPr>
      </w:pPr>
      <w:proofErr w:type="spellStart"/>
      <w:r w:rsidRPr="00A84129">
        <w:rPr>
          <w:rFonts w:ascii="Times New Roman" w:hAnsi="Times New Roman" w:cs="Times New Roman"/>
          <w:b/>
          <w:bCs/>
        </w:rPr>
        <w:t>FACScan</w:t>
      </w:r>
      <w:proofErr w:type="spellEnd"/>
    </w:p>
    <w:p w14:paraId="7B4A8504" w14:textId="4F7B093A" w:rsidR="007509A2" w:rsidRPr="00A84129" w:rsidRDefault="007509A2" w:rsidP="00B82C7E">
      <w:pPr>
        <w:spacing w:after="0" w:line="276" w:lineRule="auto"/>
        <w:jc w:val="both"/>
        <w:rPr>
          <w:rFonts w:ascii="Times New Roman" w:hAnsi="Times New Roman" w:cs="Times New Roman"/>
        </w:rPr>
      </w:pPr>
      <w:r w:rsidRPr="00A84129">
        <w:rPr>
          <w:rFonts w:ascii="Times New Roman" w:hAnsi="Times New Roman" w:cs="Times New Roman"/>
          <w:i/>
          <w:iCs/>
        </w:rPr>
        <w:t>S. aureus</w:t>
      </w:r>
      <w:r w:rsidRPr="00A84129">
        <w:rPr>
          <w:rFonts w:ascii="Times New Roman" w:hAnsi="Times New Roman" w:cs="Times New Roman"/>
        </w:rPr>
        <w:t xml:space="preserve"> and </w:t>
      </w:r>
      <w:r w:rsidRPr="00A84129">
        <w:rPr>
          <w:rFonts w:ascii="Times New Roman" w:hAnsi="Times New Roman" w:cs="Times New Roman"/>
          <w:i/>
          <w:iCs/>
        </w:rPr>
        <w:t>E. coli</w:t>
      </w:r>
      <w:r w:rsidRPr="00A84129">
        <w:rPr>
          <w:rFonts w:ascii="Times New Roman" w:hAnsi="Times New Roman" w:cs="Times New Roman"/>
        </w:rPr>
        <w:t xml:space="preserve"> mid-log phase cells were diluted to OD</w:t>
      </w:r>
      <w:r w:rsidRPr="00A84129">
        <w:rPr>
          <w:rFonts w:ascii="Times New Roman" w:hAnsi="Times New Roman" w:cs="Times New Roman"/>
          <w:vertAlign w:val="subscript"/>
        </w:rPr>
        <w:t>600</w:t>
      </w:r>
      <w:r w:rsidRPr="00A84129">
        <w:rPr>
          <w:rFonts w:ascii="Times New Roman" w:hAnsi="Times New Roman" w:cs="Times New Roman"/>
        </w:rPr>
        <w:t xml:space="preserve"> 0.5. Equal amounts of cell suspension and PBS (1 × ) were mixed, then centrifuged at 8000 rpm for 5 min. Cell pellets were resuspended in fresh PBS. For staining, PI (10 </w:t>
      </w:r>
      <w:proofErr w:type="spellStart"/>
      <w:r w:rsidRPr="00A84129">
        <w:rPr>
          <w:rFonts w:ascii="Times New Roman" w:hAnsi="Times New Roman" w:cs="Times New Roman"/>
        </w:rPr>
        <w:t>μL</w:t>
      </w:r>
      <w:proofErr w:type="spellEnd"/>
      <w:r w:rsidRPr="00A84129">
        <w:rPr>
          <w:rFonts w:ascii="Times New Roman" w:hAnsi="Times New Roman" w:cs="Times New Roman"/>
        </w:rPr>
        <w:t xml:space="preserve">) was added and incubated for 15 minutes. A 15-min incubation followed the addition of peptides at 2× MICs to the suspension. Melittin and buforin-2 were used as the control for comparison. </w:t>
      </w:r>
      <w:proofErr w:type="spellStart"/>
      <w:r w:rsidRPr="00A84129">
        <w:rPr>
          <w:rFonts w:ascii="Times New Roman" w:hAnsi="Times New Roman" w:cs="Times New Roman"/>
        </w:rPr>
        <w:t>FACScan</w:t>
      </w:r>
      <w:proofErr w:type="spellEnd"/>
      <w:r w:rsidRPr="00A84129">
        <w:rPr>
          <w:rFonts w:ascii="Times New Roman" w:hAnsi="Times New Roman" w:cs="Times New Roman"/>
        </w:rPr>
        <w:t xml:space="preserve"> was used to assess PI fluorescence and compare it to the peptide-free samples.</w:t>
      </w:r>
    </w:p>
    <w:p w14:paraId="1DC48912" w14:textId="77777777" w:rsidR="007509A2" w:rsidRDefault="007509A2" w:rsidP="00DB3D53">
      <w:pPr>
        <w:spacing w:after="0" w:line="276" w:lineRule="auto"/>
        <w:jc w:val="both"/>
        <w:rPr>
          <w:rFonts w:ascii="Times New Roman" w:hAnsi="Times New Roman" w:cs="Times New Roman"/>
        </w:rPr>
      </w:pPr>
    </w:p>
    <w:p w14:paraId="17CB4218" w14:textId="71E113BF" w:rsidR="007509A2" w:rsidRPr="00A84129" w:rsidRDefault="007509A2" w:rsidP="00DB3D53">
      <w:pPr>
        <w:spacing w:after="0" w:line="276" w:lineRule="auto"/>
        <w:rPr>
          <w:rFonts w:ascii="Times New Roman" w:hAnsi="Times New Roman" w:cs="Times New Roman"/>
          <w:b/>
          <w:bCs/>
        </w:rPr>
      </w:pPr>
      <w:r w:rsidRPr="001915AD">
        <w:rPr>
          <w:rFonts w:ascii="Times New Roman" w:hAnsi="Times New Roman" w:cs="Times New Roman"/>
          <w:b/>
          <w:bCs/>
        </w:rPr>
        <w:t>Antibiofilm activity (MBIC, MBEC)</w:t>
      </w:r>
    </w:p>
    <w:p w14:paraId="4C89A499" w14:textId="03BD081A" w:rsidR="00515682" w:rsidRDefault="007509A2" w:rsidP="00DB3D53">
      <w:pPr>
        <w:spacing w:after="0" w:line="276" w:lineRule="auto"/>
        <w:jc w:val="both"/>
        <w:rPr>
          <w:rFonts w:ascii="Times New Roman" w:hAnsi="Times New Roman" w:cs="Times New Roman"/>
        </w:rPr>
      </w:pPr>
      <w:r w:rsidRPr="00A84129">
        <w:rPr>
          <w:rFonts w:ascii="Times New Roman" w:hAnsi="Times New Roman" w:cs="Times New Roman"/>
        </w:rPr>
        <w:t>For the biofilm inhibition assay, MDRPA bacterial sub-culture (~10</w:t>
      </w:r>
      <w:r w:rsidRPr="00A84129">
        <w:rPr>
          <w:rFonts w:ascii="Times New Roman" w:hAnsi="Times New Roman" w:cs="Times New Roman"/>
          <w:vertAlign w:val="superscript"/>
        </w:rPr>
        <w:t>6</w:t>
      </w:r>
      <w:r w:rsidRPr="00A84129">
        <w:rPr>
          <w:rFonts w:ascii="Times New Roman" w:hAnsi="Times New Roman" w:cs="Times New Roman"/>
        </w:rPr>
        <w:t xml:space="preserve"> CFU/mL) was inoculated into a 96-well plate and incubated overnight at 37°C with or without the peptides. The highest concentration of each peptide tested was 128 </w:t>
      </w:r>
      <w:proofErr w:type="spellStart"/>
      <w:r w:rsidRPr="00A84129">
        <w:rPr>
          <w:rFonts w:ascii="Times New Roman" w:hAnsi="Times New Roman" w:cs="Times New Roman"/>
        </w:rPr>
        <w:t>μM</w:t>
      </w:r>
      <w:proofErr w:type="spellEnd"/>
      <w:r w:rsidRPr="00A84129">
        <w:rPr>
          <w:rFonts w:ascii="Times New Roman" w:hAnsi="Times New Roman" w:cs="Times New Roman"/>
        </w:rPr>
        <w:t xml:space="preserve">, which was serially diluted two-fold to obtain a range of concentrations. After the incubation period, the biofilm formation was quantified by measuring the absorbance at 600 nm using a microplate reader. The MBIC value was determined as the lowest concentration of peptide that significantly reduced biofilm formation compared to the control. </w:t>
      </w:r>
    </w:p>
    <w:p w14:paraId="47A9600E" w14:textId="77777777" w:rsidR="00F42C4E" w:rsidRPr="00515682" w:rsidRDefault="00F42C4E" w:rsidP="00DB3D53">
      <w:pPr>
        <w:spacing w:after="0" w:line="276" w:lineRule="auto"/>
        <w:jc w:val="both"/>
        <w:rPr>
          <w:rFonts w:ascii="Times New Roman" w:hAnsi="Times New Roman" w:cs="Times New Roman"/>
        </w:rPr>
      </w:pPr>
    </w:p>
    <w:p w14:paraId="4E5205BA" w14:textId="77777777" w:rsidR="006667CB" w:rsidRDefault="00515682" w:rsidP="00DB3D53">
      <w:pPr>
        <w:spacing w:after="0" w:line="276" w:lineRule="auto"/>
        <w:jc w:val="both"/>
        <w:rPr>
          <w:rFonts w:ascii="Times New Roman" w:hAnsi="Times New Roman" w:cs="Times New Roman"/>
        </w:rPr>
      </w:pPr>
      <w:r w:rsidRPr="00515682">
        <w:rPr>
          <w:rFonts w:ascii="Times New Roman" w:hAnsi="Times New Roman" w:cs="Times New Roman"/>
        </w:rPr>
        <w:t xml:space="preserve">For biofilm eradication assessment, </w:t>
      </w:r>
      <w:r w:rsidR="00862915">
        <w:rPr>
          <w:rFonts w:ascii="Times New Roman" w:hAnsi="Times New Roman" w:cs="Times New Roman"/>
        </w:rPr>
        <w:t xml:space="preserve">MDRPA </w:t>
      </w:r>
      <w:r w:rsidRPr="00515682">
        <w:rPr>
          <w:rFonts w:ascii="Times New Roman" w:hAnsi="Times New Roman" w:cs="Times New Roman"/>
        </w:rPr>
        <w:t xml:space="preserve">bacterial suspensions were incubated in 96-well Calgary microtiter plates containing polyethylene glycol (PEG) for 48 hours at 37°C to establish mature biofilms. The PEG lids were subsequently removed, rinsed with PBS, and transferred to sterile plates containing serially diluted peptides, followed by 24-hour incubation at 37°C with shaking. After treatment, the PEG lids were rinsed and transferred to recovery plates containing 200 </w:t>
      </w:r>
      <w:proofErr w:type="spellStart"/>
      <w:r w:rsidRPr="00515682">
        <w:rPr>
          <w:rFonts w:ascii="Times New Roman" w:hAnsi="Times New Roman" w:cs="Times New Roman"/>
        </w:rPr>
        <w:t>μL</w:t>
      </w:r>
      <w:proofErr w:type="spellEnd"/>
      <w:r w:rsidRPr="00515682">
        <w:rPr>
          <w:rFonts w:ascii="Times New Roman" w:hAnsi="Times New Roman" w:cs="Times New Roman"/>
        </w:rPr>
        <w:t xml:space="preserve"> nutrient media, then sonicated for 10-15 minutes to dislodge adherent biofilms. Biofilm eradication was quantified by measuring absorbance at 600 nm, with MBEC values defined as the lowest peptide concentration achieving significant biofilm reduction or complete eradication</w:t>
      </w:r>
      <w:r w:rsidR="007509A2" w:rsidRPr="00A84129">
        <w:rPr>
          <w:rFonts w:ascii="Times New Roman" w:hAnsi="Times New Roman" w:cs="Times New Roman"/>
        </w:rPr>
        <w:t xml:space="preserve">. Graphs were generated and statistical analysis was performed using </w:t>
      </w:r>
      <w:proofErr w:type="spellStart"/>
      <w:r w:rsidR="007509A2" w:rsidRPr="00A84129">
        <w:rPr>
          <w:rFonts w:ascii="Times New Roman" w:hAnsi="Times New Roman" w:cs="Times New Roman"/>
        </w:rPr>
        <w:t>SigmaPlot</w:t>
      </w:r>
      <w:proofErr w:type="spellEnd"/>
      <w:r w:rsidR="007509A2" w:rsidRPr="00A84129">
        <w:rPr>
          <w:rFonts w:ascii="Times New Roman" w:hAnsi="Times New Roman" w:cs="Times New Roman"/>
        </w:rPr>
        <w:t xml:space="preserve"> software to determine the efficacy of the peptides in inhibiting and eradicating biofilm formation.</w:t>
      </w:r>
    </w:p>
    <w:p w14:paraId="4AC83793" w14:textId="77777777" w:rsidR="006667CB" w:rsidRDefault="006667CB" w:rsidP="00DB3D53">
      <w:pPr>
        <w:spacing w:after="0" w:line="276" w:lineRule="auto"/>
        <w:jc w:val="both"/>
        <w:rPr>
          <w:rFonts w:ascii="Times New Roman" w:hAnsi="Times New Roman" w:cs="Times New Roman"/>
        </w:rPr>
      </w:pPr>
    </w:p>
    <w:p w14:paraId="4EA06270" w14:textId="3BB285EA" w:rsidR="00480C87" w:rsidRPr="00F42C4E" w:rsidRDefault="00480C87" w:rsidP="00DB3D53">
      <w:pPr>
        <w:spacing w:after="0" w:line="276" w:lineRule="auto"/>
        <w:jc w:val="both"/>
        <w:rPr>
          <w:rFonts w:ascii="Times New Roman" w:hAnsi="Times New Roman" w:cs="Times New Roman"/>
        </w:rPr>
      </w:pPr>
      <w:r w:rsidRPr="00A84129">
        <w:rPr>
          <w:rFonts w:ascii="Times New Roman" w:hAnsi="Times New Roman" w:cs="Times New Roman"/>
          <w:b/>
          <w:bCs/>
        </w:rPr>
        <w:t>Salt and serum stability assay</w:t>
      </w:r>
    </w:p>
    <w:p w14:paraId="47C8B484" w14:textId="7A6524FC" w:rsidR="00E41EC6" w:rsidRDefault="00480C87" w:rsidP="00DB3D53">
      <w:pPr>
        <w:spacing w:after="0" w:line="276" w:lineRule="auto"/>
        <w:jc w:val="both"/>
        <w:rPr>
          <w:rFonts w:ascii="Times New Roman" w:hAnsi="Times New Roman" w:cs="Times New Roman"/>
        </w:rPr>
      </w:pPr>
      <w:r w:rsidRPr="00A84129">
        <w:rPr>
          <w:rFonts w:ascii="Times New Roman" w:hAnsi="Times New Roman" w:cs="Times New Roman"/>
        </w:rPr>
        <w:t xml:space="preserve">For salt stability assessment, individual salt solutions were prepared at the following concentrations: 150 mM </w:t>
      </w:r>
      <w:proofErr w:type="spellStart"/>
      <w:r w:rsidRPr="00A84129">
        <w:rPr>
          <w:rFonts w:ascii="Times New Roman" w:hAnsi="Times New Roman" w:cs="Times New Roman"/>
        </w:rPr>
        <w:t>NaCl</w:t>
      </w:r>
      <w:proofErr w:type="spellEnd"/>
      <w:r w:rsidRPr="00A84129">
        <w:rPr>
          <w:rFonts w:ascii="Times New Roman" w:hAnsi="Times New Roman" w:cs="Times New Roman"/>
        </w:rPr>
        <w:t xml:space="preserve">, 4.5 </w:t>
      </w:r>
      <w:proofErr w:type="spellStart"/>
      <w:r w:rsidRPr="00A84129">
        <w:rPr>
          <w:rFonts w:ascii="Times New Roman" w:hAnsi="Times New Roman" w:cs="Times New Roman"/>
        </w:rPr>
        <w:t>mM</w:t>
      </w:r>
      <w:proofErr w:type="spellEnd"/>
      <w:r w:rsidRPr="00A84129">
        <w:rPr>
          <w:rFonts w:ascii="Times New Roman" w:hAnsi="Times New Roman" w:cs="Times New Roman"/>
        </w:rPr>
        <w:t xml:space="preserve"> </w:t>
      </w:r>
      <w:proofErr w:type="spellStart"/>
      <w:r w:rsidRPr="00A84129">
        <w:rPr>
          <w:rFonts w:ascii="Times New Roman" w:hAnsi="Times New Roman" w:cs="Times New Roman"/>
        </w:rPr>
        <w:t>KCl</w:t>
      </w:r>
      <w:proofErr w:type="spellEnd"/>
      <w:r w:rsidRPr="00A84129">
        <w:rPr>
          <w:rFonts w:ascii="Times New Roman" w:hAnsi="Times New Roman" w:cs="Times New Roman"/>
        </w:rPr>
        <w:t xml:space="preserve">, 6 </w:t>
      </w:r>
      <w:proofErr w:type="spellStart"/>
      <w:r w:rsidRPr="00A84129">
        <w:rPr>
          <w:rFonts w:ascii="Times New Roman" w:hAnsi="Times New Roman" w:cs="Times New Roman"/>
        </w:rPr>
        <w:t>μM</w:t>
      </w:r>
      <w:proofErr w:type="spellEnd"/>
      <w:r w:rsidRPr="00A84129">
        <w:rPr>
          <w:rFonts w:ascii="Times New Roman" w:hAnsi="Times New Roman" w:cs="Times New Roman"/>
        </w:rPr>
        <w:t xml:space="preserve"> </w:t>
      </w:r>
      <w:proofErr w:type="spellStart"/>
      <w:r w:rsidRPr="00A84129">
        <w:rPr>
          <w:rFonts w:ascii="Times New Roman" w:hAnsi="Times New Roman" w:cs="Times New Roman"/>
        </w:rPr>
        <w:t>NH₄Cl</w:t>
      </w:r>
      <w:proofErr w:type="spellEnd"/>
      <w:r w:rsidRPr="00A84129">
        <w:rPr>
          <w:rFonts w:ascii="Times New Roman" w:hAnsi="Times New Roman" w:cs="Times New Roman"/>
        </w:rPr>
        <w:t xml:space="preserve">, 1 </w:t>
      </w:r>
      <w:proofErr w:type="spellStart"/>
      <w:r w:rsidRPr="00A84129">
        <w:rPr>
          <w:rFonts w:ascii="Times New Roman" w:hAnsi="Times New Roman" w:cs="Times New Roman"/>
        </w:rPr>
        <w:t>mM</w:t>
      </w:r>
      <w:proofErr w:type="spellEnd"/>
      <w:r w:rsidRPr="00A84129">
        <w:rPr>
          <w:rFonts w:ascii="Times New Roman" w:hAnsi="Times New Roman" w:cs="Times New Roman"/>
        </w:rPr>
        <w:t xml:space="preserve"> </w:t>
      </w:r>
      <w:proofErr w:type="spellStart"/>
      <w:r w:rsidRPr="00A84129">
        <w:rPr>
          <w:rFonts w:ascii="Times New Roman" w:hAnsi="Times New Roman" w:cs="Times New Roman"/>
        </w:rPr>
        <w:t>MgCl</w:t>
      </w:r>
      <w:proofErr w:type="spellEnd"/>
      <w:r w:rsidRPr="00A84129">
        <w:rPr>
          <w:rFonts w:ascii="Times New Roman" w:hAnsi="Times New Roman" w:cs="Times New Roman"/>
        </w:rPr>
        <w:t xml:space="preserve">₂, 2.5 </w:t>
      </w:r>
      <w:proofErr w:type="spellStart"/>
      <w:r w:rsidRPr="00A84129">
        <w:rPr>
          <w:rFonts w:ascii="Times New Roman" w:hAnsi="Times New Roman" w:cs="Times New Roman"/>
        </w:rPr>
        <w:t>mM</w:t>
      </w:r>
      <w:proofErr w:type="spellEnd"/>
      <w:r w:rsidRPr="00A84129">
        <w:rPr>
          <w:rFonts w:ascii="Times New Roman" w:hAnsi="Times New Roman" w:cs="Times New Roman"/>
        </w:rPr>
        <w:t xml:space="preserve"> </w:t>
      </w:r>
      <w:proofErr w:type="spellStart"/>
      <w:r w:rsidRPr="00A84129">
        <w:rPr>
          <w:rFonts w:ascii="Times New Roman" w:hAnsi="Times New Roman" w:cs="Times New Roman"/>
        </w:rPr>
        <w:t>CaCl</w:t>
      </w:r>
      <w:proofErr w:type="spellEnd"/>
      <w:r w:rsidRPr="00A84129">
        <w:rPr>
          <w:rFonts w:ascii="Times New Roman" w:hAnsi="Times New Roman" w:cs="Times New Roman"/>
        </w:rPr>
        <w:t xml:space="preserve">₂, and 4 </w:t>
      </w:r>
      <w:proofErr w:type="spellStart"/>
      <w:r w:rsidRPr="00A84129">
        <w:rPr>
          <w:rFonts w:ascii="Times New Roman" w:hAnsi="Times New Roman" w:cs="Times New Roman"/>
        </w:rPr>
        <w:t>μM</w:t>
      </w:r>
      <w:proofErr w:type="spellEnd"/>
      <w:r w:rsidRPr="00A84129">
        <w:rPr>
          <w:rFonts w:ascii="Times New Roman" w:hAnsi="Times New Roman" w:cs="Times New Roman"/>
        </w:rPr>
        <w:t xml:space="preserve"> </w:t>
      </w:r>
      <w:proofErr w:type="spellStart"/>
      <w:r w:rsidRPr="00A84129">
        <w:rPr>
          <w:rFonts w:ascii="Times New Roman" w:hAnsi="Times New Roman" w:cs="Times New Roman"/>
        </w:rPr>
        <w:t>FeCl</w:t>
      </w:r>
      <w:proofErr w:type="spellEnd"/>
      <w:r w:rsidRPr="00A84129">
        <w:rPr>
          <w:rFonts w:ascii="Times New Roman" w:hAnsi="Times New Roman" w:cs="Times New Roman"/>
        </w:rPr>
        <w:t xml:space="preserve">₃, while serum stability was evaluated using 10% human serum. The </w:t>
      </w:r>
      <w:r w:rsidR="004764A6" w:rsidRPr="00A84129">
        <w:rPr>
          <w:rFonts w:ascii="Times New Roman" w:hAnsi="Times New Roman" w:cs="Times New Roman"/>
          <w:i/>
          <w:iCs/>
        </w:rPr>
        <w:t>E. coli</w:t>
      </w:r>
      <w:r w:rsidR="004764A6" w:rsidRPr="00A84129">
        <w:rPr>
          <w:rFonts w:ascii="Times New Roman" w:hAnsi="Times New Roman" w:cs="Times New Roman"/>
        </w:rPr>
        <w:t xml:space="preserve"> </w:t>
      </w:r>
      <w:r w:rsidRPr="00A84129">
        <w:rPr>
          <w:rFonts w:ascii="Times New Roman" w:hAnsi="Times New Roman" w:cs="Times New Roman"/>
        </w:rPr>
        <w:t xml:space="preserve">bacterial </w:t>
      </w:r>
      <w:r w:rsidRPr="00A84129">
        <w:rPr>
          <w:rFonts w:ascii="Times New Roman" w:hAnsi="Times New Roman" w:cs="Times New Roman"/>
        </w:rPr>
        <w:lastRenderedPageBreak/>
        <w:t xml:space="preserve">culture was grown to mid-logarithmic phase in Mueller-Hinton broth at 37°C and subsequently diluted with the respective test media containing specific salts or serum. Serial two-fold dilutions of each peptide analogue </w:t>
      </w:r>
      <w:r w:rsidR="004F088F">
        <w:rPr>
          <w:rFonts w:ascii="Times New Roman" w:hAnsi="Times New Roman" w:cs="Times New Roman"/>
        </w:rPr>
        <w:t xml:space="preserve">with antibiotic controls </w:t>
      </w:r>
      <w:r w:rsidRPr="00A84129">
        <w:rPr>
          <w:rFonts w:ascii="Times New Roman" w:hAnsi="Times New Roman" w:cs="Times New Roman"/>
        </w:rPr>
        <w:t>were prepared in 96-well microtiter plates, and the prepared bacterial inoculum was added to each well under the various experimental conditions. The plates were incubated at 37°C for 24 hours, after which bacterial growth was assessed by measuring optical density at 600 nm using a microplate spectrophotometer.</w:t>
      </w:r>
    </w:p>
    <w:p w14:paraId="11DD4EDA" w14:textId="77777777" w:rsidR="0063781D" w:rsidRDefault="0063781D" w:rsidP="00DB3D53">
      <w:pPr>
        <w:spacing w:after="0" w:line="276" w:lineRule="auto"/>
        <w:jc w:val="both"/>
        <w:rPr>
          <w:rFonts w:ascii="Times New Roman" w:hAnsi="Times New Roman" w:cs="Times New Roman"/>
        </w:rPr>
      </w:pPr>
    </w:p>
    <w:p w14:paraId="652224DA" w14:textId="6645766E" w:rsidR="00F045BF" w:rsidRDefault="000771E3" w:rsidP="00DB3D53">
      <w:pPr>
        <w:spacing w:after="0" w:line="276" w:lineRule="auto"/>
        <w:jc w:val="both"/>
        <w:rPr>
          <w:rFonts w:ascii="Times New Roman" w:hAnsi="Times New Roman" w:cs="Times New Roman"/>
          <w:b/>
          <w:bCs/>
        </w:rPr>
      </w:pPr>
      <w:r w:rsidRPr="00A84129">
        <w:rPr>
          <w:rFonts w:ascii="Times New Roman" w:hAnsi="Times New Roman" w:cs="Times New Roman"/>
          <w:b/>
          <w:bCs/>
        </w:rPr>
        <w:t>LPS binding assay</w:t>
      </w:r>
    </w:p>
    <w:p w14:paraId="0CE783C6" w14:textId="6C5208D6" w:rsidR="000771E3" w:rsidRPr="004550C6" w:rsidRDefault="000771E3" w:rsidP="00DB3D53">
      <w:pPr>
        <w:spacing w:after="0" w:line="276" w:lineRule="auto"/>
        <w:jc w:val="both"/>
        <w:rPr>
          <w:rFonts w:ascii="Times New Roman" w:hAnsi="Times New Roman" w:cs="Times New Roman"/>
          <w:b/>
          <w:bCs/>
        </w:rPr>
      </w:pPr>
      <w:r w:rsidRPr="00A84129">
        <w:rPr>
          <w:rFonts w:ascii="Times New Roman" w:eastAsia="Times New Roman" w:hAnsi="Times New Roman" w:cs="Times New Roman"/>
          <w:kern w:val="0"/>
          <w14:ligatures w14:val="none"/>
        </w:rPr>
        <w:t>The binding ability of peptides to lipopolysaccharide (LPS) was assessed using a BODIPY-TR cadaverine (BC) displacement assay</w:t>
      </w:r>
      <w:r w:rsidR="0052682E">
        <w:rPr>
          <w:rFonts w:ascii="Times New Roman" w:eastAsia="Times New Roman" w:hAnsi="Times New Roman" w:cs="Times New Roman"/>
          <w:kern w:val="0"/>
          <w14:ligatures w14:val="none"/>
        </w:rPr>
        <w:t xml:space="preserve">. </w:t>
      </w:r>
      <w:r w:rsidRPr="00A84129">
        <w:rPr>
          <w:rFonts w:ascii="Times New Roman" w:eastAsia="Times New Roman" w:hAnsi="Times New Roman" w:cs="Times New Roman"/>
          <w:kern w:val="0"/>
          <w14:ligatures w14:val="none"/>
        </w:rPr>
        <w:t xml:space="preserve">In short, LPS from </w:t>
      </w:r>
      <w:r w:rsidRPr="00A84129">
        <w:rPr>
          <w:rFonts w:ascii="Times New Roman" w:eastAsia="Times New Roman" w:hAnsi="Times New Roman" w:cs="Times New Roman"/>
          <w:i/>
          <w:iCs/>
          <w:kern w:val="0"/>
          <w14:ligatures w14:val="none"/>
        </w:rPr>
        <w:t>E. coli</w:t>
      </w:r>
      <w:r w:rsidRPr="00A84129">
        <w:rPr>
          <w:rFonts w:ascii="Times New Roman" w:eastAsia="Times New Roman" w:hAnsi="Times New Roman" w:cs="Times New Roman"/>
          <w:kern w:val="0"/>
          <w14:ligatures w14:val="none"/>
        </w:rPr>
        <w:t xml:space="preserve"> 0111: B4 was incubated with BC in a quartz cuvette containing 50 mM Tris buffer (pH 7.4). Peptides were added in a dose-dependent manner, with concentrations ranging up to 32 µM, over a 60-second interval. Fluorescence was measured using a </w:t>
      </w:r>
      <w:proofErr w:type="spellStart"/>
      <w:r w:rsidRPr="00A84129">
        <w:rPr>
          <w:rFonts w:ascii="Times New Roman" w:eastAsia="Times New Roman" w:hAnsi="Times New Roman" w:cs="Times New Roman"/>
          <w:kern w:val="0"/>
          <w14:ligatures w14:val="none"/>
        </w:rPr>
        <w:t>spectrofluorophotometer</w:t>
      </w:r>
      <w:proofErr w:type="spellEnd"/>
      <w:r w:rsidRPr="00A84129">
        <w:rPr>
          <w:rFonts w:ascii="Times New Roman" w:eastAsia="Times New Roman" w:hAnsi="Times New Roman" w:cs="Times New Roman"/>
          <w:kern w:val="0"/>
          <w14:ligatures w14:val="none"/>
        </w:rPr>
        <w:t xml:space="preserve"> at an excitation wavelength of 580 nm and an emission wavelength of 620 nm. The fluorescence data were expressed as %</w:t>
      </w:r>
      <w:r w:rsidR="008E5441">
        <w:rPr>
          <w:rFonts w:ascii="Times New Roman" w:eastAsia="Times New Roman" w:hAnsi="Times New Roman" w:cs="Times New Roman"/>
          <w:kern w:val="0"/>
          <w14:ligatures w14:val="none"/>
        </w:rPr>
        <w:t>BC</w:t>
      </w:r>
      <w:r w:rsidR="001E61A5">
        <w:rPr>
          <w:rFonts w:ascii="Times New Roman" w:eastAsia="Times New Roman" w:hAnsi="Times New Roman" w:cs="Times New Roman"/>
          <w:kern w:val="0"/>
          <w14:ligatures w14:val="none"/>
        </w:rPr>
        <w:t xml:space="preserve"> displace</w:t>
      </w:r>
      <w:r w:rsidR="00544E5A">
        <w:rPr>
          <w:rFonts w:ascii="Times New Roman" w:eastAsia="Times New Roman" w:hAnsi="Times New Roman" w:cs="Times New Roman"/>
          <w:kern w:val="0"/>
          <w14:ligatures w14:val="none"/>
        </w:rPr>
        <w:t>ment (</w:t>
      </w:r>
      <w:r w:rsidR="00544E5A" w:rsidRPr="00A84129">
        <w:rPr>
          <w:rFonts w:ascii="Times New Roman" w:eastAsia="Times New Roman" w:hAnsi="Times New Roman" w:cs="Times New Roman"/>
          <w:kern w:val="0"/>
          <w14:ligatures w14:val="none"/>
        </w:rPr>
        <w:t>%∆F</w:t>
      </w:r>
      <w:r w:rsidR="00544E5A">
        <w:rPr>
          <w:rFonts w:ascii="Times New Roman" w:eastAsia="Times New Roman" w:hAnsi="Times New Roman" w:cs="Times New Roman"/>
          <w:kern w:val="0"/>
          <w14:ligatures w14:val="none"/>
        </w:rPr>
        <w:t>)</w:t>
      </w:r>
      <w:r w:rsidRPr="00A84129">
        <w:rPr>
          <w:rFonts w:ascii="Times New Roman" w:eastAsia="Times New Roman" w:hAnsi="Times New Roman" w:cs="Times New Roman"/>
          <w:kern w:val="0"/>
          <w14:ligatures w14:val="none"/>
        </w:rPr>
        <w:t>, calculated using the equation: %∆F = [(F</w:t>
      </w:r>
      <w:r w:rsidRPr="00A84129">
        <w:rPr>
          <w:rFonts w:ascii="Times New Roman" w:eastAsia="Times New Roman" w:hAnsi="Times New Roman" w:cs="Times New Roman"/>
          <w:kern w:val="0"/>
          <w:vertAlign w:val="subscript"/>
          <w14:ligatures w14:val="none"/>
        </w:rPr>
        <w:t>obs</w:t>
      </w:r>
      <w:r w:rsidRPr="00A84129">
        <w:rPr>
          <w:rFonts w:ascii="Times New Roman" w:eastAsia="Times New Roman" w:hAnsi="Times New Roman" w:cs="Times New Roman"/>
          <w:kern w:val="0"/>
          <w14:ligatures w14:val="none"/>
        </w:rPr>
        <w:t> − F</w:t>
      </w:r>
      <w:r w:rsidRPr="00A84129">
        <w:rPr>
          <w:rFonts w:ascii="Times New Roman" w:eastAsia="Times New Roman" w:hAnsi="Times New Roman" w:cs="Times New Roman"/>
          <w:kern w:val="0"/>
          <w:vertAlign w:val="subscript"/>
          <w14:ligatures w14:val="none"/>
        </w:rPr>
        <w:t>0</w:t>
      </w:r>
      <w:r w:rsidRPr="00A84129">
        <w:rPr>
          <w:rFonts w:ascii="Times New Roman" w:eastAsia="Times New Roman" w:hAnsi="Times New Roman" w:cs="Times New Roman"/>
          <w:kern w:val="0"/>
          <w14:ligatures w14:val="none"/>
        </w:rPr>
        <w:t>)/(F</w:t>
      </w:r>
      <w:r w:rsidRPr="00A84129">
        <w:rPr>
          <w:rFonts w:ascii="Times New Roman" w:eastAsia="Times New Roman" w:hAnsi="Times New Roman" w:cs="Times New Roman"/>
          <w:kern w:val="0"/>
          <w:vertAlign w:val="subscript"/>
          <w14:ligatures w14:val="none"/>
        </w:rPr>
        <w:t>100</w:t>
      </w:r>
      <w:r w:rsidRPr="00A84129">
        <w:rPr>
          <w:rFonts w:ascii="Times New Roman" w:eastAsia="Times New Roman" w:hAnsi="Times New Roman" w:cs="Times New Roman"/>
          <w:kern w:val="0"/>
          <w14:ligatures w14:val="none"/>
        </w:rPr>
        <w:t> − F</w:t>
      </w:r>
      <w:r w:rsidRPr="00A84129">
        <w:rPr>
          <w:rFonts w:ascii="Times New Roman" w:eastAsia="Times New Roman" w:hAnsi="Times New Roman" w:cs="Times New Roman"/>
          <w:kern w:val="0"/>
          <w:vertAlign w:val="subscript"/>
          <w14:ligatures w14:val="none"/>
        </w:rPr>
        <w:t>0</w:t>
      </w:r>
      <w:r w:rsidRPr="00A84129">
        <w:rPr>
          <w:rFonts w:ascii="Times New Roman" w:eastAsia="Times New Roman" w:hAnsi="Times New Roman" w:cs="Times New Roman"/>
          <w:kern w:val="0"/>
          <w14:ligatures w14:val="none"/>
        </w:rPr>
        <w:t>)] × 100, where F</w:t>
      </w:r>
      <w:r w:rsidRPr="00A84129">
        <w:rPr>
          <w:rFonts w:ascii="Times New Roman" w:eastAsia="Times New Roman" w:hAnsi="Times New Roman" w:cs="Times New Roman"/>
          <w:kern w:val="0"/>
          <w:vertAlign w:val="subscript"/>
          <w14:ligatures w14:val="none"/>
        </w:rPr>
        <w:t>obs</w:t>
      </w:r>
      <w:r w:rsidRPr="00A84129">
        <w:rPr>
          <w:rFonts w:ascii="Times New Roman" w:eastAsia="Times New Roman" w:hAnsi="Times New Roman" w:cs="Times New Roman"/>
          <w:kern w:val="0"/>
          <w14:ligatures w14:val="none"/>
        </w:rPr>
        <w:t> is the observed fluorescence at a given peptide concentration, F</w:t>
      </w:r>
      <w:r w:rsidRPr="00A84129">
        <w:rPr>
          <w:rFonts w:ascii="Times New Roman" w:eastAsia="Times New Roman" w:hAnsi="Times New Roman" w:cs="Times New Roman"/>
          <w:kern w:val="0"/>
          <w:vertAlign w:val="subscript"/>
          <w14:ligatures w14:val="none"/>
        </w:rPr>
        <w:t>0</w:t>
      </w:r>
      <w:r w:rsidRPr="00A84129">
        <w:rPr>
          <w:rFonts w:ascii="Times New Roman" w:eastAsia="Times New Roman" w:hAnsi="Times New Roman" w:cs="Times New Roman"/>
          <w:kern w:val="0"/>
          <w14:ligatures w14:val="none"/>
        </w:rPr>
        <w:t> is the initial fluorescence of BC with LPS in absence of peptide, and F</w:t>
      </w:r>
      <w:r w:rsidRPr="00A84129">
        <w:rPr>
          <w:rFonts w:ascii="Times New Roman" w:eastAsia="Times New Roman" w:hAnsi="Times New Roman" w:cs="Times New Roman"/>
          <w:kern w:val="0"/>
          <w:vertAlign w:val="subscript"/>
          <w14:ligatures w14:val="none"/>
        </w:rPr>
        <w:t>100</w:t>
      </w:r>
      <w:r w:rsidRPr="00A84129">
        <w:rPr>
          <w:rFonts w:ascii="Times New Roman" w:eastAsia="Times New Roman" w:hAnsi="Times New Roman" w:cs="Times New Roman"/>
          <w:kern w:val="0"/>
          <w14:ligatures w14:val="none"/>
        </w:rPr>
        <w:t> is the fluorescence of BC with LPS in presence of LL-37 which is used as a positive control.</w:t>
      </w:r>
    </w:p>
    <w:p w14:paraId="34E40A94" w14:textId="77777777" w:rsidR="0065442C" w:rsidRDefault="0065442C" w:rsidP="00DB3D53">
      <w:pPr>
        <w:spacing w:line="276" w:lineRule="auto"/>
      </w:pPr>
    </w:p>
    <w:p w14:paraId="7C67556D" w14:textId="77777777" w:rsidR="001640C9" w:rsidRDefault="001640C9" w:rsidP="00DB3D53">
      <w:pPr>
        <w:spacing w:line="276" w:lineRule="auto"/>
      </w:pPr>
    </w:p>
    <w:p w14:paraId="32CF9726" w14:textId="77777777" w:rsidR="001640C9" w:rsidRDefault="001640C9" w:rsidP="00DB3D53">
      <w:pPr>
        <w:spacing w:line="276" w:lineRule="auto"/>
      </w:pPr>
    </w:p>
    <w:p w14:paraId="5AD3C800" w14:textId="7B0FB4B1" w:rsidR="00FD1151" w:rsidRDefault="00FD1151">
      <w:r>
        <w:br w:type="page"/>
      </w:r>
    </w:p>
    <w:p w14:paraId="0DA8709C" w14:textId="7D4E4A97" w:rsidR="001640C9" w:rsidRDefault="001640C9" w:rsidP="00DB3D53">
      <w:pPr>
        <w:pStyle w:val="a6"/>
        <w:numPr>
          <w:ilvl w:val="0"/>
          <w:numId w:val="4"/>
        </w:numPr>
        <w:spacing w:after="0" w:line="276" w:lineRule="auto"/>
        <w:rPr>
          <w:rFonts w:ascii="Times New Roman" w:hAnsi="Times New Roman" w:cs="Times New Roman"/>
          <w:b/>
          <w:bCs/>
        </w:rPr>
      </w:pPr>
      <w:bookmarkStart w:id="0" w:name="_GoBack"/>
      <w:bookmarkEnd w:id="0"/>
      <w:r>
        <w:rPr>
          <w:rFonts w:ascii="Times New Roman" w:hAnsi="Times New Roman" w:cs="Times New Roman"/>
          <w:b/>
          <w:bCs/>
        </w:rPr>
        <w:lastRenderedPageBreak/>
        <w:t>Supplementary Figures</w:t>
      </w:r>
    </w:p>
    <w:p w14:paraId="176F04CA" w14:textId="77777777" w:rsidR="004E7FB7" w:rsidRDefault="004E7FB7" w:rsidP="00DB3D53">
      <w:pPr>
        <w:spacing w:line="276" w:lineRule="auto"/>
        <w:rPr>
          <w:rFonts w:ascii="Times New Roman" w:hAnsi="Times New Roman" w:cs="Times New Roman"/>
        </w:rPr>
      </w:pPr>
      <w:r>
        <w:rPr>
          <w:rFonts w:ascii="Times New Roman" w:hAnsi="Times New Roman" w:cs="Times New Roman"/>
          <w:noProof/>
        </w:rPr>
        <w:drawing>
          <wp:inline distT="0" distB="0" distL="0" distR="0" wp14:anchorId="406733F9" wp14:editId="37736ADA">
            <wp:extent cx="6542327" cy="2095500"/>
            <wp:effectExtent l="0" t="0" r="0" b="0"/>
            <wp:docPr id="1040713687" name="Picture 10"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13687" name="Picture 10" descr="A close-up of a pap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6617" cy="2109686"/>
                    </a:xfrm>
                    <a:prstGeom prst="rect">
                      <a:avLst/>
                    </a:prstGeom>
                    <a:noFill/>
                  </pic:spPr>
                </pic:pic>
              </a:graphicData>
            </a:graphic>
          </wp:inline>
        </w:drawing>
      </w:r>
    </w:p>
    <w:p w14:paraId="1917763A" w14:textId="77777777" w:rsidR="004E7FB7" w:rsidRDefault="004E7FB7" w:rsidP="00DB3D53">
      <w:pPr>
        <w:spacing w:line="276" w:lineRule="auto"/>
        <w:rPr>
          <w:rFonts w:ascii="Times New Roman" w:hAnsi="Times New Roman" w:cs="Times New Roman"/>
        </w:rPr>
      </w:pPr>
      <w:r>
        <w:rPr>
          <w:rFonts w:ascii="Times New Roman" w:hAnsi="Times New Roman" w:cs="Times New Roman"/>
          <w:noProof/>
        </w:rPr>
        <w:drawing>
          <wp:inline distT="0" distB="0" distL="0" distR="0" wp14:anchorId="3F2FABC7" wp14:editId="61D6FE1E">
            <wp:extent cx="6541770" cy="2095323"/>
            <wp:effectExtent l="0" t="0" r="0" b="635"/>
            <wp:docPr id="912786906" name="Picture 1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86906" name="Picture 11" descr="A screenshot of a graph&#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9018" cy="2107254"/>
                    </a:xfrm>
                    <a:prstGeom prst="rect">
                      <a:avLst/>
                    </a:prstGeom>
                    <a:noFill/>
                  </pic:spPr>
                </pic:pic>
              </a:graphicData>
            </a:graphic>
          </wp:inline>
        </w:drawing>
      </w:r>
    </w:p>
    <w:p w14:paraId="341F556E" w14:textId="77777777" w:rsidR="004E7FB7" w:rsidRDefault="004E7FB7" w:rsidP="00DB3D53">
      <w:pPr>
        <w:spacing w:line="276" w:lineRule="auto"/>
        <w:rPr>
          <w:rFonts w:ascii="Times New Roman" w:hAnsi="Times New Roman" w:cs="Times New Roman"/>
        </w:rPr>
      </w:pPr>
      <w:r>
        <w:rPr>
          <w:rFonts w:ascii="Times New Roman" w:hAnsi="Times New Roman" w:cs="Times New Roman"/>
          <w:noProof/>
        </w:rPr>
        <w:drawing>
          <wp:inline distT="0" distB="0" distL="0" distR="0" wp14:anchorId="337B955E" wp14:editId="0FDFA556">
            <wp:extent cx="6542324" cy="2095500"/>
            <wp:effectExtent l="0" t="0" r="0" b="0"/>
            <wp:docPr id="849908822" name="Picture 6"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08822" name="Picture 6" descr="A graph of a graph of a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8170" cy="2110184"/>
                    </a:xfrm>
                    <a:prstGeom prst="rect">
                      <a:avLst/>
                    </a:prstGeom>
                    <a:noFill/>
                  </pic:spPr>
                </pic:pic>
              </a:graphicData>
            </a:graphic>
          </wp:inline>
        </w:drawing>
      </w:r>
    </w:p>
    <w:p w14:paraId="311D25F1" w14:textId="77777777" w:rsidR="004E7FB7" w:rsidRDefault="004E7FB7" w:rsidP="00DB3D53">
      <w:pPr>
        <w:spacing w:line="276" w:lineRule="auto"/>
        <w:rPr>
          <w:rFonts w:ascii="Times New Roman" w:hAnsi="Times New Roman" w:cs="Times New Roman"/>
        </w:rPr>
      </w:pPr>
    </w:p>
    <w:p w14:paraId="4645653E" w14:textId="77777777" w:rsidR="004E7FB7" w:rsidRDefault="004E7FB7" w:rsidP="00DB3D53">
      <w:pPr>
        <w:spacing w:line="276" w:lineRule="auto"/>
        <w:rPr>
          <w:rFonts w:ascii="Times New Roman" w:hAnsi="Times New Roman" w:cs="Times New Roman"/>
        </w:rPr>
      </w:pPr>
    </w:p>
    <w:p w14:paraId="6F49DB6E" w14:textId="77777777" w:rsidR="004E7FB7" w:rsidRDefault="004E7FB7" w:rsidP="00DB3D53">
      <w:pPr>
        <w:spacing w:line="276" w:lineRule="auto"/>
        <w:rPr>
          <w:rFonts w:ascii="Times New Roman" w:hAnsi="Times New Roman" w:cs="Times New Roman"/>
        </w:rPr>
      </w:pPr>
    </w:p>
    <w:p w14:paraId="7F73F7FA" w14:textId="77777777" w:rsidR="004E7FB7" w:rsidRDefault="004E7FB7" w:rsidP="00DB3D53">
      <w:pPr>
        <w:spacing w:line="276" w:lineRule="auto"/>
        <w:rPr>
          <w:rFonts w:ascii="Times New Roman" w:hAnsi="Times New Roman" w:cs="Times New Roman"/>
        </w:rPr>
      </w:pPr>
    </w:p>
    <w:p w14:paraId="1EFD3D1D" w14:textId="77777777" w:rsidR="004E7FB7" w:rsidRDefault="004E7FB7" w:rsidP="00DB3D53">
      <w:pPr>
        <w:spacing w:line="276" w:lineRule="auto"/>
        <w:rPr>
          <w:rFonts w:ascii="Times New Roman" w:hAnsi="Times New Roman" w:cs="Times New Roman"/>
        </w:rPr>
      </w:pPr>
      <w:r>
        <w:rPr>
          <w:rFonts w:ascii="Times New Roman" w:hAnsi="Times New Roman" w:cs="Times New Roman"/>
          <w:noProof/>
        </w:rPr>
        <w:lastRenderedPageBreak/>
        <w:drawing>
          <wp:inline distT="0" distB="0" distL="0" distR="0" wp14:anchorId="458A6216" wp14:editId="11D67EF4">
            <wp:extent cx="6525328" cy="2090057"/>
            <wp:effectExtent l="0" t="0" r="0" b="5715"/>
            <wp:docPr id="1845827955" name="Picture 7"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27955" name="Picture 7" descr="A graph of a graph&#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86270" cy="2109577"/>
                    </a:xfrm>
                    <a:prstGeom prst="rect">
                      <a:avLst/>
                    </a:prstGeom>
                    <a:noFill/>
                  </pic:spPr>
                </pic:pic>
              </a:graphicData>
            </a:graphic>
          </wp:inline>
        </w:drawing>
      </w:r>
    </w:p>
    <w:p w14:paraId="741E4EC9" w14:textId="77777777" w:rsidR="004E7FB7" w:rsidRDefault="004E7FB7" w:rsidP="00DB3D53">
      <w:pPr>
        <w:spacing w:line="276" w:lineRule="auto"/>
        <w:rPr>
          <w:rFonts w:ascii="Times New Roman" w:hAnsi="Times New Roman" w:cs="Times New Roman"/>
        </w:rPr>
      </w:pPr>
      <w:r>
        <w:rPr>
          <w:rFonts w:ascii="Times New Roman" w:hAnsi="Times New Roman" w:cs="Times New Roman"/>
          <w:noProof/>
        </w:rPr>
        <w:drawing>
          <wp:inline distT="0" distB="0" distL="0" distR="0" wp14:anchorId="35B1B543" wp14:editId="6CD11EA5">
            <wp:extent cx="6514571" cy="2086610"/>
            <wp:effectExtent l="0" t="0" r="635" b="8890"/>
            <wp:docPr id="1258783004" name="Picture 8"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83004" name="Picture 8" descr="A close-up of a graph&#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5204" cy="2096422"/>
                    </a:xfrm>
                    <a:prstGeom prst="rect">
                      <a:avLst/>
                    </a:prstGeom>
                    <a:noFill/>
                  </pic:spPr>
                </pic:pic>
              </a:graphicData>
            </a:graphic>
          </wp:inline>
        </w:drawing>
      </w:r>
    </w:p>
    <w:p w14:paraId="49C15946" w14:textId="77777777" w:rsidR="004E7FB7" w:rsidRDefault="004E7FB7" w:rsidP="00DB3D53">
      <w:pPr>
        <w:spacing w:line="276" w:lineRule="auto"/>
        <w:rPr>
          <w:rFonts w:ascii="Times New Roman" w:hAnsi="Times New Roman" w:cs="Times New Roman"/>
        </w:rPr>
      </w:pPr>
      <w:r>
        <w:rPr>
          <w:rFonts w:ascii="Times New Roman" w:hAnsi="Times New Roman" w:cs="Times New Roman"/>
          <w:noProof/>
        </w:rPr>
        <w:drawing>
          <wp:inline distT="0" distB="0" distL="0" distR="0" wp14:anchorId="3C200182" wp14:editId="2D918F23">
            <wp:extent cx="6525260" cy="2091336"/>
            <wp:effectExtent l="0" t="0" r="0" b="4445"/>
            <wp:docPr id="1069564927" name="Picture 9"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64927" name="Picture 9" descr="A close-up of a grap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8074" cy="2111468"/>
                    </a:xfrm>
                    <a:prstGeom prst="rect">
                      <a:avLst/>
                    </a:prstGeom>
                    <a:noFill/>
                  </pic:spPr>
                </pic:pic>
              </a:graphicData>
            </a:graphic>
          </wp:inline>
        </w:drawing>
      </w:r>
    </w:p>
    <w:p w14:paraId="198AADC5" w14:textId="77777777" w:rsidR="004E7FB7" w:rsidRDefault="004E7FB7" w:rsidP="00DB3D53">
      <w:pPr>
        <w:spacing w:line="276" w:lineRule="auto"/>
        <w:rPr>
          <w:rFonts w:ascii="Times New Roman" w:hAnsi="Times New Roman" w:cs="Times New Roman"/>
        </w:rPr>
      </w:pPr>
      <w:r>
        <w:rPr>
          <w:rFonts w:ascii="Times New Roman" w:hAnsi="Times New Roman" w:cs="Times New Roman"/>
          <w:noProof/>
        </w:rPr>
        <w:lastRenderedPageBreak/>
        <w:drawing>
          <wp:inline distT="0" distB="0" distL="0" distR="0" wp14:anchorId="557E1C8A" wp14:editId="442CFA78">
            <wp:extent cx="6509318" cy="2081719"/>
            <wp:effectExtent l="0" t="0" r="6350" b="0"/>
            <wp:docPr id="626634949" name="Picture 1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34949" name="Picture 12"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0438" cy="2098067"/>
                    </a:xfrm>
                    <a:prstGeom prst="rect">
                      <a:avLst/>
                    </a:prstGeom>
                    <a:noFill/>
                  </pic:spPr>
                </pic:pic>
              </a:graphicData>
            </a:graphic>
          </wp:inline>
        </w:drawing>
      </w:r>
    </w:p>
    <w:p w14:paraId="78392226" w14:textId="77777777" w:rsidR="004E7FB7" w:rsidRPr="002718EE" w:rsidRDefault="004E7FB7" w:rsidP="00DB3D53">
      <w:pPr>
        <w:spacing w:line="276" w:lineRule="auto"/>
        <w:jc w:val="both"/>
        <w:rPr>
          <w:rFonts w:ascii="Times New Roman" w:hAnsi="Times New Roman" w:cs="Times New Roman"/>
          <w:b/>
        </w:rPr>
      </w:pPr>
      <w:r w:rsidRPr="002718EE">
        <w:rPr>
          <w:rFonts w:ascii="Times New Roman" w:hAnsi="Times New Roman" w:cs="Times New Roman"/>
          <w:b/>
        </w:rPr>
        <w:t>Figure S1: LC-MS data of VFR12 analogues.</w:t>
      </w:r>
    </w:p>
    <w:p w14:paraId="42E005DD" w14:textId="77777777" w:rsidR="004E7FB7" w:rsidRDefault="004E7FB7" w:rsidP="00DB3D53">
      <w:pPr>
        <w:spacing w:line="276" w:lineRule="auto"/>
        <w:jc w:val="both"/>
        <w:rPr>
          <w:rFonts w:ascii="Times New Roman" w:hAnsi="Times New Roman" w:cs="Times New Roman"/>
        </w:rPr>
      </w:pPr>
    </w:p>
    <w:p w14:paraId="274DC514" w14:textId="77777777" w:rsidR="004E7FB7" w:rsidRDefault="004E7FB7" w:rsidP="00DB3D53">
      <w:pPr>
        <w:spacing w:line="276" w:lineRule="auto"/>
        <w:jc w:val="both"/>
        <w:rPr>
          <w:rFonts w:ascii="Times New Roman" w:hAnsi="Times New Roman" w:cs="Times New Roman"/>
        </w:rPr>
      </w:pPr>
    </w:p>
    <w:p w14:paraId="6D8E6947" w14:textId="77777777" w:rsidR="004E7FB7" w:rsidRDefault="004E7FB7" w:rsidP="00DB3D53">
      <w:pPr>
        <w:spacing w:line="276" w:lineRule="auto"/>
        <w:rPr>
          <w:rFonts w:ascii="Times New Roman" w:hAnsi="Times New Roman" w:cs="Times New Roman"/>
        </w:rPr>
      </w:pPr>
      <w:r>
        <w:rPr>
          <w:rFonts w:ascii="Times New Roman" w:hAnsi="Times New Roman" w:cs="Times New Roman"/>
          <w:noProof/>
        </w:rPr>
        <w:lastRenderedPageBreak/>
        <w:drawing>
          <wp:inline distT="0" distB="0" distL="0" distR="0" wp14:anchorId="101CDD7E" wp14:editId="522D27B9">
            <wp:extent cx="6628854" cy="5700395"/>
            <wp:effectExtent l="0" t="0" r="635" b="0"/>
            <wp:docPr id="1651616819"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16819" name="Picture 2" descr="A screenshot of a computer screen&#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56939" cy="5810540"/>
                    </a:xfrm>
                    <a:prstGeom prst="rect">
                      <a:avLst/>
                    </a:prstGeom>
                    <a:noFill/>
                  </pic:spPr>
                </pic:pic>
              </a:graphicData>
            </a:graphic>
          </wp:inline>
        </w:drawing>
      </w:r>
    </w:p>
    <w:p w14:paraId="0B69C0E8" w14:textId="77777777" w:rsidR="004E7FB7" w:rsidRPr="002718EE" w:rsidRDefault="004E7FB7" w:rsidP="00DB3D53">
      <w:pPr>
        <w:spacing w:line="276" w:lineRule="auto"/>
        <w:jc w:val="both"/>
        <w:rPr>
          <w:rFonts w:ascii="Times New Roman" w:hAnsi="Times New Roman" w:cs="Times New Roman"/>
          <w:b/>
        </w:rPr>
      </w:pPr>
      <w:r w:rsidRPr="002718EE">
        <w:rPr>
          <w:rFonts w:ascii="Times New Roman" w:hAnsi="Times New Roman" w:cs="Times New Roman"/>
          <w:b/>
        </w:rPr>
        <w:t>Figure S2: HPLC retention time of VFR12 and selected analogues.</w:t>
      </w:r>
    </w:p>
    <w:p w14:paraId="731A3E59" w14:textId="7E711FFB" w:rsidR="004E7FB7" w:rsidRDefault="004669DC" w:rsidP="00DB3D53">
      <w:pPr>
        <w:spacing w:line="276" w:lineRule="auto"/>
        <w:jc w:val="center"/>
      </w:pPr>
      <w:r>
        <w:object w:dxaOrig="11146" w:dyaOrig="7605" w14:anchorId="220E3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65pt;height:223.7pt" o:ole="">
            <v:imagedata r:id="rId15" o:title=""/>
          </v:shape>
          <o:OLEObject Type="Embed" ProgID="SigmaPlotGraphicObject.11" ShapeID="_x0000_i1025" DrawAspect="Content" ObjectID="_1815981506" r:id="rId16"/>
        </w:object>
      </w:r>
    </w:p>
    <w:p w14:paraId="50D6D3C4" w14:textId="77777777" w:rsidR="004E7FB7" w:rsidRPr="002718EE" w:rsidRDefault="004E7FB7" w:rsidP="00DB3D53">
      <w:pPr>
        <w:spacing w:line="276" w:lineRule="auto"/>
        <w:jc w:val="both"/>
        <w:rPr>
          <w:rFonts w:ascii="Times New Roman" w:hAnsi="Times New Roman" w:cs="Times New Roman"/>
          <w:b/>
        </w:rPr>
      </w:pPr>
      <w:r w:rsidRPr="002718EE">
        <w:rPr>
          <w:rFonts w:ascii="Times New Roman" w:hAnsi="Times New Roman" w:cs="Times New Roman"/>
          <w:b/>
        </w:rPr>
        <w:t>Figure S3: Hemolytic activity of the VFR12 anlages, quantified as the percentage hemolysis in sheep red blood cells (</w:t>
      </w:r>
      <w:proofErr w:type="spellStart"/>
      <w:r w:rsidRPr="002718EE">
        <w:rPr>
          <w:rFonts w:ascii="Times New Roman" w:hAnsi="Times New Roman" w:cs="Times New Roman"/>
          <w:b/>
        </w:rPr>
        <w:t>sRBCs</w:t>
      </w:r>
      <w:proofErr w:type="spellEnd"/>
      <w:r w:rsidRPr="002718EE">
        <w:rPr>
          <w:rFonts w:ascii="Times New Roman" w:hAnsi="Times New Roman" w:cs="Times New Roman"/>
          <w:b/>
        </w:rPr>
        <w:t>).</w:t>
      </w:r>
    </w:p>
    <w:p w14:paraId="5C86F4B9" w14:textId="77777777" w:rsidR="004E7FB7" w:rsidRPr="009A5305" w:rsidRDefault="004E7FB7" w:rsidP="00DB3D53">
      <w:pPr>
        <w:spacing w:line="276" w:lineRule="auto"/>
        <w:jc w:val="both"/>
        <w:rPr>
          <w:rFonts w:ascii="Times New Roman" w:hAnsi="Times New Roman" w:cs="Times New Roman"/>
        </w:rPr>
      </w:pPr>
    </w:p>
    <w:p w14:paraId="30216EE7" w14:textId="77777777" w:rsidR="001640C9" w:rsidRDefault="001640C9" w:rsidP="00DB3D53">
      <w:pPr>
        <w:spacing w:line="276" w:lineRule="auto"/>
      </w:pPr>
    </w:p>
    <w:sectPr w:rsidR="001640C9">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 w:name="ArnoPro-Italic">
    <w:altName w:val="맑은 고딕"/>
    <w:panose1 w:val="00000000000000000000"/>
    <w:charset w:val="81"/>
    <w:family w:val="swiss"/>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444E"/>
    <w:multiLevelType w:val="hybridMultilevel"/>
    <w:tmpl w:val="6B9CB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2434D3"/>
    <w:multiLevelType w:val="multilevel"/>
    <w:tmpl w:val="8760F09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3144399"/>
    <w:multiLevelType w:val="multilevel"/>
    <w:tmpl w:val="94FC01B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EA859F2"/>
    <w:multiLevelType w:val="hybridMultilevel"/>
    <w:tmpl w:val="BB9CD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A2"/>
    <w:rsid w:val="0002132E"/>
    <w:rsid w:val="00021577"/>
    <w:rsid w:val="000771E3"/>
    <w:rsid w:val="00077395"/>
    <w:rsid w:val="0009026F"/>
    <w:rsid w:val="000C63EE"/>
    <w:rsid w:val="00102237"/>
    <w:rsid w:val="00130128"/>
    <w:rsid w:val="00136AA2"/>
    <w:rsid w:val="001640C9"/>
    <w:rsid w:val="001864A0"/>
    <w:rsid w:val="00191316"/>
    <w:rsid w:val="001915AD"/>
    <w:rsid w:val="001931C4"/>
    <w:rsid w:val="001B2B58"/>
    <w:rsid w:val="001C1111"/>
    <w:rsid w:val="001E61A5"/>
    <w:rsid w:val="001F01EB"/>
    <w:rsid w:val="001F53CA"/>
    <w:rsid w:val="00243743"/>
    <w:rsid w:val="002467A8"/>
    <w:rsid w:val="0025776D"/>
    <w:rsid w:val="002718EE"/>
    <w:rsid w:val="00271B24"/>
    <w:rsid w:val="0027731D"/>
    <w:rsid w:val="00291CBC"/>
    <w:rsid w:val="00295E0E"/>
    <w:rsid w:val="002C47C6"/>
    <w:rsid w:val="002C4E77"/>
    <w:rsid w:val="00317F1C"/>
    <w:rsid w:val="00383F97"/>
    <w:rsid w:val="003A32A6"/>
    <w:rsid w:val="003B04EA"/>
    <w:rsid w:val="003E2C26"/>
    <w:rsid w:val="003E36F3"/>
    <w:rsid w:val="003E60F2"/>
    <w:rsid w:val="004550C6"/>
    <w:rsid w:val="00462B61"/>
    <w:rsid w:val="004669DC"/>
    <w:rsid w:val="004764A6"/>
    <w:rsid w:val="00480C87"/>
    <w:rsid w:val="004A4F72"/>
    <w:rsid w:val="004C7935"/>
    <w:rsid w:val="004E7FB7"/>
    <w:rsid w:val="004F088F"/>
    <w:rsid w:val="00515682"/>
    <w:rsid w:val="00520C50"/>
    <w:rsid w:val="0052682E"/>
    <w:rsid w:val="00544E5A"/>
    <w:rsid w:val="005B5B80"/>
    <w:rsid w:val="0060480D"/>
    <w:rsid w:val="0063590C"/>
    <w:rsid w:val="0063781D"/>
    <w:rsid w:val="0065442C"/>
    <w:rsid w:val="00654FA5"/>
    <w:rsid w:val="006667CB"/>
    <w:rsid w:val="006725B3"/>
    <w:rsid w:val="006822B6"/>
    <w:rsid w:val="0068446F"/>
    <w:rsid w:val="006B5425"/>
    <w:rsid w:val="006E6225"/>
    <w:rsid w:val="007072E2"/>
    <w:rsid w:val="00710238"/>
    <w:rsid w:val="00711CEB"/>
    <w:rsid w:val="007468FE"/>
    <w:rsid w:val="00746FC7"/>
    <w:rsid w:val="007509A2"/>
    <w:rsid w:val="00774B86"/>
    <w:rsid w:val="007B335F"/>
    <w:rsid w:val="007E403C"/>
    <w:rsid w:val="007F6822"/>
    <w:rsid w:val="00802A86"/>
    <w:rsid w:val="008325D6"/>
    <w:rsid w:val="008533D3"/>
    <w:rsid w:val="00862915"/>
    <w:rsid w:val="00892314"/>
    <w:rsid w:val="008930D8"/>
    <w:rsid w:val="008A0B8B"/>
    <w:rsid w:val="008C73AF"/>
    <w:rsid w:val="008E5441"/>
    <w:rsid w:val="00955329"/>
    <w:rsid w:val="009A4A43"/>
    <w:rsid w:val="009B7DB3"/>
    <w:rsid w:val="009E45D7"/>
    <w:rsid w:val="00A1702F"/>
    <w:rsid w:val="00A41A0F"/>
    <w:rsid w:val="00A84129"/>
    <w:rsid w:val="00AB1A27"/>
    <w:rsid w:val="00B054D5"/>
    <w:rsid w:val="00B076D0"/>
    <w:rsid w:val="00B11ED8"/>
    <w:rsid w:val="00B1307B"/>
    <w:rsid w:val="00B322E6"/>
    <w:rsid w:val="00B82C7E"/>
    <w:rsid w:val="00BA70B4"/>
    <w:rsid w:val="00BC7185"/>
    <w:rsid w:val="00C4361C"/>
    <w:rsid w:val="00C62424"/>
    <w:rsid w:val="00C70B02"/>
    <w:rsid w:val="00C70F2F"/>
    <w:rsid w:val="00C80B4A"/>
    <w:rsid w:val="00CC25C7"/>
    <w:rsid w:val="00D133B8"/>
    <w:rsid w:val="00D24475"/>
    <w:rsid w:val="00D31E26"/>
    <w:rsid w:val="00D67BD8"/>
    <w:rsid w:val="00D720ED"/>
    <w:rsid w:val="00DB3D53"/>
    <w:rsid w:val="00DD7738"/>
    <w:rsid w:val="00E11437"/>
    <w:rsid w:val="00E31CA4"/>
    <w:rsid w:val="00E41EC6"/>
    <w:rsid w:val="00E527F6"/>
    <w:rsid w:val="00ED2281"/>
    <w:rsid w:val="00EF7E8D"/>
    <w:rsid w:val="00F045BF"/>
    <w:rsid w:val="00F42C4E"/>
    <w:rsid w:val="00F455FE"/>
    <w:rsid w:val="00FD11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70CF6"/>
  <w15:chartTrackingRefBased/>
  <w15:docId w15:val="{F4F16CEB-B7D0-4584-AA59-B8D78E7C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9A2"/>
  </w:style>
  <w:style w:type="paragraph" w:styleId="1">
    <w:name w:val="heading 1"/>
    <w:basedOn w:val="a"/>
    <w:next w:val="a"/>
    <w:link w:val="1Char"/>
    <w:uiPriority w:val="9"/>
    <w:qFormat/>
    <w:rsid w:val="00750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50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509A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509A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509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509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509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509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509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509A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7509A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7509A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7509A2"/>
    <w:rPr>
      <w:rFonts w:eastAsiaTheme="majorEastAsia" w:cstheme="majorBidi"/>
      <w:i/>
      <w:iCs/>
      <w:color w:val="0F4761" w:themeColor="accent1" w:themeShade="BF"/>
    </w:rPr>
  </w:style>
  <w:style w:type="character" w:customStyle="1" w:styleId="5Char">
    <w:name w:val="제목 5 Char"/>
    <w:basedOn w:val="a0"/>
    <w:link w:val="5"/>
    <w:uiPriority w:val="9"/>
    <w:semiHidden/>
    <w:rsid w:val="007509A2"/>
    <w:rPr>
      <w:rFonts w:eastAsiaTheme="majorEastAsia" w:cstheme="majorBidi"/>
      <w:color w:val="0F4761" w:themeColor="accent1" w:themeShade="BF"/>
    </w:rPr>
  </w:style>
  <w:style w:type="character" w:customStyle="1" w:styleId="6Char">
    <w:name w:val="제목 6 Char"/>
    <w:basedOn w:val="a0"/>
    <w:link w:val="6"/>
    <w:uiPriority w:val="9"/>
    <w:semiHidden/>
    <w:rsid w:val="007509A2"/>
    <w:rPr>
      <w:rFonts w:eastAsiaTheme="majorEastAsia" w:cstheme="majorBidi"/>
      <w:i/>
      <w:iCs/>
      <w:color w:val="595959" w:themeColor="text1" w:themeTint="A6"/>
    </w:rPr>
  </w:style>
  <w:style w:type="character" w:customStyle="1" w:styleId="7Char">
    <w:name w:val="제목 7 Char"/>
    <w:basedOn w:val="a0"/>
    <w:link w:val="7"/>
    <w:uiPriority w:val="9"/>
    <w:semiHidden/>
    <w:rsid w:val="007509A2"/>
    <w:rPr>
      <w:rFonts w:eastAsiaTheme="majorEastAsia" w:cstheme="majorBidi"/>
      <w:color w:val="595959" w:themeColor="text1" w:themeTint="A6"/>
    </w:rPr>
  </w:style>
  <w:style w:type="character" w:customStyle="1" w:styleId="8Char">
    <w:name w:val="제목 8 Char"/>
    <w:basedOn w:val="a0"/>
    <w:link w:val="8"/>
    <w:uiPriority w:val="9"/>
    <w:semiHidden/>
    <w:rsid w:val="007509A2"/>
    <w:rPr>
      <w:rFonts w:eastAsiaTheme="majorEastAsia" w:cstheme="majorBidi"/>
      <w:i/>
      <w:iCs/>
      <w:color w:val="272727" w:themeColor="text1" w:themeTint="D8"/>
    </w:rPr>
  </w:style>
  <w:style w:type="character" w:customStyle="1" w:styleId="9Char">
    <w:name w:val="제목 9 Char"/>
    <w:basedOn w:val="a0"/>
    <w:link w:val="9"/>
    <w:uiPriority w:val="9"/>
    <w:semiHidden/>
    <w:rsid w:val="007509A2"/>
    <w:rPr>
      <w:rFonts w:eastAsiaTheme="majorEastAsia" w:cstheme="majorBidi"/>
      <w:color w:val="272727" w:themeColor="text1" w:themeTint="D8"/>
    </w:rPr>
  </w:style>
  <w:style w:type="paragraph" w:styleId="a3">
    <w:name w:val="Title"/>
    <w:basedOn w:val="a"/>
    <w:next w:val="a"/>
    <w:link w:val="Char"/>
    <w:uiPriority w:val="10"/>
    <w:qFormat/>
    <w:rsid w:val="00750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509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509A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7509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509A2"/>
    <w:pPr>
      <w:spacing w:before="160"/>
      <w:jc w:val="center"/>
    </w:pPr>
    <w:rPr>
      <w:i/>
      <w:iCs/>
      <w:color w:val="404040" w:themeColor="text1" w:themeTint="BF"/>
    </w:rPr>
  </w:style>
  <w:style w:type="character" w:customStyle="1" w:styleId="Char1">
    <w:name w:val="인용 Char"/>
    <w:basedOn w:val="a0"/>
    <w:link w:val="a5"/>
    <w:uiPriority w:val="29"/>
    <w:rsid w:val="007509A2"/>
    <w:rPr>
      <w:i/>
      <w:iCs/>
      <w:color w:val="404040" w:themeColor="text1" w:themeTint="BF"/>
    </w:rPr>
  </w:style>
  <w:style w:type="paragraph" w:styleId="a6">
    <w:name w:val="List Paragraph"/>
    <w:basedOn w:val="a"/>
    <w:uiPriority w:val="34"/>
    <w:qFormat/>
    <w:rsid w:val="007509A2"/>
    <w:pPr>
      <w:ind w:left="720"/>
      <w:contextualSpacing/>
    </w:pPr>
  </w:style>
  <w:style w:type="character" w:styleId="a7">
    <w:name w:val="Intense Emphasis"/>
    <w:basedOn w:val="a0"/>
    <w:uiPriority w:val="21"/>
    <w:qFormat/>
    <w:rsid w:val="007509A2"/>
    <w:rPr>
      <w:i/>
      <w:iCs/>
      <w:color w:val="0F4761" w:themeColor="accent1" w:themeShade="BF"/>
    </w:rPr>
  </w:style>
  <w:style w:type="paragraph" w:styleId="a8">
    <w:name w:val="Intense Quote"/>
    <w:basedOn w:val="a"/>
    <w:next w:val="a"/>
    <w:link w:val="Char2"/>
    <w:uiPriority w:val="30"/>
    <w:qFormat/>
    <w:rsid w:val="00750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509A2"/>
    <w:rPr>
      <w:i/>
      <w:iCs/>
      <w:color w:val="0F4761" w:themeColor="accent1" w:themeShade="BF"/>
    </w:rPr>
  </w:style>
  <w:style w:type="character" w:styleId="a9">
    <w:name w:val="Intense Reference"/>
    <w:basedOn w:val="a0"/>
    <w:uiPriority w:val="32"/>
    <w:qFormat/>
    <w:rsid w:val="007509A2"/>
    <w:rPr>
      <w:b/>
      <w:bCs/>
      <w:smallCaps/>
      <w:color w:val="0F4761" w:themeColor="accent1" w:themeShade="BF"/>
      <w:spacing w:val="5"/>
    </w:rPr>
  </w:style>
  <w:style w:type="character" w:styleId="aa">
    <w:name w:val="Hyperlink"/>
    <w:basedOn w:val="a0"/>
    <w:uiPriority w:val="99"/>
    <w:unhideWhenUsed/>
    <w:rsid w:val="007509A2"/>
    <w:rPr>
      <w:color w:val="467886" w:themeColor="hyperlink"/>
      <w:u w:val="single"/>
    </w:rPr>
  </w:style>
  <w:style w:type="paragraph" w:styleId="ab">
    <w:name w:val="Normal (Web)"/>
    <w:basedOn w:val="a"/>
    <w:uiPriority w:val="99"/>
    <w:unhideWhenUsed/>
    <w:rsid w:val="007509A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hyperlink" Target="mailto:styang@chosun.ac.kr" TargetMode="External"/><Relationship Id="rId11" Type="http://schemas.openxmlformats.org/officeDocument/2006/relationships/image" Target="media/image5.png"/><Relationship Id="rId5" Type="http://schemas.openxmlformats.org/officeDocument/2006/relationships/hyperlink" Target="mailto:syshin@chosun.ac.kr" TargetMode="External"/><Relationship Id="rId15" Type="http://schemas.openxmlformats.org/officeDocument/2006/relationships/image" Target="media/image9.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1739</Words>
  <Characters>9913</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자한 이쉬랏</dc:creator>
  <cp:keywords/>
  <dc:description/>
  <cp:lastModifiedBy>chosun</cp:lastModifiedBy>
  <cp:revision>2</cp:revision>
  <dcterms:created xsi:type="dcterms:W3CDTF">2025-08-06T01:32:00Z</dcterms:created>
  <dcterms:modified xsi:type="dcterms:W3CDTF">2025-08-06T01:32:00Z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81da84fe-c0bb-4251-9e9b-afb3d102a7e5</vt:lpwstr>
  </property>
</Properties>
</file>