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C66BB" w14:textId="77777777" w:rsidR="00777D32" w:rsidRDefault="00777D32">
      <w:pPr>
        <w:ind w:firstLine="400"/>
      </w:pPr>
    </w:p>
    <w:p w14:paraId="7E3DE0A8" w14:textId="77777777" w:rsidR="00777D32" w:rsidRDefault="00000000">
      <w:pPr>
        <w:ind w:firstLine="400"/>
      </w:pPr>
      <w:r>
        <w:rPr>
          <w:noProof/>
        </w:rPr>
        <w:drawing>
          <wp:inline distT="0" distB="0" distL="0" distR="0" wp14:anchorId="2BFF44B2" wp14:editId="7AFB2A51">
            <wp:extent cx="5274310" cy="2840990"/>
            <wp:effectExtent l="0" t="0" r="2540" b="0"/>
            <wp:docPr id="1026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7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08D3C" w14:textId="77777777" w:rsidR="00777D32" w:rsidRDefault="00000000">
      <w:pPr>
        <w:keepNext/>
        <w:keepLines/>
        <w:spacing w:before="260" w:after="260"/>
        <w:ind w:firstLine="482"/>
        <w:outlineLvl w:val="2"/>
        <w:rPr>
          <w:rFonts w:eastAsia="SimHei" w:cs="Arial"/>
          <w:b/>
          <w:bCs/>
          <w:sz w:val="24"/>
          <w:szCs w:val="32"/>
        </w:rPr>
      </w:pPr>
      <w:r>
        <w:rPr>
          <w:rFonts w:eastAsia="SimHei" w:cs="Arial"/>
          <w:b/>
          <w:bCs/>
          <w:sz w:val="24"/>
          <w:szCs w:val="32"/>
        </w:rPr>
        <w:t xml:space="preserve">Figure S1. Effector gene expression in </w:t>
      </w:r>
      <w:r>
        <w:rPr>
          <w:rFonts w:eastAsia="SimHei" w:cs="Arial"/>
          <w:b/>
          <w:bCs/>
          <w:i/>
          <w:iCs/>
          <w:sz w:val="24"/>
          <w:szCs w:val="32"/>
        </w:rPr>
        <w:t>P. sojae</w:t>
      </w:r>
      <w:r>
        <w:rPr>
          <w:rFonts w:eastAsia="SimHei" w:cs="Arial"/>
          <w:b/>
          <w:bCs/>
          <w:sz w:val="24"/>
          <w:szCs w:val="32"/>
        </w:rPr>
        <w:t xml:space="preserve"> is induced by salicylic acid (SA).</w:t>
      </w:r>
    </w:p>
    <w:p w14:paraId="0F97088C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(a) The volcano plot illustrates differential gene expression in </w:t>
      </w:r>
      <w:r>
        <w:rPr>
          <w:rFonts w:eastAsia="DengXian" w:cs="Arial"/>
          <w:i/>
          <w:iCs/>
        </w:rPr>
        <w:t>P. sojae</w:t>
      </w:r>
      <w:r>
        <w:rPr>
          <w:rFonts w:eastAsia="DengXian" w:cs="Arial"/>
        </w:rPr>
        <w:t xml:space="preserve"> in response to salicylic acid (SA) treatment. Gene expression profiles were compared between SA-treated and ethanol (EtOH) control samples at 30 minutes post-treatment. Differentially expressed genes (DEGs) were identified using DESeq2 with a false discovery rate (FDR)-adjusted q-value &lt; 0.05 and an absolute log</w:t>
      </w:r>
      <w:r>
        <w:rPr>
          <w:rFonts w:eastAsia="DengXian" w:cs="Times New Roman"/>
        </w:rPr>
        <w:t>₂</w:t>
      </w:r>
      <w:r>
        <w:rPr>
          <w:rFonts w:eastAsia="DengXian" w:cs="Arial"/>
        </w:rPr>
        <w:t xml:space="preserve"> fold change &gt; 1. Red dots indicate upregulated genes (n = 2,608); blue dots indicate downregulated genes (n = 2,993).</w:t>
      </w:r>
    </w:p>
    <w:p w14:paraId="302F9CDB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>(</w:t>
      </w:r>
      <w:r>
        <w:rPr>
          <w:rFonts w:eastAsia="DengXian" w:cs="Arial" w:hint="eastAsia"/>
        </w:rPr>
        <w:t>b</w:t>
      </w:r>
      <w:r>
        <w:rPr>
          <w:rFonts w:eastAsia="DengXian" w:cs="Arial"/>
        </w:rPr>
        <w:t xml:space="preserve">) The heatmap displays the expression profiles of differentially expressed effector genes in </w:t>
      </w:r>
      <w:r>
        <w:rPr>
          <w:rFonts w:eastAsia="DengXian" w:cs="Arial"/>
          <w:i/>
          <w:iCs/>
        </w:rPr>
        <w:t>P. sojae</w:t>
      </w:r>
      <w:r>
        <w:rPr>
          <w:rFonts w:eastAsia="DengXian" w:cs="Arial"/>
        </w:rPr>
        <w:t xml:space="preserve"> following treatment with SA or EtOH as a control. Raw FPKM values were normalized using reference genes. Expression levels are represented by a color gradient, with red indicating high expression and blue indicating low expression.</w:t>
      </w:r>
    </w:p>
    <w:p w14:paraId="2DA147AA" w14:textId="77777777" w:rsidR="00777D32" w:rsidRDefault="00000000">
      <w:pPr>
        <w:widowControl/>
        <w:jc w:val="left"/>
      </w:pPr>
      <w:r>
        <w:br w:type="page"/>
      </w:r>
    </w:p>
    <w:p w14:paraId="1F4710E3" w14:textId="77777777" w:rsidR="00777D32" w:rsidRDefault="00777D32">
      <w:pPr>
        <w:ind w:firstLine="400"/>
      </w:pPr>
    </w:p>
    <w:p w14:paraId="34513087" w14:textId="77777777" w:rsidR="00777D32" w:rsidRDefault="00777D32">
      <w:pPr>
        <w:widowControl/>
        <w:jc w:val="left"/>
        <w:rPr>
          <w:rFonts w:eastAsia="DengXian" w:cs="Arial"/>
        </w:rPr>
      </w:pPr>
    </w:p>
    <w:p w14:paraId="29BF790C" w14:textId="77777777" w:rsidR="00777D32" w:rsidRDefault="00000000">
      <w:pPr>
        <w:widowControl/>
        <w:jc w:val="left"/>
        <w:rPr>
          <w:rFonts w:eastAsia="DengXian" w:cs="Arial"/>
        </w:rPr>
      </w:pPr>
      <w:r>
        <w:rPr>
          <w:noProof/>
        </w:rPr>
        <w:drawing>
          <wp:inline distT="0" distB="0" distL="0" distR="0" wp14:anchorId="7EBF3C0F" wp14:editId="0970153F">
            <wp:extent cx="5274310" cy="3310255"/>
            <wp:effectExtent l="0" t="0" r="2540" b="4445"/>
            <wp:docPr id="102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8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37835" w14:textId="77777777" w:rsidR="00777D32" w:rsidRDefault="00777D32">
      <w:pPr>
        <w:widowControl/>
        <w:jc w:val="left"/>
        <w:rPr>
          <w:rFonts w:eastAsia="DengXian" w:cs="Arial"/>
        </w:rPr>
      </w:pPr>
    </w:p>
    <w:p w14:paraId="01776199" w14:textId="77777777" w:rsidR="00777D32" w:rsidRDefault="00000000">
      <w:pPr>
        <w:pStyle w:val="Heading3"/>
        <w:ind w:firstLine="482"/>
        <w:rPr>
          <w:rFonts w:cs="Arial"/>
        </w:rPr>
      </w:pPr>
      <w:r>
        <w:rPr>
          <w:rFonts w:cs="Arial"/>
        </w:rPr>
        <w:t xml:space="preserve">Figure S2. Structural analysis of PsAvh109 and its orthologs in </w:t>
      </w:r>
      <w:r>
        <w:rPr>
          <w:rFonts w:cs="Arial"/>
          <w:i/>
          <w:iCs/>
        </w:rPr>
        <w:t>Phytophthora</w:t>
      </w:r>
      <w:r>
        <w:rPr>
          <w:rFonts w:cs="Arial"/>
        </w:rPr>
        <w:t xml:space="preserve"> species.</w:t>
      </w:r>
    </w:p>
    <w:p w14:paraId="5BE7E3FA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(a) PsAvh109 is a conserved effector in </w:t>
      </w:r>
      <w:r>
        <w:rPr>
          <w:rFonts w:cs="Arial"/>
          <w:i/>
        </w:rPr>
        <w:t>Phytophthora</w:t>
      </w:r>
      <w:r>
        <w:rPr>
          <w:rFonts w:cs="Arial"/>
        </w:rPr>
        <w:t xml:space="preserve"> species. Phylogenetic analysis of PsAvh109 homologs from multiple </w:t>
      </w:r>
      <w:r>
        <w:rPr>
          <w:rStyle w:val="Emphasis"/>
          <w:rFonts w:cs="Arial"/>
        </w:rPr>
        <w:t>Phytophthora</w:t>
      </w:r>
      <w:r>
        <w:rPr>
          <w:rFonts w:cs="Arial"/>
        </w:rPr>
        <w:t xml:space="preserve"> species is shown in the figure, with percentage values indicating sequence identity relative to PsAvh109. Conserved motifs—including the signal peptide (SP), RxLR-DEER domain, and nuclear localization signal (NLS)—are depicted using distinct colors. Protein sequences were analyzed using MEGA 12 with the neighbor-joining method and 1,000 bootstrap replicates.</w:t>
      </w:r>
    </w:p>
    <w:p w14:paraId="6A21CCE7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(b) Shown is an amino acid sequence alignment of PsAvh109 homologs from various </w:t>
      </w:r>
      <w:r>
        <w:rPr>
          <w:rFonts w:cs="Arial"/>
          <w:i/>
        </w:rPr>
        <w:t>Phytophthora</w:t>
      </w:r>
      <w:r>
        <w:rPr>
          <w:rFonts w:cs="Arial"/>
        </w:rPr>
        <w:t xml:space="preserve"> species. Alignment was created using MUSCLE 3.8, available at https://www.ebi.ac.uk/jdispatcher/msa/muscle. Different colors highlight conserved motifs within PsAvh109 and its homologs, with "RxLR" representing Arg-x-Leu-Arg, and "NLS" denoting the nuclear localization signal. Protein sequences were obtained from NCBI (</w:t>
      </w:r>
      <w:hyperlink r:id="rId9" w:history="1">
        <w:r>
          <w:rPr>
            <w:rStyle w:val="Hyperlink"/>
            <w:rFonts w:cs="Arial"/>
          </w:rPr>
          <w:t>https://www.ncbi.nlm.nih.gov/</w:t>
        </w:r>
      </w:hyperlink>
      <w:r>
        <w:rPr>
          <w:rFonts w:cs="Arial"/>
        </w:rPr>
        <w:t>); accession numbers are indicated. Hyphens indicate gaps introduced to maximize the alignment, * = invariant residue, : = conserved residue, . = partially conserved residue.</w:t>
      </w:r>
    </w:p>
    <w:p w14:paraId="2DBEB27B" w14:textId="77777777" w:rsidR="00777D32" w:rsidRDefault="00777D32">
      <w:pPr>
        <w:widowControl/>
        <w:jc w:val="left"/>
        <w:rPr>
          <w:rFonts w:eastAsia="DengXian" w:cs="Arial"/>
        </w:rPr>
      </w:pPr>
    </w:p>
    <w:p w14:paraId="07D1D621" w14:textId="77777777" w:rsidR="00777D32" w:rsidRDefault="00000000">
      <w:pPr>
        <w:widowControl/>
        <w:jc w:val="left"/>
        <w:rPr>
          <w:rFonts w:eastAsia="DengXian" w:cs="Arial"/>
        </w:rPr>
      </w:pPr>
      <w:r>
        <w:rPr>
          <w:rFonts w:eastAsia="DengXian" w:cs="Arial"/>
        </w:rPr>
        <w:br w:type="page"/>
      </w:r>
    </w:p>
    <w:p w14:paraId="3EC041E3" w14:textId="77777777" w:rsidR="00777D32" w:rsidRDefault="00777D32">
      <w:pPr>
        <w:widowControl/>
        <w:jc w:val="left"/>
        <w:rPr>
          <w:rFonts w:eastAsia="DengXian" w:cs="Arial"/>
        </w:rPr>
      </w:pPr>
    </w:p>
    <w:p w14:paraId="70AC7B27" w14:textId="77777777" w:rsidR="00777D32" w:rsidRDefault="00000000">
      <w:pPr>
        <w:widowControl/>
        <w:jc w:val="left"/>
        <w:rPr>
          <w:rFonts w:eastAsia="Arial" w:cs="Arial"/>
          <w:b/>
          <w:bCs/>
          <w:iCs/>
          <w:color w:val="101010"/>
          <w:spacing w:val="5"/>
          <w:kern w:val="44"/>
          <w:szCs w:val="44"/>
        </w:rPr>
      </w:pPr>
      <w:r>
        <w:rPr>
          <w:noProof/>
        </w:rPr>
        <w:drawing>
          <wp:inline distT="0" distB="0" distL="0" distR="0" wp14:anchorId="118B71B6" wp14:editId="2D960279">
            <wp:extent cx="3237230" cy="2962910"/>
            <wp:effectExtent l="0" t="0" r="1270" b="8890"/>
            <wp:docPr id="1030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4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7230" cy="29629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D7145" w14:textId="77777777" w:rsidR="00777D32" w:rsidRDefault="00000000">
      <w:pPr>
        <w:pStyle w:val="Heading3"/>
        <w:ind w:firstLine="482"/>
        <w:rPr>
          <w:rFonts w:cs="Arial"/>
        </w:rPr>
      </w:pPr>
      <w:r>
        <w:rPr>
          <w:rFonts w:cs="Arial"/>
        </w:rPr>
        <w:t xml:space="preserve">Figure S3. Neither knockout nor complementation of PsAvh109 affects mycelial development and sporulation of </w:t>
      </w:r>
      <w:r>
        <w:rPr>
          <w:rFonts w:cs="Arial"/>
          <w:i/>
          <w:iCs/>
        </w:rPr>
        <w:t>P. sojae</w:t>
      </w:r>
      <w:r>
        <w:rPr>
          <w:rFonts w:cs="Arial"/>
        </w:rPr>
        <w:t>.</w:t>
      </w:r>
    </w:p>
    <w:p w14:paraId="4CEF1F56" w14:textId="77777777" w:rsidR="00777D32" w:rsidRDefault="00000000">
      <w:pPr>
        <w:ind w:firstLine="400"/>
        <w:rPr>
          <w:rFonts w:cs="Arial"/>
        </w:rPr>
      </w:pPr>
      <w:r>
        <w:rPr>
          <w:rStyle w:val="Strong"/>
          <w:rFonts w:cs="Arial"/>
          <w:b w:val="0"/>
        </w:rPr>
        <w:t>(a)</w:t>
      </w:r>
      <w:r>
        <w:rPr>
          <w:rFonts w:cs="Arial"/>
          <w:b/>
          <w:bCs/>
        </w:rPr>
        <w:t xml:space="preserve"> </w:t>
      </w:r>
      <w:bookmarkStart w:id="0" w:name="_Hlk205364099"/>
      <w:r>
        <w:rPr>
          <w:rStyle w:val="Emphasis"/>
          <w:rFonts w:cs="Arial"/>
        </w:rPr>
        <w:t>N. benthamiana</w:t>
      </w:r>
      <w:r>
        <w:rPr>
          <w:rFonts w:cs="Arial"/>
        </w:rPr>
        <w:t xml:space="preserve"> leaves transiently expressing GFP, GFP–PsAvh109, or GFP–PsAvh109</w:t>
      </w:r>
      <w:r>
        <w:rPr>
          <w:rFonts w:cs="Arial"/>
          <w:vertAlign w:val="superscript"/>
        </w:rPr>
        <w:t>AAA</w:t>
      </w:r>
      <w:r>
        <w:rPr>
          <w:rFonts w:cs="Arial"/>
        </w:rPr>
        <w:t xml:space="preserve"> were inoculated with </w:t>
      </w:r>
      <w:r>
        <w:rPr>
          <w:rStyle w:val="Emphasis"/>
          <w:rFonts w:cs="Arial"/>
        </w:rPr>
        <w:t>P. capsici</w:t>
      </w:r>
      <w:r>
        <w:rPr>
          <w:rFonts w:cs="Arial"/>
        </w:rPr>
        <w:t xml:space="preserve"> 36 h post-Agrobacterium infiltration. Upper panels show UV fluorescence images of lesion margins (white circles). Lower panels display INF1-triggered cell death at 36 hpi. PsAvh109 suppressed INF1-induced hypersensitive response (HR), whereas GFP and PsAvh109</w:t>
      </w:r>
      <w:r>
        <w:rPr>
          <w:rFonts w:cs="Arial"/>
          <w:vertAlign w:val="superscript"/>
        </w:rPr>
        <w:t>AAA</w:t>
      </w:r>
      <w:r>
        <w:rPr>
          <w:rFonts w:cs="Arial"/>
        </w:rPr>
        <w:t xml:space="preserve"> had no effect.</w:t>
      </w:r>
      <w:bookmarkEnd w:id="0"/>
    </w:p>
    <w:p w14:paraId="0C91F3B9" w14:textId="77777777" w:rsidR="00777D32" w:rsidRDefault="00000000">
      <w:pPr>
        <w:ind w:firstLine="400"/>
        <w:rPr>
          <w:rFonts w:cs="Arial"/>
        </w:rPr>
      </w:pPr>
      <w:r>
        <w:rPr>
          <w:rStyle w:val="Strong"/>
          <w:rFonts w:cs="Arial"/>
          <w:b w:val="0"/>
        </w:rPr>
        <w:t>(b)</w:t>
      </w:r>
      <w:r>
        <w:rPr>
          <w:rFonts w:cs="Arial"/>
        </w:rPr>
        <w:t xml:space="preserve"> Boxplot with overlaid dotplot showing lesion diameters in (a). Data are presented as median ± SD (n=12, Student’s t-test).</w:t>
      </w:r>
    </w:p>
    <w:p w14:paraId="563FACA3" w14:textId="77777777" w:rsidR="00777D32" w:rsidRDefault="00000000">
      <w:pPr>
        <w:ind w:firstLine="400"/>
        <w:rPr>
          <w:rFonts w:cs="Arial"/>
        </w:rPr>
      </w:pPr>
      <w:r>
        <w:rPr>
          <w:rStyle w:val="Strong"/>
          <w:rFonts w:cs="Arial"/>
          <w:b w:val="0"/>
        </w:rPr>
        <w:t>(c)</w:t>
      </w:r>
      <w:r>
        <w:rPr>
          <w:rFonts w:cs="Arial"/>
        </w:rPr>
        <w:t xml:space="preserve"> Relative </w:t>
      </w:r>
      <w:r>
        <w:rPr>
          <w:rFonts w:cs="Arial"/>
          <w:i/>
          <w:iCs/>
        </w:rPr>
        <w:t>P. capsici</w:t>
      </w:r>
      <w:r>
        <w:rPr>
          <w:rFonts w:cs="Arial"/>
        </w:rPr>
        <w:t xml:space="preserve"> biomass in infected leaves, quantified by qPCR based on the ratio of </w:t>
      </w:r>
      <w:r>
        <w:rPr>
          <w:rFonts w:cs="Arial"/>
          <w:i/>
          <w:iCs/>
        </w:rPr>
        <w:t>P. capsici</w:t>
      </w:r>
      <w:r>
        <w:rPr>
          <w:rFonts w:cs="Arial"/>
        </w:rPr>
        <w:t xml:space="preserve"> to </w:t>
      </w:r>
      <w:r>
        <w:rPr>
          <w:rFonts w:cs="Arial"/>
          <w:i/>
          <w:iCs/>
        </w:rPr>
        <w:t>N. benthamiana</w:t>
      </w:r>
      <w:r>
        <w:rPr>
          <w:rFonts w:cs="Arial"/>
        </w:rPr>
        <w:t xml:space="preserve"> genomic DNA. Data are shown as mean ± SD (n=3, Student’s t-test).</w:t>
      </w:r>
    </w:p>
    <w:p w14:paraId="63CEDE67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(d, e) Analysis of mycelial growth on 10% V8 agar medium. Radial growth was measured after 6 days of incubation. Data are presented as mean ± </w:t>
      </w:r>
      <w:r>
        <w:rPr>
          <w:rFonts w:eastAsia="DengXian" w:cs="Arial"/>
        </w:rPr>
        <w:t>SD</w:t>
      </w:r>
      <w:r>
        <w:rPr>
          <w:rFonts w:cs="Arial"/>
        </w:rPr>
        <w:t xml:space="preserve"> (n=10). No statistically significant differences were detected (P &gt; 0.05; one-way ANOVA with Dunnett's multiple comparisons test).</w:t>
      </w:r>
    </w:p>
    <w:p w14:paraId="1236F28F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>(f) Quantification of zoospore production. Zoospore density (per μL of suspension) was measured after 6 days of incubation. Data are shown as mean ± SD (n=10). No statistically significant differences were detected (P &gt; 0.05; one-way ANOVA with Dunnett's multiple comparisons test).</w:t>
      </w:r>
    </w:p>
    <w:p w14:paraId="610402F5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br w:type="page"/>
      </w:r>
    </w:p>
    <w:p w14:paraId="39540955" w14:textId="77777777" w:rsidR="00777D32" w:rsidRDefault="00000000">
      <w:pPr>
        <w:widowControl/>
        <w:jc w:val="left"/>
        <w:rPr>
          <w:rFonts w:eastAsia="DengXian"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4924E191" wp14:editId="26EE533D">
            <wp:extent cx="3339465" cy="2889250"/>
            <wp:effectExtent l="0" t="0" r="6985" b="3810"/>
            <wp:docPr id="1032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9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9465" cy="28892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6CFCD" w14:textId="77777777" w:rsidR="00777D32" w:rsidRDefault="00000000">
      <w:pPr>
        <w:pStyle w:val="Heading3"/>
        <w:ind w:firstLine="482"/>
        <w:rPr>
          <w:rFonts w:cs="Arial"/>
        </w:rPr>
      </w:pPr>
      <w:bookmarkStart w:id="1" w:name="_Hlk199859372"/>
      <w:r>
        <w:rPr>
          <w:rFonts w:cs="Arial"/>
        </w:rPr>
        <w:t>Figure S4. The effector PsAvh109 specifically interacts with the mediator subunit MED21</w:t>
      </w:r>
    </w:p>
    <w:bookmarkEnd w:id="1"/>
    <w:p w14:paraId="028EE815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>PsAvh109 specifically interacts with the mediator subunits MED21. Yeast two-hybrid (Y2H) assays demonstrate interaction assays between PsAvh109 and GmMED6, GmMED7, GmMED10, GmMED19, GmMED21, NbMED21, or GmMED25. Yeast transformants were serially diluted 10-fold and plated on synthetic dropout (SD) media lacking tryptophan and leucine (SD - TL) or lacking tryptophan, leucine, histidine, and adenine (SD - TLHA).</w:t>
      </w:r>
    </w:p>
    <w:p w14:paraId="3F6A23BA" w14:textId="77777777" w:rsidR="00777D32" w:rsidRDefault="00777D32">
      <w:pPr>
        <w:widowControl/>
        <w:jc w:val="left"/>
        <w:rPr>
          <w:rFonts w:eastAsia="DengXian" w:cs="Arial"/>
        </w:rPr>
      </w:pPr>
    </w:p>
    <w:p w14:paraId="65E975F4" w14:textId="77777777" w:rsidR="00777D32" w:rsidRDefault="00000000">
      <w:pPr>
        <w:widowControl/>
        <w:jc w:val="left"/>
        <w:rPr>
          <w:rFonts w:eastAsia="DengXian" w:cs="Arial"/>
        </w:rPr>
      </w:pPr>
      <w:r>
        <w:rPr>
          <w:rFonts w:eastAsia="DengXian" w:cs="Arial"/>
        </w:rPr>
        <w:br w:type="page"/>
      </w:r>
    </w:p>
    <w:p w14:paraId="485F0B40" w14:textId="77777777" w:rsidR="00777D32" w:rsidRDefault="00777D32">
      <w:pPr>
        <w:widowControl/>
        <w:jc w:val="left"/>
        <w:rPr>
          <w:rFonts w:eastAsia="DengXian" w:cs="Arial"/>
        </w:rPr>
      </w:pPr>
    </w:p>
    <w:p w14:paraId="013F6887" w14:textId="77777777" w:rsidR="00777D32" w:rsidRDefault="00000000">
      <w:pPr>
        <w:rPr>
          <w:rFonts w:eastAsia="DengXian" w:cs="Arial"/>
          <w:color w:val="FF0000"/>
        </w:rPr>
      </w:pPr>
      <w:r>
        <w:rPr>
          <w:rFonts w:cs="Arial"/>
          <w:noProof/>
        </w:rPr>
        <w:drawing>
          <wp:inline distT="0" distB="0" distL="0" distR="0" wp14:anchorId="1FFC23A7" wp14:editId="26F08500">
            <wp:extent cx="3950335" cy="3818255"/>
            <wp:effectExtent l="0" t="0" r="635" b="3175"/>
            <wp:docPr id="1033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11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38182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9A116" w14:textId="77777777" w:rsidR="00777D32" w:rsidRDefault="00000000">
      <w:pPr>
        <w:pStyle w:val="Heading3"/>
        <w:ind w:firstLine="442"/>
        <w:rPr>
          <w:rFonts w:cs="Arial"/>
        </w:rPr>
      </w:pPr>
      <w:bookmarkStart w:id="2" w:name="_Hlk199859405"/>
      <w:r>
        <w:rPr>
          <w:rStyle w:val="1"/>
          <w:rFonts w:cs="Arial"/>
        </w:rPr>
        <w:t>Figure S5</w:t>
      </w:r>
      <w:r>
        <w:rPr>
          <w:rFonts w:cs="Arial"/>
        </w:rPr>
        <w:t xml:space="preserve">. </w:t>
      </w:r>
      <w:r>
        <w:rPr>
          <w:rFonts w:cs="Arial"/>
          <w:iCs/>
        </w:rPr>
        <w:t>MED21 serves as a positive regulator of plant defense</w:t>
      </w:r>
      <w:bookmarkEnd w:id="2"/>
    </w:p>
    <w:p w14:paraId="38C5C2FA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(a) Phenotypic analysis of </w:t>
      </w:r>
      <w:r>
        <w:rPr>
          <w:rFonts w:eastAsia="DengXian" w:cs="Arial"/>
          <w:i/>
          <w:iCs/>
        </w:rPr>
        <w:t>N. benthamiana</w:t>
      </w:r>
      <w:r>
        <w:rPr>
          <w:rFonts w:eastAsia="DengXian" w:cs="Arial"/>
        </w:rPr>
        <w:t xml:space="preserve"> plants with NbMED21 silencing (RNAi-NbMED21) compared to control plants (RNAi-GFP). Leaves were inoculated with </w:t>
      </w:r>
      <w:r>
        <w:rPr>
          <w:rFonts w:eastAsia="DengXian" w:cs="Arial"/>
          <w:i/>
          <w:iCs/>
        </w:rPr>
        <w:t>P. capsici</w:t>
      </w:r>
      <w:r>
        <w:rPr>
          <w:rFonts w:eastAsia="DengXian" w:cs="Arial"/>
        </w:rPr>
        <w:t xml:space="preserve"> and imaged at 48 hours post-inoculation (hpi). Upper panels: UV fluorescence images showing lesion boundaries (white circles). Lower panels: Cell death induced by INF1 expression at 36 hpi. INF1-triggered hypersensitive response was suppressed in RNAi-NbMED21 plants but not in RNAi-GFP controls.</w:t>
      </w:r>
    </w:p>
    <w:p w14:paraId="15D5CB1D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(b) Boxplot with overlaid dotplot showing lesion diameters in (a). Data are presented as median ± SD (n=12, Student’s t-test). </w:t>
      </w:r>
    </w:p>
    <w:p w14:paraId="45DDC64A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(c) Relative </w:t>
      </w:r>
      <w:r>
        <w:rPr>
          <w:rFonts w:eastAsia="DengXian" w:cs="Arial"/>
          <w:i/>
          <w:iCs/>
        </w:rPr>
        <w:t>P. capsici</w:t>
      </w:r>
      <w:r>
        <w:rPr>
          <w:rFonts w:eastAsia="DengXian" w:cs="Arial"/>
        </w:rPr>
        <w:t xml:space="preserve"> biomass in infected leaves, quantified by qPCR based on the ratio of </w:t>
      </w:r>
      <w:r>
        <w:rPr>
          <w:rFonts w:eastAsia="DengXian" w:cs="Arial"/>
          <w:i/>
          <w:iCs/>
        </w:rPr>
        <w:t>P. capsici</w:t>
      </w:r>
      <w:r>
        <w:rPr>
          <w:rFonts w:eastAsia="DengXian" w:cs="Arial"/>
        </w:rPr>
        <w:t xml:space="preserve"> to </w:t>
      </w:r>
      <w:r>
        <w:rPr>
          <w:rFonts w:eastAsia="DengXian" w:cs="Arial"/>
          <w:i/>
          <w:iCs/>
        </w:rPr>
        <w:t>N. benthamiana</w:t>
      </w:r>
      <w:r>
        <w:rPr>
          <w:rFonts w:eastAsia="DengXian" w:cs="Arial"/>
        </w:rPr>
        <w:t xml:space="preserve"> genomic DNA. Data are shown as mean ± SD (n=3, Student’s t-test). </w:t>
      </w:r>
    </w:p>
    <w:p w14:paraId="680CEBE8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(d) Functional characterization of NbMED21 during </w:t>
      </w:r>
      <w:r>
        <w:rPr>
          <w:rFonts w:eastAsia="DengXian" w:cs="Arial"/>
          <w:i/>
          <w:iCs/>
        </w:rPr>
        <w:t>P. capsici</w:t>
      </w:r>
      <w:r>
        <w:rPr>
          <w:rFonts w:eastAsia="DengXian" w:cs="Arial"/>
        </w:rPr>
        <w:t xml:space="preserve"> infection. RNAi-NbMED21 leaves were agroinfiltrated with GFP or GFP-PsAvh109 and challenged with </w:t>
      </w:r>
      <w:r>
        <w:rPr>
          <w:rFonts w:eastAsia="DengXian" w:cs="Arial"/>
          <w:i/>
          <w:iCs/>
        </w:rPr>
        <w:t>P. capsici</w:t>
      </w:r>
      <w:r>
        <w:rPr>
          <w:rFonts w:eastAsia="DengXian" w:cs="Arial"/>
        </w:rPr>
        <w:t xml:space="preserve"> at 36 hpi. UV fluorescence images showing lesions at 48 hpi (white circles).</w:t>
      </w:r>
    </w:p>
    <w:p w14:paraId="52C31A1E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>(e) Quantification of lesion diameters. Data are presented as mean ± SD (n=14). No statistically significant differences were detected (P &gt; 0.05; Student’s t-test).</w:t>
      </w:r>
    </w:p>
    <w:p w14:paraId="21CDCDE3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(f) Relative </w:t>
      </w:r>
      <w:r>
        <w:rPr>
          <w:rFonts w:eastAsia="DengXian" w:cs="Arial"/>
          <w:i/>
          <w:iCs/>
        </w:rPr>
        <w:t>P. capsici</w:t>
      </w:r>
      <w:r>
        <w:rPr>
          <w:rFonts w:eastAsia="DengXian" w:cs="Arial"/>
        </w:rPr>
        <w:t xml:space="preserve"> biomass determined by qPCR (ratio of </w:t>
      </w:r>
      <w:r>
        <w:rPr>
          <w:rFonts w:eastAsia="DengXian" w:cs="Arial"/>
          <w:i/>
          <w:iCs/>
        </w:rPr>
        <w:t>P. capsici</w:t>
      </w:r>
      <w:r>
        <w:rPr>
          <w:rFonts w:eastAsia="DengXian" w:cs="Arial"/>
        </w:rPr>
        <w:t xml:space="preserve"> to </w:t>
      </w:r>
      <w:r>
        <w:rPr>
          <w:rFonts w:eastAsia="DengXian" w:cs="Arial"/>
          <w:i/>
          <w:iCs/>
        </w:rPr>
        <w:t>N. benthamiana</w:t>
      </w:r>
      <w:r>
        <w:rPr>
          <w:rFonts w:eastAsia="DengXian" w:cs="Arial"/>
        </w:rPr>
        <w:t xml:space="preserve"> genomic DNA). Data are shown as mean ± SD (n=3, Student’s t-test).</w:t>
      </w:r>
    </w:p>
    <w:p w14:paraId="6F6040E6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br w:type="page"/>
      </w:r>
    </w:p>
    <w:p w14:paraId="5AA6A3AD" w14:textId="77777777" w:rsidR="00777D32" w:rsidRDefault="00000000">
      <w:pPr>
        <w:ind w:firstLine="400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742B27D7" wp14:editId="36A450F4">
            <wp:extent cx="5274310" cy="6165215"/>
            <wp:effectExtent l="0" t="0" r="4445" b="9525"/>
            <wp:docPr id="1034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12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652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201E2" w14:textId="77777777" w:rsidR="00777D32" w:rsidRDefault="00777D32">
      <w:pPr>
        <w:rPr>
          <w:rFonts w:cs="Arial"/>
        </w:rPr>
      </w:pPr>
    </w:p>
    <w:p w14:paraId="0A6F135F" w14:textId="77777777" w:rsidR="00777D32" w:rsidRDefault="00000000">
      <w:pPr>
        <w:keepNext/>
        <w:keepLines/>
        <w:spacing w:before="260" w:after="260"/>
        <w:ind w:firstLine="482"/>
        <w:outlineLvl w:val="2"/>
        <w:rPr>
          <w:rFonts w:eastAsia="SimHei" w:cs="Arial"/>
          <w:b/>
          <w:bCs/>
          <w:sz w:val="24"/>
          <w:szCs w:val="32"/>
        </w:rPr>
      </w:pPr>
      <w:bookmarkStart w:id="3" w:name="_Hlk199859442"/>
      <w:r>
        <w:rPr>
          <w:rFonts w:eastAsia="SimHei" w:cs="Arial"/>
          <w:b/>
          <w:bCs/>
          <w:sz w:val="24"/>
          <w:szCs w:val="32"/>
        </w:rPr>
        <w:t>Figure S6. PsAvh109 suppresses MED21/MED6-mediated transcription of defense genes.</w:t>
      </w:r>
    </w:p>
    <w:bookmarkEnd w:id="3"/>
    <w:p w14:paraId="6246D5F0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(a) Volcano plot showing differential gene expression in response to PsAvh109. Differentially expressed genes (DEGs) in soybean root hairs overexpressing GFP–PsAvh109 compared with the GFP control at 3 h post-inoculation with the </w:t>
      </w:r>
      <w:r>
        <w:rPr>
          <w:rFonts w:eastAsia="DengXian" w:cs="Arial"/>
          <w:i/>
          <w:iCs/>
        </w:rPr>
        <w:t>P. sojae</w:t>
      </w:r>
      <w:r>
        <w:rPr>
          <w:rFonts w:eastAsia="DengXian" w:cs="Arial"/>
        </w:rPr>
        <w:t xml:space="preserve"> Avh109 knockout strain (KO–PsAvh109). Differential expression was assessed using DESeq2 with a false discovery rate (FDR)-adjusted q &lt; 0.05 and |log₂ fold change| &gt; 1. Red dots indicate upregulated genes (n = 694); blue dots indicate downregulated genes (n = 157). </w:t>
      </w:r>
    </w:p>
    <w:p w14:paraId="528A3B64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>(b) Gene Ontology (GO) enrichment analysis of PsAvh109-regulated genes. Functional categories were ranked by fold enrichment, and statistical significance is expressed as –</w:t>
      </w:r>
      <w:r>
        <w:rPr>
          <w:rFonts w:eastAsia="DengXian" w:cs="Arial"/>
        </w:rPr>
        <w:lastRenderedPageBreak/>
        <w:t>log₁₀(P-value).</w:t>
      </w:r>
    </w:p>
    <w:p w14:paraId="1C15580D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(c) Transcriptional levels of </w:t>
      </w:r>
      <w:r>
        <w:rPr>
          <w:rFonts w:eastAsia="DengXian" w:cs="Arial"/>
          <w:i/>
          <w:iCs/>
        </w:rPr>
        <w:t>GmMED21, GmMED6</w:t>
      </w:r>
      <w:r>
        <w:rPr>
          <w:rFonts w:eastAsia="DengXian" w:cs="Arial"/>
        </w:rPr>
        <w:t xml:space="preserve"> (to assess silencing efficiency), </w:t>
      </w:r>
      <w:r>
        <w:rPr>
          <w:rFonts w:eastAsia="DengXian" w:cs="Arial"/>
          <w:i/>
          <w:iCs/>
        </w:rPr>
        <w:t>GmPR1 - 1, GmPR1 - 6,</w:t>
      </w:r>
      <w:r>
        <w:rPr>
          <w:rFonts w:eastAsia="DengXian" w:cs="Arial"/>
        </w:rPr>
        <w:t xml:space="preserve"> and </w:t>
      </w:r>
      <w:r>
        <w:rPr>
          <w:rFonts w:eastAsia="DengXian" w:cs="Arial"/>
          <w:i/>
          <w:iCs/>
        </w:rPr>
        <w:t>GmSABP2</w:t>
      </w:r>
      <w:r>
        <w:rPr>
          <w:rFonts w:eastAsia="DengXian" w:cs="Arial"/>
        </w:rPr>
        <w:t xml:space="preserve"> genes in soybean root hairs inoculated with KO - PsAvh109 at 3 hpi were determined by RT - qPCR. RNAi - GFP transgenic plants served as the control. Relative transcriptional levels were normalized to the soybean reference gene </w:t>
      </w:r>
      <w:r>
        <w:rPr>
          <w:rFonts w:eastAsia="DengXian" w:cs="Arial"/>
          <w:i/>
          <w:iCs/>
        </w:rPr>
        <w:t>GmCYP2</w:t>
      </w:r>
      <w:r>
        <w:rPr>
          <w:rFonts w:eastAsia="DengXian" w:cs="Arial"/>
        </w:rPr>
        <w:t>. Data are presented as the mean ± SD (n=3, Student’s t-test).</w:t>
      </w:r>
    </w:p>
    <w:p w14:paraId="79DFB3B3" w14:textId="77777777" w:rsidR="00777D32" w:rsidRDefault="00000000">
      <w:pPr>
        <w:ind w:firstLine="400"/>
        <w:rPr>
          <w:rFonts w:cs="Arial"/>
        </w:rPr>
      </w:pPr>
      <w:r>
        <w:rPr>
          <w:rFonts w:eastAsia="DengXian" w:cs="Arial"/>
        </w:rPr>
        <w:t xml:space="preserve">(d) Cis-acting elements within the 1 kb promoter region upstream of the translation start codon of selected immune-related genes were aligned using ClustalW software. The AS-1 motif is </w:t>
      </w:r>
      <w:r>
        <w:rPr>
          <w:rFonts w:cs="Arial"/>
        </w:rPr>
        <w:t>highlighted within a black box. The consensus sequence for AS-1 was further analyzed using TBtools-Ⅱ.</w:t>
      </w:r>
    </w:p>
    <w:p w14:paraId="15FDD716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(e) Occupancy of GmMED21 and GmMED6 in different promoter regions of selected immunity genes was evaluated by ChIP - qPCR in GmMED21 - FLAG and GmMED6 - FLAG transgenic hairy roots. IgG was used as a negative control. ChIP signals were normalized to the input. Data are presented as the mean ± SD </w:t>
      </w:r>
      <w:r>
        <w:rPr>
          <w:rFonts w:eastAsia="DengXian" w:cs="Arial"/>
        </w:rPr>
        <w:t>(n=3, Student’s t-test)</w:t>
      </w:r>
      <w:r>
        <w:rPr>
          <w:rFonts w:cs="Arial"/>
        </w:rPr>
        <w:t>. P1–P3 represent the promoter regions examined by ChIP - qPCR. The as - 1 elements in the promoters are shown as red triangles.</w:t>
      </w:r>
    </w:p>
    <w:p w14:paraId="4631209D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(f, g and h) Both RNAi - GmMED6 and RNAi - GmMED21 hairy roots enhanced soybean susceptibility to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infection.</w:t>
      </w:r>
    </w:p>
    <w:p w14:paraId="65BCF4A9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(f) Oospore production in hairy roots infected by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strain P6497 labeled with GFP (GFP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) was observed under a microscope and counted at 48 hpi. The experiments were conducted at least three times, and similar results were obtained each time. Scale bars represent 200 μm. </w:t>
      </w:r>
    </w:p>
    <w:p w14:paraId="1D02D821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(g) Quantification of the oospore count of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in the soybean hairy roots. Data are presented as mean ± SD (n=12, one-way ANOVA with Dunnett's multiple comparisons test). </w:t>
      </w:r>
    </w:p>
    <w:p w14:paraId="112A3093" w14:textId="77777777" w:rsidR="00777D32" w:rsidRDefault="00000000">
      <w:pPr>
        <w:ind w:firstLine="400"/>
        <w:rPr>
          <w:rFonts w:eastAsia="DengXian" w:cs="Arial"/>
        </w:rPr>
      </w:pPr>
      <w:r>
        <w:rPr>
          <w:rFonts w:cs="Arial"/>
        </w:rPr>
        <w:t xml:space="preserve">(h) Relative biomass of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in hairy roots, determined by qPCR at 48 hpi through the ratio of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genome DNA to soybean genome DNA. The data are shown as means ± SD (n=3, one-way ANOVA with Dunnett's multiple comparisons test)</w:t>
      </w:r>
      <w:r>
        <w:rPr>
          <w:rFonts w:eastAsia="DengXian" w:cs="Arial"/>
        </w:rPr>
        <w:t>.</w:t>
      </w:r>
    </w:p>
    <w:p w14:paraId="1A962EED" w14:textId="77777777" w:rsidR="00777D32" w:rsidRDefault="00777D32">
      <w:pPr>
        <w:ind w:firstLine="400"/>
        <w:rPr>
          <w:rFonts w:eastAsia="DengXian" w:cs="Arial"/>
        </w:rPr>
      </w:pPr>
    </w:p>
    <w:p w14:paraId="0E93046E" w14:textId="77777777" w:rsidR="00777D32" w:rsidRDefault="00000000">
      <w:pPr>
        <w:widowControl/>
        <w:jc w:val="left"/>
        <w:rPr>
          <w:rFonts w:eastAsia="DengXian" w:cs="Arial"/>
        </w:rPr>
      </w:pPr>
      <w:r>
        <w:rPr>
          <w:rFonts w:eastAsia="DengXian" w:cs="Arial"/>
        </w:rPr>
        <w:br w:type="page"/>
      </w:r>
    </w:p>
    <w:p w14:paraId="2BAA9F2E" w14:textId="77777777" w:rsidR="00777D32" w:rsidRDefault="00777D32">
      <w:pPr>
        <w:rPr>
          <w:rFonts w:cs="Arial"/>
        </w:rPr>
      </w:pPr>
    </w:p>
    <w:p w14:paraId="4BA983F3" w14:textId="77777777" w:rsidR="00777D32" w:rsidRDefault="00000000">
      <w:pPr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1799F640" wp14:editId="0888AE33">
            <wp:extent cx="5274310" cy="2844800"/>
            <wp:effectExtent l="0" t="0" r="4445" b="5080"/>
            <wp:docPr id="1036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15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4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7CBC2" w14:textId="77777777" w:rsidR="00777D32" w:rsidRDefault="00000000">
      <w:pPr>
        <w:keepNext/>
        <w:keepLines/>
        <w:spacing w:before="260" w:after="260"/>
        <w:ind w:firstLine="482"/>
        <w:outlineLvl w:val="2"/>
        <w:rPr>
          <w:rFonts w:eastAsia="SimHei" w:cs="Arial"/>
          <w:b/>
          <w:bCs/>
          <w:sz w:val="24"/>
          <w:szCs w:val="32"/>
        </w:rPr>
      </w:pPr>
      <w:bookmarkStart w:id="4" w:name="_Hlk199860205"/>
      <w:r>
        <w:rPr>
          <w:rFonts w:eastAsia="SimHei" w:cs="Arial"/>
          <w:b/>
          <w:bCs/>
          <w:sz w:val="24"/>
          <w:szCs w:val="32"/>
        </w:rPr>
        <w:t>Figure S7. MED21 and MED6 are core subunits of the Mediator complex that play critical roles in regulating transcription of SA-responsive genes.</w:t>
      </w:r>
    </w:p>
    <w:bookmarkEnd w:id="4"/>
    <w:p w14:paraId="14909A16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>(a) Co-expression of GmMED21</w:t>
      </w:r>
      <w:r>
        <w:rPr>
          <w:rFonts w:eastAsia="DengXian" w:cs="Arial"/>
          <w:vertAlign w:val="superscript"/>
        </w:rPr>
        <w:t>1-15</w:t>
      </w:r>
      <w:r>
        <w:rPr>
          <w:rFonts w:eastAsia="DengXian" w:cs="Arial"/>
        </w:rPr>
        <w:t xml:space="preserve"> or GmMED21 with cLUC-GmMED6 and GmMED21-nLUC reduced the level of reconstituted luciferase. Luminescence was observed on the </w:t>
      </w:r>
      <w:r>
        <w:rPr>
          <w:rFonts w:eastAsia="DengXian" w:cs="Arial"/>
          <w:i/>
        </w:rPr>
        <w:t>N. benthamiana</w:t>
      </w:r>
      <w:r>
        <w:rPr>
          <w:rFonts w:eastAsia="DengXian" w:cs="Arial"/>
        </w:rPr>
        <w:t xml:space="preserve"> leaves using a plant living imaging system. </w:t>
      </w:r>
    </w:p>
    <w:p w14:paraId="0A73F1D9" w14:textId="77777777" w:rsidR="00777D32" w:rsidRDefault="00000000">
      <w:pPr>
        <w:ind w:firstLine="400"/>
        <w:rPr>
          <w:rFonts w:eastAsia="DengXian" w:cs="Arial"/>
          <w:color w:val="FF0000"/>
        </w:rPr>
      </w:pPr>
      <w:r>
        <w:rPr>
          <w:rFonts w:eastAsia="DengXian" w:cs="Arial"/>
        </w:rPr>
        <w:t xml:space="preserve">(b) Quantification of luciferase activity (integrated optical density, IOD) in treated leaves. Data presented as mean ± SD (n=6). Different letters indicate significant differences (P &lt; 0.01; </w:t>
      </w:r>
      <w:r>
        <w:rPr>
          <w:rFonts w:cs="Arial"/>
        </w:rPr>
        <w:t>one-way ANOVA with Tukey's multiple comparisons test</w:t>
      </w:r>
      <w:r>
        <w:rPr>
          <w:rFonts w:eastAsia="DengXian" w:cs="Arial"/>
        </w:rPr>
        <w:t>).</w:t>
      </w:r>
    </w:p>
    <w:p w14:paraId="1D11B99F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>(c) Fixed amounts of GmMED21-His and GST-GmMED6 were incubated with increasing amounts of purified GmMED21</w:t>
      </w:r>
      <w:r>
        <w:rPr>
          <w:rFonts w:eastAsia="DengXian" w:cs="Arial"/>
          <w:vertAlign w:val="superscript"/>
        </w:rPr>
        <w:t>1-15</w:t>
      </w:r>
      <w:r>
        <w:rPr>
          <w:rFonts w:eastAsia="DengXian" w:cs="Arial"/>
        </w:rPr>
        <w:t xml:space="preserve">-mCherry-3HA or purified mCherry-3HA protein (control). Proteins in the samples were then pulled down using glutathione Sepharose 4B resin, followed by western blot assays with anti-GST, anti-HA, or anti-His specific antibodies. </w:t>
      </w:r>
    </w:p>
    <w:p w14:paraId="4C0ACD8C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>(d) Co-inoculation of soybean root hairs expressing mCherry, or mCherry-GmMED21</w:t>
      </w:r>
      <w:r>
        <w:rPr>
          <w:rFonts w:cs="Arial"/>
          <w:vertAlign w:val="superscript"/>
        </w:rPr>
        <w:t>1-15</w:t>
      </w:r>
      <w:r>
        <w:rPr>
          <w:rFonts w:cs="Arial"/>
        </w:rPr>
        <w:t xml:space="preserve"> with a GFP-expressing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transformant (GFP </w:t>
      </w:r>
      <w:r>
        <w:rPr>
          <w:rFonts w:cs="Arial"/>
          <w:i/>
          <w:iCs/>
        </w:rPr>
        <w:t>P. sojae</w:t>
      </w:r>
      <w:r>
        <w:rPr>
          <w:rFonts w:cs="Arial"/>
        </w:rPr>
        <w:t>). Fluorescence microscopy images were acquired at 48 hours post-inoculation (hpi). Scale bar: 200 μm.</w:t>
      </w:r>
    </w:p>
    <w:p w14:paraId="557C43F5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(e) Quantification of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oospore formation in soybean root hairs. Data are presented as mean ± standard deviation (SD) (n=12, </w:t>
      </w:r>
      <w:r>
        <w:rPr>
          <w:rFonts w:eastAsia="DengXian" w:cs="Arial"/>
        </w:rPr>
        <w:t>Student’s t-test</w:t>
      </w:r>
      <w:r>
        <w:rPr>
          <w:rFonts w:cs="Arial"/>
        </w:rPr>
        <w:t>).</w:t>
      </w:r>
    </w:p>
    <w:p w14:paraId="1B47EE84" w14:textId="77777777" w:rsidR="00777D32" w:rsidRDefault="00000000">
      <w:pPr>
        <w:ind w:firstLine="400"/>
        <w:rPr>
          <w:rFonts w:cs="Arial"/>
        </w:rPr>
      </w:pPr>
      <w:r>
        <w:rPr>
          <w:rFonts w:cs="Arial"/>
        </w:rPr>
        <w:t xml:space="preserve">(f) Relative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biomass in soybean root hairs, determined by quantitative PCR (qPCR) based on the ratio of </w:t>
      </w:r>
      <w:r>
        <w:rPr>
          <w:rFonts w:cs="Arial"/>
          <w:i/>
          <w:iCs/>
        </w:rPr>
        <w:t>P. sojae</w:t>
      </w:r>
      <w:r>
        <w:rPr>
          <w:rFonts w:cs="Arial"/>
        </w:rPr>
        <w:t xml:space="preserve"> to soybean genomic DNA. Data are presented as mean ± SD (n=3, </w:t>
      </w:r>
      <w:r>
        <w:rPr>
          <w:rFonts w:eastAsia="DengXian" w:cs="Arial"/>
        </w:rPr>
        <w:t>Student’s t-test</w:t>
      </w:r>
      <w:r>
        <w:rPr>
          <w:rFonts w:cs="Arial"/>
        </w:rPr>
        <w:t>).</w:t>
      </w:r>
    </w:p>
    <w:p w14:paraId="3195EFA2" w14:textId="77777777" w:rsidR="00777D32" w:rsidRDefault="00000000">
      <w:pPr>
        <w:ind w:firstLine="400"/>
        <w:rPr>
          <w:rFonts w:eastAsia="DengXian" w:cs="Arial"/>
        </w:rPr>
      </w:pPr>
      <w:r>
        <w:rPr>
          <w:rFonts w:eastAsia="DengXian" w:cs="Arial"/>
        </w:rPr>
        <w:t xml:space="preserve">(g) RT-qPCR was performed to assess the transcriptional levels of </w:t>
      </w:r>
      <w:r>
        <w:rPr>
          <w:rFonts w:eastAsia="DengXian" w:cs="Arial"/>
          <w:i/>
          <w:iCs/>
        </w:rPr>
        <w:t>GmPR1-1, GmPR1-6,</w:t>
      </w:r>
      <w:r>
        <w:rPr>
          <w:rFonts w:eastAsia="DengXian" w:cs="Arial"/>
        </w:rPr>
        <w:t xml:space="preserve"> and </w:t>
      </w:r>
      <w:r>
        <w:rPr>
          <w:rFonts w:eastAsia="DengXian" w:cs="Arial"/>
          <w:i/>
          <w:iCs/>
        </w:rPr>
        <w:t>GmSABP2</w:t>
      </w:r>
      <w:r>
        <w:rPr>
          <w:rFonts w:eastAsia="DengXian" w:cs="Arial"/>
        </w:rPr>
        <w:t xml:space="preserve"> in soybean root hairs overexpressing mCherry or GmMED21</w:t>
      </w:r>
      <w:r>
        <w:rPr>
          <w:rFonts w:eastAsia="DengXian" w:cs="Arial"/>
          <w:vertAlign w:val="superscript"/>
        </w:rPr>
        <w:t>1-15</w:t>
      </w:r>
      <w:r>
        <w:rPr>
          <w:rFonts w:eastAsia="DengXian" w:cs="Arial"/>
        </w:rPr>
        <w:t xml:space="preserve">, 3 hours post-infection with the KO-PsAvh109 strain. Expression was normalized to the reference gene </w:t>
      </w:r>
      <w:r>
        <w:rPr>
          <w:rFonts w:eastAsia="DengXian" w:cs="Arial"/>
          <w:i/>
          <w:iCs/>
        </w:rPr>
        <w:t>GmCYP2</w:t>
      </w:r>
      <w:r>
        <w:rPr>
          <w:rFonts w:eastAsia="DengXian" w:cs="Arial"/>
        </w:rPr>
        <w:t xml:space="preserve">. Data are presented as mean ± SD (n=3, Student’s t-test). </w:t>
      </w:r>
    </w:p>
    <w:p w14:paraId="6016DDBC" w14:textId="77777777" w:rsidR="00777D32" w:rsidRDefault="00000000">
      <w:pPr>
        <w:widowControl/>
        <w:jc w:val="left"/>
        <w:rPr>
          <w:rFonts w:cs="Arial"/>
        </w:rPr>
      </w:pPr>
      <w:r>
        <w:rPr>
          <w:rFonts w:cs="Arial"/>
        </w:rPr>
        <w:br w:type="page"/>
      </w:r>
    </w:p>
    <w:p w14:paraId="684564DD" w14:textId="77777777" w:rsidR="00777D32" w:rsidRDefault="00777D32">
      <w:pPr>
        <w:ind w:firstLine="400"/>
        <w:rPr>
          <w:rFonts w:cs="Arial"/>
        </w:rPr>
      </w:pPr>
    </w:p>
    <w:p w14:paraId="32A6096D" w14:textId="77777777" w:rsidR="00777D32" w:rsidRDefault="00000000">
      <w:pPr>
        <w:widowControl/>
        <w:jc w:val="left"/>
        <w:rPr>
          <w:rFonts w:cs="Arial"/>
        </w:rPr>
      </w:pPr>
      <w:r>
        <w:rPr>
          <w:noProof/>
        </w:rPr>
        <w:drawing>
          <wp:inline distT="0" distB="0" distL="0" distR="0" wp14:anchorId="7EBAB62E" wp14:editId="5BEC0E3A">
            <wp:extent cx="5274310" cy="2998470"/>
            <wp:effectExtent l="0" t="0" r="2540" b="0"/>
            <wp:docPr id="1038" name="图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16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468F9" w14:textId="77777777" w:rsidR="00777D32" w:rsidRDefault="00777D32">
      <w:pPr>
        <w:widowControl/>
        <w:jc w:val="left"/>
        <w:rPr>
          <w:rFonts w:cs="Arial"/>
        </w:rPr>
      </w:pPr>
    </w:p>
    <w:p w14:paraId="57FBF225" w14:textId="77777777" w:rsidR="00777D32" w:rsidRDefault="00000000">
      <w:pPr>
        <w:keepNext/>
        <w:keepLines/>
        <w:spacing w:before="260" w:after="260"/>
        <w:ind w:firstLine="482"/>
        <w:outlineLvl w:val="2"/>
        <w:rPr>
          <w:rFonts w:eastAsia="SimHei" w:cs="Times New Roman"/>
          <w:b/>
          <w:bCs/>
          <w:sz w:val="24"/>
          <w:szCs w:val="32"/>
        </w:rPr>
      </w:pPr>
      <w:r>
        <w:rPr>
          <w:rFonts w:eastAsia="SimHei" w:cs="Times New Roman"/>
          <w:b/>
          <w:bCs/>
          <w:sz w:val="24"/>
          <w:szCs w:val="32"/>
        </w:rPr>
        <w:t>Figure S8. The N-terminus and C-terminus of PsAvh109 are required for interactions with GmMED21</w:t>
      </w:r>
      <w:r>
        <w:rPr>
          <w:rFonts w:eastAsia="SimHei" w:cs="Times New Roman" w:hint="eastAsia"/>
          <w:b/>
          <w:bCs/>
          <w:sz w:val="24"/>
          <w:szCs w:val="32"/>
        </w:rPr>
        <w:t>.</w:t>
      </w:r>
    </w:p>
    <w:p w14:paraId="77855F89" w14:textId="77777777" w:rsidR="00777D32" w:rsidRDefault="00000000">
      <w:pPr>
        <w:ind w:firstLine="420"/>
        <w:rPr>
          <w:rFonts w:eastAsia="DengXian" w:cs="Times New Roman"/>
        </w:rPr>
      </w:pPr>
      <w:r>
        <w:rPr>
          <w:rFonts w:eastAsia="DengXian" w:cs="Times New Roman"/>
        </w:rPr>
        <w:t>(a) Schematic of structures of PsAvh109 mutant</w:t>
      </w:r>
      <w:r>
        <w:rPr>
          <w:rFonts w:eastAsia="DengXian" w:cs="Times New Roman" w:hint="eastAsia"/>
        </w:rPr>
        <w:t>s</w:t>
      </w:r>
      <w:r>
        <w:rPr>
          <w:rFonts w:eastAsia="DengXian" w:cs="Times New Roman"/>
        </w:rPr>
        <w:t>.</w:t>
      </w:r>
    </w:p>
    <w:p w14:paraId="52AF12C3" w14:textId="77777777" w:rsidR="00777D32" w:rsidRDefault="00000000">
      <w:pPr>
        <w:ind w:firstLine="420"/>
        <w:rPr>
          <w:rFonts w:eastAsia="DengXian" w:cs="Times New Roman"/>
        </w:rPr>
      </w:pPr>
      <w:r>
        <w:rPr>
          <w:rFonts w:eastAsia="DengXian" w:cs="Times New Roman"/>
        </w:rPr>
        <w:t>(b) Interaction assays of GmMED21 with PsAvh109 or mutant</w:t>
      </w:r>
      <w:r>
        <w:rPr>
          <w:rFonts w:eastAsia="DengXian" w:cs="Times New Roman" w:hint="eastAsia"/>
        </w:rPr>
        <w:t>s</w:t>
      </w:r>
      <w:r>
        <w:rPr>
          <w:rFonts w:eastAsia="DengXian" w:cs="Times New Roman"/>
        </w:rPr>
        <w:t xml:space="preserve"> in yeast. SD</w:t>
      </w:r>
      <w:r>
        <w:rPr>
          <w:rFonts w:eastAsia="DengXian" w:cs="Times New Roman" w:hint="eastAsia"/>
        </w:rPr>
        <w:t>-</w:t>
      </w:r>
      <w:r>
        <w:rPr>
          <w:rFonts w:eastAsia="DengXian" w:cs="Times New Roman"/>
        </w:rPr>
        <w:t>TL: Synthetic defined (SD) medium without tryptophan and leucine; SD-TLHA: SD medium without tryptophan, leucine, histidine, and adenine.</w:t>
      </w:r>
    </w:p>
    <w:p w14:paraId="216FB6C2" w14:textId="77777777" w:rsidR="00777D32" w:rsidRDefault="00000000">
      <w:pPr>
        <w:ind w:firstLine="420"/>
        <w:rPr>
          <w:rFonts w:eastAsia="DengXian" w:cs="Times New Roman"/>
        </w:rPr>
      </w:pPr>
      <w:r>
        <w:rPr>
          <w:rFonts w:eastAsia="DengXian" w:cs="Times New Roman"/>
        </w:rPr>
        <w:t xml:space="preserve">(c) Luciferase complementation imaging assay of GmMED21 interactions with PsAvh109 or mutants in </w:t>
      </w:r>
      <w:r>
        <w:rPr>
          <w:rFonts w:eastAsia="DengXian" w:cs="Times New Roman"/>
          <w:i/>
        </w:rPr>
        <w:t>N. benthamiana</w:t>
      </w:r>
      <w:r>
        <w:rPr>
          <w:rFonts w:eastAsia="DengXian" w:cs="Times New Roman"/>
        </w:rPr>
        <w:t xml:space="preserve"> leaves. </w:t>
      </w:r>
      <w:r>
        <w:rPr>
          <w:rFonts w:eastAsia="DengXian" w:cs="Times New Roman"/>
          <w:i/>
        </w:rPr>
        <w:t>Agrobacterium</w:t>
      </w:r>
      <w:r>
        <w:rPr>
          <w:rFonts w:eastAsia="DengXian" w:cs="Times New Roman"/>
        </w:rPr>
        <w:t xml:space="preserve"> strains carrying constructs encoding the proteins were co-infiltrated into </w:t>
      </w:r>
      <w:r>
        <w:rPr>
          <w:rFonts w:eastAsia="DengXian" w:cs="Times New Roman"/>
          <w:i/>
        </w:rPr>
        <w:t>N. benthamiana</w:t>
      </w:r>
      <w:r>
        <w:rPr>
          <w:rFonts w:eastAsia="DengXian" w:cs="Times New Roman"/>
        </w:rPr>
        <w:t xml:space="preserve"> leaves, followed by D-luciferin application at 2 days post-infiltration.</w:t>
      </w:r>
    </w:p>
    <w:p w14:paraId="55C2E3E0" w14:textId="77777777" w:rsidR="00777D32" w:rsidRDefault="00000000">
      <w:pPr>
        <w:ind w:firstLine="420"/>
        <w:rPr>
          <w:rFonts w:eastAsia="DengXian" w:cs="Times New Roman"/>
        </w:rPr>
      </w:pPr>
      <w:r>
        <w:rPr>
          <w:rFonts w:eastAsia="DengXian" w:cs="Times New Roman"/>
        </w:rPr>
        <w:t xml:space="preserve">(d) </w:t>
      </w:r>
      <w:r>
        <w:rPr>
          <w:rFonts w:eastAsia="DengXian" w:cs="Times New Roman" w:hint="eastAsia"/>
          <w:i/>
          <w:iCs/>
        </w:rPr>
        <w:t>N. benthamiana</w:t>
      </w:r>
      <w:r>
        <w:rPr>
          <w:rFonts w:eastAsia="DengXian" w:cs="Times New Roman" w:hint="eastAsia"/>
        </w:rPr>
        <w:t xml:space="preserve"> leaves transiently expressing GFP, GFP</w:t>
      </w:r>
      <w:r>
        <w:rPr>
          <w:rFonts w:eastAsia="DengXian" w:cs="Times New Roman" w:hint="eastAsia"/>
        </w:rPr>
        <w:t>–</w:t>
      </w:r>
      <w:r>
        <w:rPr>
          <w:rFonts w:eastAsia="DengXian" w:cs="Times New Roman" w:hint="eastAsia"/>
        </w:rPr>
        <w:t xml:space="preserve">PsAvh109, or PsAvh109 mutants were infiltrated with </w:t>
      </w:r>
      <w:r>
        <w:rPr>
          <w:rFonts w:eastAsia="DengXian" w:cs="Times New Roman" w:hint="eastAsia"/>
          <w:i/>
          <w:iCs/>
        </w:rPr>
        <w:t>Agrobacterium</w:t>
      </w:r>
      <w:r>
        <w:rPr>
          <w:rFonts w:eastAsia="DengXian" w:cs="Times New Roman" w:hint="eastAsia"/>
        </w:rPr>
        <w:t xml:space="preserve"> carrying the INF1 construct. HR phenotypes were evaluated at 48 hours post-infiltration.</w:t>
      </w:r>
    </w:p>
    <w:p w14:paraId="30ACF971" w14:textId="77777777" w:rsidR="00777D32" w:rsidRDefault="00000000">
      <w:pPr>
        <w:ind w:firstLine="420"/>
        <w:rPr>
          <w:rFonts w:eastAsia="DengXian" w:cs="Times New Roman"/>
        </w:rPr>
      </w:pPr>
      <w:r>
        <w:rPr>
          <w:rFonts w:eastAsia="DengXian" w:cs="Times New Roman" w:hint="eastAsia"/>
        </w:rPr>
        <w:t>(e) Structural model of the PsAvh109</w:t>
      </w:r>
      <w:r>
        <w:rPr>
          <w:rFonts w:eastAsia="DengXian" w:cs="Times New Roman" w:hint="eastAsia"/>
        </w:rPr>
        <w:t>–</w:t>
      </w:r>
      <w:r>
        <w:rPr>
          <w:rFonts w:eastAsia="DengXian" w:cs="Times New Roman" w:hint="eastAsia"/>
        </w:rPr>
        <w:t>GmMED21 interaction predicted by AlphaFold3. Upper panel: Structural representation of the PsAvh109-GmMED21 complex as predicted by AlphaFold3. Lower panel: Detailed view of the interaction interface. The ribbon diagram highlights the overall protein structures, while stick models in distinct colors denote key interacting amino acid residues between PsAvh109 and GmMED21.</w:t>
      </w:r>
    </w:p>
    <w:p w14:paraId="76EA418F" w14:textId="77777777" w:rsidR="00777D32" w:rsidRDefault="00000000">
      <w:pPr>
        <w:widowControl/>
        <w:jc w:val="left"/>
        <w:rPr>
          <w:rFonts w:eastAsia="DengXian" w:cs="Times New Roman"/>
        </w:rPr>
      </w:pPr>
      <w:r>
        <w:rPr>
          <w:rFonts w:eastAsia="DengXian" w:cs="Times New Roman"/>
        </w:rPr>
        <w:br w:type="page"/>
      </w:r>
    </w:p>
    <w:p w14:paraId="59CC94BD" w14:textId="77777777" w:rsidR="00777D32" w:rsidRDefault="00777D32">
      <w:pPr>
        <w:widowControl/>
        <w:jc w:val="left"/>
        <w:rPr>
          <w:rFonts w:cs="Arial"/>
        </w:rPr>
      </w:pPr>
    </w:p>
    <w:p w14:paraId="2A52339C" w14:textId="77777777" w:rsidR="00777D32" w:rsidRDefault="00777D32">
      <w:pPr>
        <w:widowControl/>
        <w:jc w:val="left"/>
        <w:rPr>
          <w:rFonts w:eastAsia="DengXian" w:cs="Arial"/>
        </w:rPr>
      </w:pPr>
    </w:p>
    <w:sectPr w:rsidR="00777D3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83F4D" w14:textId="77777777" w:rsidR="007D544B" w:rsidRDefault="007D544B">
      <w:r>
        <w:separator/>
      </w:r>
    </w:p>
  </w:endnote>
  <w:endnote w:type="continuationSeparator" w:id="0">
    <w:p w14:paraId="329C3561" w14:textId="77777777" w:rsidR="007D544B" w:rsidRDefault="007D5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FF2E2" w14:textId="77777777" w:rsidR="00777D32" w:rsidRDefault="00777D32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AAA69" w14:textId="77777777" w:rsidR="00777D32" w:rsidRDefault="00777D32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AAFC7" w14:textId="77777777" w:rsidR="007D544B" w:rsidRDefault="007D544B">
      <w:r>
        <w:separator/>
      </w:r>
    </w:p>
  </w:footnote>
  <w:footnote w:type="continuationSeparator" w:id="0">
    <w:p w14:paraId="7267E2B1" w14:textId="77777777" w:rsidR="007D544B" w:rsidRDefault="007D5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F160D" w14:textId="77777777" w:rsidR="00777D32" w:rsidRDefault="00777D32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97200" w14:textId="77777777" w:rsidR="00777D32" w:rsidRDefault="00777D32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D1026" w14:textId="77777777" w:rsidR="00777D32" w:rsidRDefault="00777D32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32"/>
    <w:rsid w:val="00607E31"/>
    <w:rsid w:val="00621BE5"/>
    <w:rsid w:val="00777D32"/>
    <w:rsid w:val="007D544B"/>
    <w:rsid w:val="009A53EA"/>
    <w:rsid w:val="00A91F65"/>
    <w:rsid w:val="7931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4A19"/>
  <w15:docId w15:val="{F80003DA-ABA7-4591-8271-B765E5362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line number" w:uiPriority="99" w:qFormat="1"/>
    <w:lsdException w:name="Title" w:qFormat="1"/>
    <w:lsdException w:name="Default Paragraph Font" w:uiPriority="1" w:qFormat="1"/>
    <w:lsdException w:name="Subtitle" w:qFormat="1"/>
    <w:lsdException w:name="Hyperlink" w:uiPriority="99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Arial" w:hAnsi="Arial" w:cs="SimSun"/>
      <w:kern w:val="2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60" w:after="260" w:line="415" w:lineRule="auto"/>
      <w:outlineLvl w:val="1"/>
    </w:pPr>
    <w:rPr>
      <w:rFonts w:eastAsia="Arial"/>
      <w:b/>
      <w:bCs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260" w:after="260" w:line="415" w:lineRule="auto"/>
      <w:outlineLvl w:val="2"/>
    </w:pPr>
    <w:rPr>
      <w:rFonts w:eastAsia="Arial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qFormat/>
    <w:pPr>
      <w:jc w:val="left"/>
    </w:pPr>
    <w:rPr>
      <w:rFonts w:eastAsia="DengXian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SimSun" w:hAnsi="SimSun"/>
      <w:kern w:val="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qFormat/>
    <w:rPr>
      <w:rFonts w:eastAsia="SimSun"/>
      <w:b/>
      <w:bCs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qFormat/>
  </w:style>
  <w:style w:type="character" w:styleId="Hyperlink">
    <w:name w:val="Hyperlink"/>
    <w:basedOn w:val="DefaultParagraphFont"/>
    <w:uiPriority w:val="99"/>
    <w:qFormat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SimSun" w:hAnsi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SimSun" w:hAnsi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qFormat/>
    <w:rPr>
      <w:rFonts w:eastAsia="Arial" w:cs="SimSun"/>
      <w:b/>
      <w:bCs/>
      <w:kern w:val="2"/>
      <w:szCs w:val="32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Times New Roman" w:hAnsi="Times New Roman"/>
      <w:szCs w:val="24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cs="Times New Roman"/>
      <w:sz w:val="24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kern w:val="2"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qFormat/>
    <w:pPr>
      <w:jc w:val="left"/>
    </w:pPr>
    <w:rPr>
      <w:rFonts w:cs="Times New Roman"/>
      <w:sz w:val="24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kern w:val="2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Arial" w:eastAsia="Arial" w:hAnsi="Arial" w:cs="SimSun"/>
      <w:b/>
      <w:bCs/>
      <w:kern w:val="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="SimSun" w:hAnsi="Times New Roman"/>
      <w:b/>
      <w:bCs/>
      <w:kern w:val="44"/>
      <w:sz w:val="44"/>
      <w:szCs w:val="44"/>
    </w:rPr>
  </w:style>
  <w:style w:type="character" w:customStyle="1" w:styleId="1">
    <w:name w:val="书籍标题1"/>
    <w:basedOn w:val="Heading1Char"/>
    <w:uiPriority w:val="33"/>
    <w:qFormat/>
    <w:rPr>
      <w:rFonts w:ascii="Arial" w:eastAsia="Arial" w:hAnsi="Arial" w:cs="Times New Roman"/>
      <w:b w:val="0"/>
      <w:bCs w:val="0"/>
      <w:iCs/>
      <w:color w:val="101010"/>
      <w:spacing w:val="5"/>
      <w:kern w:val="44"/>
      <w:sz w:val="21"/>
      <w:szCs w:val="44"/>
    </w:rPr>
  </w:style>
  <w:style w:type="character" w:customStyle="1" w:styleId="10">
    <w:name w:val="未处理的提及1"/>
    <w:basedOn w:val="DefaultParagraphFont"/>
    <w:uiPriority w:val="99"/>
    <w:qFormat/>
    <w:rPr>
      <w:color w:val="605E5C"/>
      <w:shd w:val="clear" w:color="auto" w:fill="E1DFDD"/>
    </w:rPr>
  </w:style>
  <w:style w:type="character" w:customStyle="1" w:styleId="11">
    <w:name w:val="不明显参考1"/>
    <w:basedOn w:val="DefaultParagraphFont"/>
    <w:uiPriority w:val="31"/>
    <w:qFormat/>
    <w:rPr>
      <w:smallCaps/>
      <w:color w:val="595959"/>
    </w:rPr>
  </w:style>
  <w:style w:type="character" w:customStyle="1" w:styleId="2">
    <w:name w:val="未处理的提及2"/>
    <w:basedOn w:val="DefaultParagraphFont"/>
    <w:uiPriority w:val="99"/>
    <w:qFormat/>
    <w:rPr>
      <w:color w:val="605E5C"/>
      <w:shd w:val="clear" w:color="auto" w:fill="E1DFDD"/>
    </w:rPr>
  </w:style>
  <w:style w:type="character" w:customStyle="1" w:styleId="CommentSubjectChar">
    <w:name w:val="Comment Subject Char"/>
    <w:basedOn w:val="CommentTextChar"/>
    <w:link w:val="CommentSubject"/>
    <w:uiPriority w:val="99"/>
    <w:qFormat/>
    <w:rPr>
      <w:rFonts w:ascii="Arial" w:hAnsi="Arial" w:cs="SimSun"/>
      <w:b/>
      <w:bCs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tif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tiff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tiff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" TargetMode="External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71325-C6BE-4A6D-AB60-BC100A741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1609</Words>
  <Characters>9801</Characters>
  <Application>Microsoft Office Word</Application>
  <DocSecurity>0</DocSecurity>
  <Lines>158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xinwei tan</dc:creator>
  <cp:lastModifiedBy>Trupti Sudge</cp:lastModifiedBy>
  <cp:revision>2</cp:revision>
  <cp:lastPrinted>2025-10-14T06:41:00Z</cp:lastPrinted>
  <dcterms:created xsi:type="dcterms:W3CDTF">2025-10-14T06:53:00Z</dcterms:created>
  <dcterms:modified xsi:type="dcterms:W3CDTF">2025-10-14T06:53:00Z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D4FB9453E09946E9956F873DAA9715AD_13</vt:lpwstr>
  </property>
  <property fmtid="{D5CDD505-2E9C-101B-9397-08002B2CF9AE}" pid="4" name="KSOTemplateDocerSaveRecord">
    <vt:lpwstr>eyJoZGlkIjoiOTc3M2Y5NzIzMDFlZjAyY2Q4Njk5ODkyYjFjNzBiNTQiLCJ1c2VySWQiOiIyMzA4NTQyNDkifQ==</vt:lpwstr>
  </property>
</Properties>
</file>