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44FCF">
      <w:pPr>
        <w:spacing w:line="480" w:lineRule="auto"/>
        <w:rPr>
          <w:rFonts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>Figure</w:t>
      </w:r>
    </w:p>
    <w:p w14:paraId="2F2FF2D4">
      <w:pPr>
        <w:spacing w:line="480" w:lineRule="auto"/>
        <w:rPr>
          <w:rFonts w:hint="eastAsia"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</w:pPr>
    </w:p>
    <w:p w14:paraId="30B0F252">
      <w:pPr>
        <w:spacing w:line="480" w:lineRule="auto"/>
        <w:rPr>
          <w:rFonts w:hint="eastAsia" w:eastAsiaTheme="minorEastAsia"/>
          <w:b/>
          <w:bCs/>
          <w:color w:val="000000" w:themeColor="text1"/>
          <w:kern w:val="24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bCs/>
          <w:color w:val="000000" w:themeColor="text1"/>
          <w:kern w:val="24"/>
          <w:sz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7960" cy="3206115"/>
            <wp:effectExtent l="0" t="0" r="2540" b="698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3BD60">
      <w:pP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ure S1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CALB2 facilitates the proliferation and migration of ccRCC through the inhibition of cellular senescence pathways.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A, B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Quantitative analysis of Fig. 8A.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Quantitative analysis of Fig. 8C.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D, E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Quantitative analysis of Fig.8B.</w:t>
      </w:r>
    </w:p>
    <w:p w14:paraId="1AD6F1FE">
      <w:pPr>
        <w:spacing w:line="480" w:lineRule="auto"/>
        <w:rPr>
          <w:rFonts w:hint="eastAsia" w:eastAsiaTheme="minorEastAsia"/>
          <w:b/>
          <w:bCs/>
          <w:color w:val="000000" w:themeColor="text1"/>
          <w:kern w:val="24"/>
          <w:sz w:val="24"/>
          <w:lang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7C41DF07">
      <w:pPr>
        <w:spacing w:line="480" w:lineRule="auto"/>
        <w:rPr>
          <w:b/>
          <w:bCs/>
          <w:sz w:val="24"/>
          <w:highlight w:val="none"/>
        </w:rPr>
      </w:pPr>
      <w:r>
        <w:rPr>
          <w:b/>
          <w:bCs/>
          <w:sz w:val="24"/>
          <w:highlight w:val="none"/>
        </w:rPr>
        <w:t>Supplementary Table</w:t>
      </w:r>
    </w:p>
    <w:p w14:paraId="1A103833">
      <w:pPr>
        <w:spacing w:line="480" w:lineRule="auto"/>
        <w:rPr>
          <w:b/>
          <w:bCs/>
          <w:sz w:val="24"/>
          <w:highlight w:val="none"/>
        </w:rPr>
      </w:pPr>
    </w:p>
    <w:p w14:paraId="1E69295C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  <w:highlight w:val="none"/>
        </w:rPr>
        <w:t xml:space="preserve">Supplementary Table </w:t>
      </w:r>
      <w:r>
        <w:rPr>
          <w:rFonts w:hint="eastAsia"/>
          <w:b/>
          <w:bCs/>
          <w:sz w:val="24"/>
          <w:highlight w:val="none"/>
          <w:lang w:val="en-US" w:eastAsia="zh-CN"/>
        </w:rPr>
        <w:t>1</w:t>
      </w:r>
      <w:r>
        <w:rPr>
          <w:b/>
          <w:bCs/>
          <w:sz w:val="24"/>
        </w:rPr>
        <w:t>： Primary and secondary antibodies used in this study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3"/>
        <w:gridCol w:w="1813"/>
        <w:gridCol w:w="2840"/>
        <w:gridCol w:w="938"/>
      </w:tblGrid>
      <w:tr w14:paraId="7C071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82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0ED7C78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Antibody</w:t>
            </w:r>
          </w:p>
        </w:tc>
        <w:tc>
          <w:tcPr>
            <w:tcW w:w="181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58648FE4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Source</w:t>
            </w:r>
          </w:p>
        </w:tc>
        <w:tc>
          <w:tcPr>
            <w:tcW w:w="284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3F54FB8F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Identifier</w:t>
            </w:r>
          </w:p>
        </w:tc>
        <w:tc>
          <w:tcPr>
            <w:tcW w:w="93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3D422563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Host</w:t>
            </w:r>
          </w:p>
        </w:tc>
      </w:tr>
      <w:tr w14:paraId="748D2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82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17DCEDB0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C8orf76</w:t>
            </w:r>
          </w:p>
        </w:tc>
        <w:tc>
          <w:tcPr>
            <w:tcW w:w="181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1FA525AA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Abnova</w:t>
            </w:r>
          </w:p>
        </w:tc>
        <w:tc>
          <w:tcPr>
            <w:tcW w:w="284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095BCB2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H00084933-B01P</w:t>
            </w:r>
          </w:p>
        </w:tc>
        <w:tc>
          <w:tcPr>
            <w:tcW w:w="938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15138FD6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Mouse</w:t>
            </w:r>
          </w:p>
        </w:tc>
      </w:tr>
      <w:tr w14:paraId="10706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4E8EFC65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CALB2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18A808CC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/>
                <w:sz w:val="24"/>
                <w:szCs w:val="24"/>
              </w:rPr>
              <w:t>roteintech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62DC53F3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12278-1-AP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1DC6EE0C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Mouse</w:t>
            </w:r>
          </w:p>
        </w:tc>
      </w:tr>
      <w:tr w14:paraId="6265F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27FEC56F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p16INK4a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3C331C08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PTM BioLab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33B9B3F3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PTM-7154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69CAE8C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746AE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477DADB2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CDK4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23EBB4EB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/>
                <w:sz w:val="24"/>
                <w:szCs w:val="24"/>
              </w:rPr>
              <w:t>roteintech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41BCB0AC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11026-1-AP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5D5362A7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3BBF0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36935A90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CDK6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063C760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/>
                <w:sz w:val="24"/>
                <w:szCs w:val="24"/>
              </w:rPr>
              <w:t>roteintech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2BDD5A11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14052-1-AP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DAFF74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0A2E7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06B79A78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Lamin B1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506F3200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/>
                <w:sz w:val="24"/>
                <w:szCs w:val="24"/>
              </w:rPr>
              <w:t>roteintech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0E12E1C1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12987-1-AP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1D32597D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5D3A5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27DA6067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FOXM1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024D5027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/>
                <w:sz w:val="24"/>
                <w:szCs w:val="24"/>
              </w:rPr>
              <w:t>roteintech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028BAA8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13147-1-AP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31B75CA9">
            <w:pPr>
              <w:spacing w:line="480" w:lineRule="auto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Rabbit</w:t>
            </w:r>
          </w:p>
        </w:tc>
      </w:tr>
      <w:tr w14:paraId="3D333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386C095B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β-actin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5BF61CAD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4284F2DB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66009-1-Ig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27DE1759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Mouse </w:t>
            </w:r>
          </w:p>
        </w:tc>
      </w:tr>
      <w:tr w14:paraId="1279A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53522E83">
            <w:pPr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>HRP conjugated Goat Anti-Mouse IgG (H+L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 w14:paraId="637D0F6F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Servicebio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659F6B60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GB23301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B3A4851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Goat</w:t>
            </w:r>
          </w:p>
        </w:tc>
      </w:tr>
      <w:tr w14:paraId="0298F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82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7682858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HRP conjugated Goat Anti-Rabbit IgG (H+L)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29EDF080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Servicebio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E60CF2C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Catalog No: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GB23303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E63AD65">
            <w:pPr>
              <w:spacing w:line="48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Goat</w:t>
            </w:r>
          </w:p>
        </w:tc>
      </w:tr>
    </w:tbl>
    <w:p w14:paraId="2A8CF460">
      <w:pPr>
        <w:spacing w:line="480" w:lineRule="auto"/>
        <w:rPr>
          <w:rFonts w:hint="eastAsia" w:eastAsiaTheme="minorEastAsia"/>
          <w:b/>
          <w:bCs/>
          <w:color w:val="000000" w:themeColor="text1"/>
          <w:kern w:val="24"/>
          <w:sz w:val="24"/>
          <w:lang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1DB0C7AF">
      <w:pPr>
        <w:spacing w:line="480" w:lineRule="auto"/>
        <w:rPr>
          <w:rFonts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eastAsia" w:eastAsiaTheme="minorEastAsia"/>
          <w:b/>
          <w:bCs/>
          <w:color w:val="000000" w:themeColor="text1"/>
          <w:kern w:val="24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 xml:space="preserve"> qRT-PCR p</w:t>
      </w:r>
      <w:r>
        <w:rPr>
          <w:rFonts w:eastAsiaTheme="minorEastAsia"/>
          <w:b/>
          <w:bCs/>
          <w:color w:val="000000"/>
          <w:kern w:val="24"/>
          <w:sz w:val="24"/>
        </w:rPr>
        <w:t>rimer sequences in this study</w:t>
      </w:r>
    </w:p>
    <w:tbl>
      <w:tblPr>
        <w:tblStyle w:val="2"/>
        <w:tblW w:w="88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804"/>
      </w:tblGrid>
      <w:tr w14:paraId="1DBC4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 w14:paraId="22F8FB76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Gene names</w:t>
            </w:r>
          </w:p>
        </w:tc>
        <w:tc>
          <w:tcPr>
            <w:tcW w:w="680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 w14:paraId="79B2E006">
            <w:pPr>
              <w:tabs>
                <w:tab w:val="left" w:pos="394"/>
                <w:tab w:val="center" w:pos="2853"/>
              </w:tabs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Primer sequence</w:t>
            </w:r>
          </w:p>
        </w:tc>
      </w:tr>
      <w:tr w14:paraId="5D2D87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3" w:type="dxa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</w:tcPr>
          <w:p w14:paraId="3C9E0D43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8"/>
                <w:szCs w:val="28"/>
              </w:rPr>
              <w:t>β-</w:t>
            </w:r>
            <w:r>
              <w:rPr>
                <w:color w:val="000000"/>
                <w:sz w:val="24"/>
                <w:szCs w:val="24"/>
              </w:rPr>
              <w:t>A</w:t>
            </w:r>
            <w:r>
              <w:rPr>
                <w:rFonts w:hint="eastAsia"/>
                <w:color w:val="000000"/>
                <w:sz w:val="24"/>
                <w:szCs w:val="24"/>
              </w:rPr>
              <w:t>ctin</w:t>
            </w:r>
            <w:r>
              <w:rPr>
                <w:color w:val="000000"/>
                <w:sz w:val="24"/>
                <w:szCs w:val="24"/>
              </w:rPr>
              <w:t>-F</w:t>
            </w:r>
          </w:p>
        </w:tc>
        <w:tc>
          <w:tcPr>
            <w:tcW w:w="6804" w:type="dxa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</w:tcPr>
          <w:p w14:paraId="1323B3E6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ATCATGAAGTGTGACGTGGAC-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5E6E7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423B37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8"/>
                <w:szCs w:val="28"/>
              </w:rPr>
              <w:t>β-</w:t>
            </w:r>
            <w:r>
              <w:rPr>
                <w:color w:val="000000"/>
                <w:sz w:val="24"/>
                <w:szCs w:val="24"/>
              </w:rPr>
              <w:t>A</w:t>
            </w:r>
            <w:r>
              <w:rPr>
                <w:rFonts w:hint="eastAsia"/>
                <w:color w:val="000000"/>
                <w:sz w:val="24"/>
                <w:szCs w:val="24"/>
              </w:rPr>
              <w:t>ctin</w:t>
            </w:r>
            <w:r>
              <w:rPr>
                <w:color w:val="000000"/>
                <w:sz w:val="24"/>
                <w:szCs w:val="24"/>
              </w:rPr>
              <w:t>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D2320D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GACTCGTCATACTCCTGCTTG-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72E93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F51B2D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C8orf76</w:t>
            </w:r>
            <w:r>
              <w:rPr>
                <w:color w:val="000000"/>
                <w:sz w:val="24"/>
                <w:szCs w:val="24"/>
              </w:rPr>
              <w:t>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39EC17">
            <w:pPr>
              <w:spacing w:line="480" w:lineRule="auto"/>
              <w:jc w:val="center"/>
              <w:rPr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5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TTATACGAACCAGGCTTCTGC</w:t>
            </w:r>
            <w:r>
              <w:rPr>
                <w:color w:val="00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color w:val="000000"/>
                <w:sz w:val="24"/>
                <w:szCs w:val="24"/>
                <w:highlight w:val="none"/>
              </w:rPr>
              <w:t>3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</w:p>
        </w:tc>
      </w:tr>
      <w:tr w14:paraId="54C1B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6EFB43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C8orf76</w:t>
            </w:r>
            <w:r>
              <w:rPr>
                <w:color w:val="000000"/>
                <w:sz w:val="24"/>
                <w:szCs w:val="24"/>
              </w:rPr>
              <w:t>-R</w:t>
            </w:r>
          </w:p>
        </w:tc>
        <w:tc>
          <w:tcPr>
            <w:tcW w:w="6804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14:paraId="4124EB86">
            <w:pPr>
              <w:spacing w:line="480" w:lineRule="auto"/>
              <w:jc w:val="center"/>
              <w:rPr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5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GCCAACACACTTCACCTCTG</w:t>
            </w:r>
            <w:r>
              <w:rPr>
                <w:color w:val="00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color w:val="000000"/>
                <w:sz w:val="24"/>
                <w:szCs w:val="24"/>
                <w:highlight w:val="none"/>
              </w:rPr>
              <w:t>3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</w:p>
        </w:tc>
      </w:tr>
      <w:tr w14:paraId="7123B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AA08845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CALB2</w:t>
            </w:r>
            <w:r>
              <w:rPr>
                <w:color w:val="000000"/>
                <w:sz w:val="24"/>
                <w:szCs w:val="24"/>
              </w:rPr>
              <w:t>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B1008A">
            <w:pPr>
              <w:spacing w:line="480" w:lineRule="auto"/>
              <w:jc w:val="center"/>
              <w:rPr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5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ACTTTGACGCAGACGGAAATG</w:t>
            </w:r>
            <w:r>
              <w:rPr>
                <w:color w:val="00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color w:val="000000"/>
                <w:sz w:val="24"/>
                <w:szCs w:val="24"/>
                <w:highlight w:val="none"/>
              </w:rPr>
              <w:t>3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</w:p>
        </w:tc>
      </w:tr>
      <w:tr w14:paraId="7FC90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3" w:type="dxa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 w14:paraId="60083956">
            <w:pPr>
              <w:spacing w:line="48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CALB2</w:t>
            </w:r>
            <w:r>
              <w:rPr>
                <w:color w:val="000000"/>
                <w:sz w:val="24"/>
                <w:szCs w:val="24"/>
              </w:rPr>
              <w:t>-R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 w14:paraId="2B5250EE">
            <w:pPr>
              <w:spacing w:line="480" w:lineRule="auto"/>
              <w:jc w:val="center"/>
              <w:rPr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5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 GAAGTTCTCTTCGGTTGGCAG</w:t>
            </w:r>
            <w:r>
              <w:rPr>
                <w:color w:val="00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color w:val="000000"/>
                <w:sz w:val="24"/>
                <w:szCs w:val="24"/>
                <w:highlight w:val="none"/>
              </w:rPr>
              <w:t>3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</w:p>
        </w:tc>
      </w:tr>
    </w:tbl>
    <w:p w14:paraId="15B3D71A"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0CA1A08A">
      <w:pPr>
        <w:spacing w:line="480" w:lineRule="auto"/>
        <w:rPr>
          <w:b/>
          <w:bCs/>
          <w:sz w:val="28"/>
        </w:rPr>
      </w:pPr>
      <w:r>
        <w:rPr>
          <w:rFonts w:hint="eastAsia" w:eastAsiaTheme="minorEastAsia"/>
          <w:b/>
          <w:bCs/>
          <w:color w:val="000000" w:themeColor="text1"/>
          <w:kern w:val="24"/>
          <w:sz w:val="24"/>
          <w:highlight w:val="none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eastAsia" w:eastAsiaTheme="minorEastAsia"/>
          <w:b/>
          <w:bCs/>
          <w:color w:val="000000" w:themeColor="text1"/>
          <w:kern w:val="24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Theme="minorEastAsia"/>
          <w:b/>
          <w:bCs/>
          <w:color w:val="000000" w:themeColor="text1"/>
          <w:kern w:val="24"/>
          <w:sz w:val="24"/>
          <w:highlight w:val="none"/>
          <w14:textFill>
            <w14:solidFill>
              <w14:schemeClr w14:val="tx1"/>
            </w14:solidFill>
          </w14:textFill>
        </w:rPr>
        <w:t>:</w:t>
      </w:r>
      <w:r>
        <w:rPr>
          <w:rFonts w:eastAsiaTheme="minorEastAsia"/>
          <w:b/>
          <w:bCs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 xml:space="preserve"> siRNA/shRNA </w:t>
      </w:r>
      <w:r>
        <w:rPr>
          <w:rFonts w:eastAsiaTheme="minorEastAsia"/>
          <w:b/>
          <w:bCs/>
          <w:color w:val="000000"/>
          <w:kern w:val="24"/>
          <w:sz w:val="24"/>
        </w:rPr>
        <w:t>sequences in this study</w:t>
      </w:r>
    </w:p>
    <w:tbl>
      <w:tblPr>
        <w:tblStyle w:val="3"/>
        <w:tblW w:w="8856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5204"/>
      </w:tblGrid>
      <w:tr w14:paraId="5CF726B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tcBorders>
              <w:top w:val="single" w:color="auto" w:sz="12" w:space="0"/>
              <w:bottom w:val="single" w:color="auto" w:sz="12" w:space="0"/>
            </w:tcBorders>
          </w:tcPr>
          <w:p w14:paraId="7C6D4D0C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Name</w:t>
            </w:r>
          </w:p>
        </w:tc>
        <w:tc>
          <w:tcPr>
            <w:tcW w:w="5204" w:type="dxa"/>
            <w:tcBorders>
              <w:top w:val="single" w:color="auto" w:sz="12" w:space="0"/>
              <w:bottom w:val="single" w:color="auto" w:sz="12" w:space="0"/>
            </w:tcBorders>
          </w:tcPr>
          <w:p w14:paraId="60A669B3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Sequence</w:t>
            </w:r>
          </w:p>
        </w:tc>
      </w:tr>
      <w:tr w14:paraId="272C2C3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single" w:color="auto" w:sz="12" w:space="0"/>
              <w:bottom w:val="nil"/>
            </w:tcBorders>
          </w:tcPr>
          <w:p w14:paraId="70302FE9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siC8orf76-</w:t>
            </w: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204" w:type="dxa"/>
            <w:tcBorders>
              <w:top w:val="single" w:color="auto" w:sz="12" w:space="0"/>
              <w:bottom w:val="nil"/>
            </w:tcBorders>
          </w:tcPr>
          <w:p w14:paraId="1D31FFEF">
            <w:pPr>
              <w:spacing w:line="48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CAGGAGUAUUCCAGUAUCU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3AD1113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nil"/>
              <w:bottom w:val="nil"/>
            </w:tcBorders>
          </w:tcPr>
          <w:p w14:paraId="3C21DB39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siC8orf76-</w:t>
            </w: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0CF098C2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CAGCUUGCUAUUUGUUCAA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6026F2A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nil"/>
              <w:bottom w:val="nil"/>
            </w:tcBorders>
          </w:tcPr>
          <w:p w14:paraId="2ED6A129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siCALB2-</w:t>
            </w: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31D1B069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CAGUUCCUGGAAAUAUGGAAGCACU-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17999C1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nil"/>
              <w:bottom w:val="nil"/>
            </w:tcBorders>
          </w:tcPr>
          <w:p w14:paraId="25172BC7">
            <w:pPr>
              <w:spacing w:line="480" w:lineRule="auto"/>
              <w:jc w:val="center"/>
              <w:rPr>
                <w:rFonts w:hint="default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siCALB2-2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4E410035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5'-</w:t>
            </w:r>
            <w:bookmarkStart w:id="0" w:name="OLE_LINK11"/>
            <w:bookmarkStart w:id="1" w:name="OLE_LINK12"/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AGGAAAGGCUCUGGCAUGAUGUCAA</w:t>
            </w:r>
            <w:r>
              <w:rPr>
                <w:color w:val="000000"/>
                <w:sz w:val="24"/>
                <w:szCs w:val="24"/>
              </w:rPr>
              <w:t>-3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bookmarkEnd w:id="0"/>
            <w:bookmarkEnd w:id="1"/>
          </w:p>
        </w:tc>
      </w:tr>
      <w:tr w14:paraId="129EEC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nil"/>
              <w:bottom w:val="nil"/>
            </w:tcBorders>
          </w:tcPr>
          <w:p w14:paraId="46098783">
            <w:pPr>
              <w:spacing w:line="480" w:lineRule="auto"/>
              <w:jc w:val="center"/>
              <w:rPr>
                <w:rFonts w:hint="default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sh-C8orf76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19467B56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5'-</w:t>
            </w:r>
            <w:r>
              <w:rPr>
                <w:rFonts w:hint="eastAsia"/>
                <w:color w:val="000000"/>
                <w:sz w:val="24"/>
                <w:szCs w:val="24"/>
              </w:rPr>
              <w:t>ACCGGGAGTATAAATGATTATTTATTCAAGAGATAAATAATCATTTATACTCTTTTTTGAATTC</w:t>
            </w:r>
            <w:r>
              <w:rPr>
                <w:color w:val="000000"/>
                <w:sz w:val="24"/>
                <w:szCs w:val="24"/>
              </w:rPr>
              <w:t>-3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3A1307F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nil"/>
              <w:bottom w:val="nil"/>
            </w:tcBorders>
          </w:tcPr>
          <w:p w14:paraId="5EECA27F">
            <w:pPr>
              <w:spacing w:line="480" w:lineRule="auto"/>
              <w:jc w:val="center"/>
              <w:rPr>
                <w:rFonts w:hint="default"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sh-CALB2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0047C517">
            <w:pPr>
              <w:spacing w:line="480" w:lineRule="auto"/>
              <w:rPr>
                <w:color w:val="000000"/>
                <w:sz w:val="24"/>
                <w:szCs w:val="24"/>
                <w:highlight w:val="yellow"/>
              </w:rPr>
            </w:pPr>
            <w:r>
              <w:rPr>
                <w:bCs/>
                <w:sz w:val="24"/>
                <w:szCs w:val="24"/>
                <w:highlight w:val="none"/>
              </w:rPr>
              <w:t>5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  <w:r>
              <w:rPr>
                <w:color w:val="000000"/>
                <w:sz w:val="24"/>
                <w:szCs w:val="24"/>
                <w:highlight w:val="none"/>
              </w:rPr>
              <w:t>-</w:t>
            </w:r>
            <w:bookmarkStart w:id="2" w:name="OLE_LINK14"/>
            <w:bookmarkStart w:id="3" w:name="OLE_LINK13"/>
            <w:r>
              <w:rPr>
                <w:rFonts w:hint="eastAsia"/>
                <w:bCs/>
                <w:sz w:val="24"/>
                <w:szCs w:val="24"/>
                <w:highlight w:val="none"/>
              </w:rPr>
              <w:t>ACCGGAGAGTTTACAGACAATAAATTCAAGAGATTTATTGTCTGTAAACTCTTTTTTTGAATTC</w:t>
            </w:r>
            <w:r>
              <w:rPr>
                <w:color w:val="000000"/>
                <w:sz w:val="24"/>
                <w:szCs w:val="24"/>
                <w:highlight w:val="none"/>
              </w:rPr>
              <w:t>-3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  <w:bookmarkEnd w:id="2"/>
            <w:bookmarkEnd w:id="3"/>
          </w:p>
        </w:tc>
      </w:tr>
      <w:tr w14:paraId="102C6DC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nil"/>
              <w:bottom w:val="single" w:color="auto" w:sz="12" w:space="0"/>
            </w:tcBorders>
          </w:tcPr>
          <w:p w14:paraId="6C1C2E57">
            <w:pPr>
              <w:spacing w:line="480" w:lineRule="auto"/>
              <w:jc w:val="center"/>
              <w:rPr>
                <w:rFonts w:hint="default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sh-CDKN2A</w:t>
            </w:r>
          </w:p>
        </w:tc>
        <w:tc>
          <w:tcPr>
            <w:tcW w:w="5204" w:type="dxa"/>
            <w:tcBorders>
              <w:top w:val="nil"/>
              <w:bottom w:val="single" w:color="auto" w:sz="12" w:space="0"/>
            </w:tcBorders>
            <w:shd w:val="clear" w:color="auto" w:fill="auto"/>
            <w:vAlign w:val="top"/>
          </w:tcPr>
          <w:p w14:paraId="5ED7B171">
            <w:pPr>
              <w:spacing w:line="480" w:lineRule="auto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bCs/>
                <w:sz w:val="24"/>
                <w:szCs w:val="24"/>
                <w:highlight w:val="none"/>
              </w:rPr>
              <w:t>5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  <w:r>
              <w:rPr>
                <w:color w:val="000000"/>
                <w:sz w:val="24"/>
                <w:szCs w:val="24"/>
                <w:highlight w:val="none"/>
              </w:rPr>
              <w:t>-</w:t>
            </w:r>
            <w:bookmarkStart w:id="4" w:name="_GoBack"/>
            <w:bookmarkEnd w:id="4"/>
            <w:r>
              <w:rPr>
                <w:rFonts w:hint="eastAsia"/>
                <w:bCs/>
                <w:sz w:val="24"/>
                <w:szCs w:val="24"/>
                <w:highlight w:val="none"/>
              </w:rPr>
              <w:t>ACCGGGAACCAAAGCTCAAATAAATTCAAGAGATTTATTTGAGCTTTGGTTCTTTTTTGAATTC</w:t>
            </w:r>
            <w:r>
              <w:rPr>
                <w:color w:val="000000"/>
                <w:sz w:val="24"/>
                <w:szCs w:val="24"/>
                <w:highlight w:val="none"/>
              </w:rPr>
              <w:t>-3</w:t>
            </w:r>
            <w:r>
              <w:rPr>
                <w:color w:val="000000"/>
                <w:kern w:val="24"/>
                <w:sz w:val="28"/>
                <w:szCs w:val="28"/>
                <w:highlight w:val="none"/>
              </w:rPr>
              <w:t>′</w:t>
            </w:r>
          </w:p>
        </w:tc>
      </w:tr>
    </w:tbl>
    <w:p w14:paraId="580A5AA3"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43C6B053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  <w:highlight w:val="none"/>
        </w:rPr>
        <w:t xml:space="preserve">Supplementary Table </w:t>
      </w:r>
      <w:r>
        <w:rPr>
          <w:rFonts w:hint="eastAsia"/>
          <w:b/>
          <w:bCs/>
          <w:sz w:val="24"/>
          <w:highlight w:val="none"/>
          <w:lang w:val="en-US" w:eastAsia="zh-CN"/>
        </w:rPr>
        <w:t>4</w:t>
      </w:r>
      <w:r>
        <w:rPr>
          <w:b/>
          <w:bCs/>
          <w:sz w:val="24"/>
        </w:rPr>
        <w:t xml:space="preserve">：Mutant plasmid sequences used in </w:t>
      </w:r>
      <w:r>
        <w:rPr>
          <w:rFonts w:hint="eastAsia"/>
          <w:b/>
          <w:bCs/>
          <w:sz w:val="24"/>
          <w:lang w:val="en-US" w:eastAsia="zh-CN"/>
        </w:rPr>
        <w:t>d</w:t>
      </w:r>
      <w:r>
        <w:rPr>
          <w:rFonts w:hint="eastAsia"/>
          <w:b/>
          <w:bCs/>
          <w:sz w:val="24"/>
        </w:rPr>
        <w:t>ual-luciferase reporter</w:t>
      </w:r>
      <w:r>
        <w:rPr>
          <w:b/>
          <w:bCs/>
          <w:sz w:val="24"/>
        </w:rPr>
        <w:t xml:space="preserve"> gene experiments</w:t>
      </w:r>
    </w:p>
    <w:tbl>
      <w:tblPr>
        <w:tblStyle w:val="3"/>
        <w:tblW w:w="8856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5204"/>
      </w:tblGrid>
      <w:tr w14:paraId="4DADAE0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tcBorders>
              <w:top w:val="single" w:color="auto" w:sz="12" w:space="0"/>
              <w:bottom w:val="single" w:color="auto" w:sz="12" w:space="0"/>
            </w:tcBorders>
          </w:tcPr>
          <w:p w14:paraId="4CDF3036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Name</w:t>
            </w:r>
          </w:p>
        </w:tc>
        <w:tc>
          <w:tcPr>
            <w:tcW w:w="5204" w:type="dxa"/>
            <w:tcBorders>
              <w:top w:val="single" w:color="auto" w:sz="12" w:space="0"/>
              <w:bottom w:val="single" w:color="auto" w:sz="12" w:space="0"/>
            </w:tcBorders>
          </w:tcPr>
          <w:p w14:paraId="6C7213A7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Sequence</w:t>
            </w:r>
          </w:p>
        </w:tc>
      </w:tr>
      <w:tr w14:paraId="68856CE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tcBorders>
              <w:top w:val="nil"/>
              <w:bottom w:val="nil"/>
            </w:tcBorders>
          </w:tcPr>
          <w:p w14:paraId="6B49FFFB">
            <w:pPr>
              <w:spacing w:line="480" w:lineRule="auto"/>
              <w:jc w:val="center"/>
              <w:rPr>
                <w:rFonts w:hint="default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M</w:t>
            </w:r>
            <w:r>
              <w:rPr>
                <w:bCs/>
                <w:sz w:val="24"/>
                <w:szCs w:val="24"/>
              </w:rPr>
              <w:t>ut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 xml:space="preserve"> 1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0F01C1A3">
            <w:pPr>
              <w:spacing w:line="480" w:lineRule="auto"/>
              <w:jc w:val="center"/>
              <w:rPr>
                <w:rFonts w:hint="default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AGGCA/TG</w:t>
            </w:r>
          </w:p>
        </w:tc>
      </w:tr>
      <w:tr w14:paraId="2720F57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tcBorders>
              <w:top w:val="nil"/>
              <w:bottom w:val="nil"/>
            </w:tcBorders>
          </w:tcPr>
          <w:p w14:paraId="2795B934">
            <w:pPr>
              <w:spacing w:line="480" w:lineRule="auto"/>
              <w:jc w:val="center"/>
              <w:rPr>
                <w:rFonts w:hint="default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Mut 2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5D32B8C7">
            <w:pPr>
              <w:spacing w:line="480" w:lineRule="auto"/>
              <w:jc w:val="center"/>
              <w:rPr>
                <w:rFonts w:hint="default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ATTCC/T</w:t>
            </w:r>
          </w:p>
        </w:tc>
      </w:tr>
      <w:tr w14:paraId="2C13A4D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tcBorders>
              <w:top w:val="nil"/>
              <w:bottom w:val="single" w:color="auto" w:sz="12" w:space="0"/>
            </w:tcBorders>
          </w:tcPr>
          <w:p w14:paraId="4B722596">
            <w:pPr>
              <w:spacing w:line="480" w:lineRule="auto"/>
              <w:jc w:val="center"/>
              <w:rPr>
                <w:rFonts w:hint="default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Mut 3</w:t>
            </w:r>
          </w:p>
        </w:tc>
        <w:tc>
          <w:tcPr>
            <w:tcW w:w="5204" w:type="dxa"/>
            <w:tcBorders>
              <w:top w:val="nil"/>
              <w:bottom w:val="single" w:color="auto" w:sz="12" w:space="0"/>
            </w:tcBorders>
          </w:tcPr>
          <w:p w14:paraId="5720F2CE">
            <w:pPr>
              <w:spacing w:line="480" w:lineRule="auto"/>
              <w:jc w:val="center"/>
              <w:rPr>
                <w:rFonts w:hint="default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CCAGCCAA</w:t>
            </w:r>
          </w:p>
        </w:tc>
      </w:tr>
    </w:tbl>
    <w:p w14:paraId="456DD4E3"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55381AEA">
      <w:pPr>
        <w:rPr>
          <w:rFonts w:hint="eastAsia"/>
          <w:b/>
          <w:bCs/>
          <w:sz w:val="24"/>
          <w:lang w:val="en-US" w:eastAsia="zh-CN"/>
        </w:rPr>
      </w:pPr>
      <w:r>
        <w:rPr>
          <w:b/>
          <w:bCs/>
          <w:sz w:val="24"/>
          <w:highlight w:val="none"/>
        </w:rPr>
        <w:t xml:space="preserve">Supplementary Table </w:t>
      </w:r>
      <w:r>
        <w:rPr>
          <w:rFonts w:hint="eastAsia"/>
          <w:b/>
          <w:bCs/>
          <w:sz w:val="24"/>
          <w:highlight w:val="none"/>
          <w:lang w:val="en-US" w:eastAsia="zh-CN"/>
        </w:rPr>
        <w:t>5</w:t>
      </w:r>
      <w:r>
        <w:rPr>
          <w:b/>
          <w:bCs/>
          <w:sz w:val="24"/>
        </w:rPr>
        <w:t>：</w:t>
      </w:r>
      <w:r>
        <w:rPr>
          <w:rFonts w:hint="eastAsia"/>
          <w:b/>
          <w:bCs/>
          <w:sz w:val="24"/>
        </w:rPr>
        <w:t xml:space="preserve">Information of 47 samples from </w:t>
      </w:r>
      <w:r>
        <w:rPr>
          <w:rFonts w:hint="eastAsia"/>
          <w:b/>
          <w:bCs/>
          <w:sz w:val="24"/>
          <w:lang w:val="en-US" w:eastAsia="zh-CN"/>
        </w:rPr>
        <w:t xml:space="preserve">ccRCC </w:t>
      </w:r>
      <w:r>
        <w:rPr>
          <w:rFonts w:hint="eastAsia"/>
          <w:b/>
          <w:bCs/>
          <w:sz w:val="24"/>
        </w:rPr>
        <w:t>patients</w:t>
      </w:r>
      <w:r>
        <w:rPr>
          <w:rFonts w:hint="eastAsia"/>
          <w:b/>
          <w:bCs/>
          <w:sz w:val="24"/>
          <w:lang w:val="en-US" w:eastAsia="zh-CN"/>
        </w:rPr>
        <w:t>.</w:t>
      </w:r>
    </w:p>
    <w:p w14:paraId="2A2CD86D">
      <w:pPr>
        <w:rPr>
          <w:rFonts w:hint="eastAsia"/>
          <w:b w:val="0"/>
          <w:bCs w:val="0"/>
          <w:sz w:val="24"/>
          <w:lang w:val="en-US" w:eastAsia="zh-CN"/>
        </w:rPr>
      </w:pPr>
    </w:p>
    <w:tbl>
      <w:tblPr>
        <w:tblStyle w:val="2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533"/>
        <w:gridCol w:w="1655"/>
        <w:gridCol w:w="1722"/>
        <w:gridCol w:w="1833"/>
      </w:tblGrid>
      <w:tr w14:paraId="6FD40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4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DB623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No.</w:t>
            </w:r>
          </w:p>
        </w:tc>
        <w:tc>
          <w:tcPr>
            <w:tcW w:w="89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69927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97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547B8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  <w:tc>
          <w:tcPr>
            <w:tcW w:w="101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F9EB7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TNM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 xml:space="preserve"> stage</w:t>
            </w:r>
          </w:p>
        </w:tc>
        <w:tc>
          <w:tcPr>
            <w:tcW w:w="1075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AAB84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Pathological grades</w:t>
            </w:r>
          </w:p>
        </w:tc>
      </w:tr>
      <w:tr w14:paraId="61C11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DDC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9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2B0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48A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1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303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T2aN0M0</w:t>
            </w:r>
          </w:p>
        </w:tc>
        <w:tc>
          <w:tcPr>
            <w:tcW w:w="107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334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149C0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4B9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114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1A4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C09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523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53374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370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33C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403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F86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AE8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281CD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2D0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C9B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401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F73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F6B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4FB1F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717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D64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EAF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FD3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52C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1F337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BC5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851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38E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0CB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7D3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030B5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E6C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5AD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200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476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002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0F980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E9F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209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E20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59F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1EB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0796C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3FC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631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538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CDB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564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5B7D1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E7C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AAD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6CC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578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0E6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226BD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0BB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3BC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CCE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57A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E0E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6B050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E30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FBA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D8B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F2A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16B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76F73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8AC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ECF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CE9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6F9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443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031F4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46E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EB3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127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4E8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40E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51B2E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AC6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0A8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DD6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97D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96A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68CA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193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C52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8AD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A61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384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57D95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182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E61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459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D6C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809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74B0A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9D7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94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D2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123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1aN0M0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A84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7D764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A51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34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6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2EE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1A7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27FB9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8ACF8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9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9DA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E229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5A182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2bN0M0</w:t>
            </w:r>
          </w:p>
        </w:tc>
        <w:tc>
          <w:tcPr>
            <w:tcW w:w="107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24348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56161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057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9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48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C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1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744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2A4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4F05B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2C0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AA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61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5E0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686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44EBE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0C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8D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09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C52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1aN0M0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BD7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2F63F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1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B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E2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7A7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C8E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37612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73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1E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B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FBB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ED5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56166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1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73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7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5D9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CE5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6437F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9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AE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8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2F9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1aN0M0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480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3335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79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A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CB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D09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A69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5E338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C3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8A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24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563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D3A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39146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E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D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A6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DF7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195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72F98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1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BF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77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F04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3aN0M0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D7C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03B6E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3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3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29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695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A54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2C2F6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E0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8B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9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A8B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87F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5B168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62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05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C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4D9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F67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04FD3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38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C8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9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0D9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EC8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35C74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6C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C2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D6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B90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FD5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6D482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FD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C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5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05D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14A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58AAF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B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B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B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899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1aN0M0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311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58992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2D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67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D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526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1aN0M0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89B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1AC81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F0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6E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56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4886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09E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</w:tr>
      <w:tr w14:paraId="16768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F9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9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F2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B98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3aN0M0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348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66E94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46CE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9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2E65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DDC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4835B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93958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37A4F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FD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9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FE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B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1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C82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T1bN0M0</w:t>
            </w:r>
          </w:p>
        </w:tc>
        <w:tc>
          <w:tcPr>
            <w:tcW w:w="107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105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5E500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0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B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F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074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6B5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6FABF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8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2F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1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7DF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2aN0M0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478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  <w:tr w14:paraId="314BA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66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B8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9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5BB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T2bN0M0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298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</w:tr>
      <w:tr w14:paraId="45A4B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4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EB7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89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696AA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7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201DE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2D6124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"/>
              </w:rPr>
              <w:t>2bN0M0</w:t>
            </w:r>
          </w:p>
        </w:tc>
        <w:tc>
          <w:tcPr>
            <w:tcW w:w="107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5AE99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</w:tr>
    </w:tbl>
    <w:p w14:paraId="78766649">
      <w:pPr>
        <w:rPr>
          <w:rFonts w:hint="eastAsia"/>
          <w:b w:val="0"/>
          <w:bCs w:val="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7910BC"/>
    <w:rsid w:val="077B21A1"/>
    <w:rsid w:val="0A3906D2"/>
    <w:rsid w:val="0DC7207D"/>
    <w:rsid w:val="10FE06CA"/>
    <w:rsid w:val="17B036F3"/>
    <w:rsid w:val="1CEE595F"/>
    <w:rsid w:val="267910BC"/>
    <w:rsid w:val="2D7C3A6A"/>
    <w:rsid w:val="2E875789"/>
    <w:rsid w:val="3064333F"/>
    <w:rsid w:val="4163743A"/>
    <w:rsid w:val="57D21DB3"/>
    <w:rsid w:val="5C297F03"/>
    <w:rsid w:val="5D374E95"/>
    <w:rsid w:val="5E652175"/>
    <w:rsid w:val="5EA94C77"/>
    <w:rsid w:val="77D3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6">
    <w:name w:val="font31"/>
    <w:basedOn w:val="4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237</Words>
  <Characters>1719</Characters>
  <Lines>0</Lines>
  <Paragraphs>0</Paragraphs>
  <TotalTime>3</TotalTime>
  <ScaleCrop>false</ScaleCrop>
  <LinksUpToDate>false</LinksUpToDate>
  <CharactersWithSpaces>1852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2025-07-05T00:19:00Z</dcterms:created>
  <dc:creator>李禹霄</dc:creator>
  <cp:lastModifiedBy>李禹霄</cp:lastModifiedBy>
  <dcterms:modified xsi:type="dcterms:W3CDTF">2025-07-11T10:03:20Z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B4CA7B33B1504A28AD8D28A3C8A6C7EB_11</vt:lpwstr>
  </property>
  <property fmtid="{D5CDD505-2E9C-101B-9397-08002B2CF9AE}" pid="4" name="KSOTemplateDocerSaveRecord">
    <vt:lpwstr>eyJoZGlkIjoiNGQ2ZDZiYTdiZWE1MWI5MGM5ZmM1ZjcyYjJkOGZmNmIiLCJ1c2VySWQiOiIxNjkzMDg4OTYyIn0=</vt:lpwstr>
  </property>
</Properties>
</file>