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53BE" w:rsidR="003253BE" w:rsidP="40C41E35" w:rsidRDefault="003253BE" w14:paraId="7320E47D" w14:textId="6AD2F4E7" w14:noSpellErr="1">
      <w:pPr>
        <w:pStyle w:val="Title"/>
        <w:rPr>
          <w:rFonts w:ascii="Arial Nova" w:hAnsi="Arial Nova" w:eastAsia="Arial Nova" w:cs="Arial Nova"/>
          <w:sz w:val="22"/>
          <w:szCs w:val="22"/>
        </w:rPr>
      </w:pPr>
      <w:r w:rsidRPr="40C41E35" w:rsidR="003253BE">
        <w:rPr>
          <w:rFonts w:ascii="Arial Nova" w:hAnsi="Arial Nova" w:eastAsia="Arial Nova" w:cs="Arial Nova"/>
          <w:sz w:val="22"/>
          <w:szCs w:val="22"/>
        </w:rPr>
        <w:t>Supplementary Methods</w:t>
      </w:r>
    </w:p>
    <w:p w:rsidR="003253BE" w:rsidP="40C41E35" w:rsidRDefault="003253BE" w14:paraId="656C401B" w14:textId="417AE7EE" w14:noSpellErr="1">
      <w:pPr>
        <w:pStyle w:val="Title"/>
        <w:rPr>
          <w:rFonts w:ascii="Arial Nova" w:hAnsi="Arial Nova" w:eastAsia="Arial Nova" w:cs="Arial Nova"/>
          <w:b w:val="1"/>
          <w:bCs w:val="1"/>
          <w:sz w:val="22"/>
          <w:szCs w:val="22"/>
        </w:rPr>
      </w:pPr>
      <w:r w:rsidRPr="40C41E35" w:rsidR="003253BE">
        <w:rPr>
          <w:rFonts w:ascii="Arial Nova" w:hAnsi="Arial Nova" w:eastAsia="Arial Nova" w:cs="Arial Nova"/>
          <w:b w:val="1"/>
          <w:bCs w:val="1"/>
          <w:sz w:val="22"/>
          <w:szCs w:val="22"/>
        </w:rPr>
        <w:t>-</w:t>
      </w:r>
    </w:p>
    <w:p w:rsidRPr="005E62BC" w:rsidR="005E62BC" w:rsidP="3B4EE940" w:rsidRDefault="005E62BC" w14:paraId="7D6C9F1E" w14:textId="10E87793">
      <w:pPr>
        <w:pStyle w:val="Title"/>
        <w:rPr>
          <w:rFonts w:ascii="Arial Nova" w:hAnsi="Arial Nova" w:eastAsia="Arial Nova" w:cs="Arial Nova"/>
          <w:b w:val="1"/>
          <w:bCs w:val="1"/>
          <w:sz w:val="22"/>
          <w:szCs w:val="22"/>
          <w:lang w:val="en"/>
        </w:rPr>
      </w:pPr>
      <w:r w:rsidRPr="3B4EE940" w:rsidR="0E2E2090">
        <w:rPr>
          <w:rFonts w:ascii="Arial Nova" w:hAnsi="Arial Nova" w:eastAsia="Arial Nova" w:cs="Arial Nova"/>
          <w:b w:val="1"/>
          <w:bCs w:val="1"/>
          <w:sz w:val="22"/>
          <w:szCs w:val="22"/>
        </w:rPr>
        <w:t>Automated Computer Vision and Dose-Response Modeling Improve Throughput and Accuracy of an Ex Vivo Functional Precision Medicine Platform</w:t>
      </w:r>
    </w:p>
    <w:p w:rsidR="003A6828" w:rsidP="40C41E35" w:rsidRDefault="003A6828" w14:paraId="290657D0" w14:textId="77777777" w14:noSpellErr="1">
      <w:pPr>
        <w:rPr>
          <w:rFonts w:ascii="Arial Nova" w:hAnsi="Arial Nova" w:eastAsia="Arial Nova" w:cs="Arial Nova"/>
          <w:sz w:val="22"/>
          <w:szCs w:val="22"/>
        </w:rPr>
      </w:pPr>
    </w:p>
    <w:p w:rsidR="003A6828" w:rsidP="40C41E35" w:rsidRDefault="003253BE" w14:paraId="73638DF7" w14:textId="56DC378D" w14:noSpellErr="1">
      <w:pPr>
        <w:pStyle w:val="Heading1"/>
        <w:rPr>
          <w:rFonts w:ascii="Arial Nova" w:hAnsi="Arial Nova" w:eastAsia="Arial Nova" w:cs="Arial Nova"/>
          <w:sz w:val="22"/>
          <w:szCs w:val="22"/>
        </w:rPr>
      </w:pPr>
      <w:r w:rsidRPr="40C41E35" w:rsidR="003253BE">
        <w:rPr>
          <w:rFonts w:ascii="Arial Nova" w:hAnsi="Arial Nova" w:eastAsia="Arial Nova" w:cs="Arial Nova"/>
          <w:sz w:val="22"/>
          <w:szCs w:val="22"/>
        </w:rPr>
        <w:t>Supplementary Methods</w:t>
      </w:r>
    </w:p>
    <w:p w:rsidR="40C41E35" w:rsidP="40C41E35" w:rsidRDefault="40C41E35" w14:paraId="782FBEFA" w14:textId="4F015B62">
      <w:pPr>
        <w:pStyle w:val="Normal"/>
      </w:pPr>
    </w:p>
    <w:p w:rsidR="003253BE" w:rsidP="40C41E35" w:rsidRDefault="003253BE" w14:paraId="6B609DC0" w14:textId="77777777" w14:noSpellErr="1">
      <w:pPr>
        <w:pStyle w:val="Heading2"/>
        <w:jc w:val="both"/>
        <w:rPr>
          <w:rFonts w:ascii="Arial Nova" w:hAnsi="Arial Nova" w:eastAsia="Arial Nova" w:cs="Arial Nova"/>
          <w:sz w:val="22"/>
          <w:szCs w:val="22"/>
        </w:rPr>
      </w:pPr>
      <w:r w:rsidRPr="40C41E35" w:rsidR="003253BE">
        <w:rPr>
          <w:rFonts w:ascii="Arial Nova" w:hAnsi="Arial Nova" w:eastAsia="Arial Nova" w:cs="Arial Nova"/>
          <w:sz w:val="22"/>
          <w:szCs w:val="22"/>
        </w:rPr>
        <w:t>Metadata</w:t>
      </w:r>
    </w:p>
    <w:p w:rsidR="40C41E35" w:rsidP="40C41E35" w:rsidRDefault="40C41E35" w14:paraId="1E4C90AF" w14:textId="7289FE37">
      <w:pPr>
        <w:pStyle w:val="Normal"/>
      </w:pPr>
    </w:p>
    <w:p w:rsidR="003253BE" w:rsidP="40C41E35" w:rsidRDefault="003253BE" w14:paraId="7490CFC6" w14:textId="78AD4444">
      <w:pPr>
        <w:jc w:val="both"/>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We created a User Interface (UI) for metadata input using the Shiny UI platform for R</w:t>
      </w:r>
      <w:r w:rsidRPr="40C41E35" w:rsidR="003253BE">
        <w:rPr>
          <w:rFonts w:ascii="Arial Nova" w:hAnsi="Arial Nova" w:eastAsia="Arial Nova" w:cs="Arial Nova"/>
          <w:color w:val="000000" w:themeColor="text1" w:themeTint="FF" w:themeShade="FF"/>
          <w:sz w:val="22"/>
          <w:szCs w:val="22"/>
        </w:rPr>
        <w:t>. We</w:t>
      </w:r>
      <w:r w:rsidRPr="40C41E35" w:rsidR="003253BE">
        <w:rPr>
          <w:rFonts w:ascii="Arial Nova" w:hAnsi="Arial Nova" w:eastAsia="Arial Nova" w:cs="Arial Nova"/>
          <w:color w:val="000000" w:themeColor="text1" w:themeTint="FF" w:themeShade="FF"/>
          <w:sz w:val="22"/>
          <w:szCs w:val="22"/>
        </w:rPr>
        <w:t xml:space="preserve"> connected the Shiny app to locally stored </w:t>
      </w:r>
      <w:r w:rsidRPr="40C41E35" w:rsidR="003253BE">
        <w:rPr>
          <w:rFonts w:ascii="Arial Nova" w:hAnsi="Arial Nova" w:eastAsia="Arial Nova" w:cs="Arial Nova"/>
          <w:color w:val="000000" w:themeColor="text1" w:themeTint="FF" w:themeShade="FF"/>
          <w:sz w:val="22"/>
          <w:szCs w:val="22"/>
        </w:rPr>
        <w:t>CSV</w:t>
      </w:r>
      <w:r w:rsidRPr="40C41E35" w:rsidR="003253BE">
        <w:rPr>
          <w:rFonts w:ascii="Arial Nova" w:hAnsi="Arial Nova" w:eastAsia="Arial Nova" w:cs="Arial Nova"/>
          <w:color w:val="000000" w:themeColor="text1" w:themeTint="FF" w:themeShade="FF"/>
          <w:sz w:val="22"/>
          <w:szCs w:val="22"/>
        </w:rPr>
        <w:t xml:space="preserve"> files which served as databases for tumor and treatment information.  This information was used to populate drop-down lists that researchers could select from.  Other fields, such as Dose groups, could be entered manually.  Users could add up to nine dose groups.  The number of rows in the resultant metadata </w:t>
      </w:r>
      <w:r w:rsidRPr="40C41E35" w:rsidR="003253BE">
        <w:rPr>
          <w:rFonts w:ascii="Arial Nova" w:hAnsi="Arial Nova" w:eastAsia="Arial Nova" w:cs="Arial Nova"/>
          <w:color w:val="000000" w:themeColor="text1" w:themeTint="FF" w:themeShade="FF"/>
          <w:sz w:val="22"/>
          <w:szCs w:val="22"/>
        </w:rPr>
        <w:t xml:space="preserve">CSV file </w:t>
      </w:r>
      <w:r w:rsidRPr="40C41E35" w:rsidR="003253BE">
        <w:rPr>
          <w:rFonts w:ascii="Arial Nova" w:hAnsi="Arial Nova" w:eastAsia="Arial Nova" w:cs="Arial Nova"/>
          <w:color w:val="000000" w:themeColor="text1" w:themeTint="FF" w:themeShade="FF"/>
          <w:sz w:val="22"/>
          <w:szCs w:val="22"/>
        </w:rPr>
        <w:t xml:space="preserve">corresponded to the number of </w:t>
      </w:r>
      <w:r w:rsidRPr="40C41E35" w:rsidR="003253BE">
        <w:rPr>
          <w:rFonts w:ascii="Arial Nova" w:hAnsi="Arial Nova" w:eastAsia="Arial Nova" w:cs="Arial Nova"/>
          <w:color w:val="000000" w:themeColor="text1" w:themeTint="FF" w:themeShade="FF"/>
          <w:sz w:val="22"/>
          <w:szCs w:val="22"/>
        </w:rPr>
        <w:t>micro-tumor</w:t>
      </w:r>
      <w:r w:rsidRPr="40C41E35" w:rsidR="003253BE">
        <w:rPr>
          <w:rFonts w:ascii="Arial Nova" w:hAnsi="Arial Nova" w:eastAsia="Arial Nova" w:cs="Arial Nova"/>
          <w:color w:val="000000" w:themeColor="text1" w:themeTint="FF" w:themeShade="FF"/>
          <w:sz w:val="22"/>
          <w:szCs w:val="22"/>
        </w:rPr>
        <w:t>s or OBSCs in the experiment.  Metadata that was usually consistent between experiments (</w:t>
      </w:r>
      <w:r w:rsidRPr="40C41E35" w:rsidR="003253BE">
        <w:rPr>
          <w:rFonts w:ascii="Arial Nova" w:hAnsi="Arial Nova" w:eastAsia="Arial Nova" w:cs="Arial Nova"/>
          <w:color w:val="000000" w:themeColor="text1" w:themeTint="FF" w:themeShade="FF"/>
          <w:sz w:val="22"/>
          <w:szCs w:val="22"/>
        </w:rPr>
        <w:t>e.g.</w:t>
      </w:r>
      <w:r w:rsidRPr="40C41E35" w:rsidR="003253BE">
        <w:rPr>
          <w:rFonts w:ascii="Arial Nova" w:hAnsi="Arial Nova" w:eastAsia="Arial Nova" w:cs="Arial Nova"/>
          <w:color w:val="000000" w:themeColor="text1" w:themeTint="FF" w:themeShade="FF"/>
          <w:sz w:val="22"/>
          <w:szCs w:val="22"/>
        </w:rPr>
        <w:t xml:space="preserve"> thickness of OBSC, imaging equipment used, etc.) was automatically populated and hidden in the default form.  However, users could choose to view and edit all metadata categories.</w:t>
      </w:r>
    </w:p>
    <w:p w:rsidRPr="00FF0EBE" w:rsidR="003253BE" w:rsidP="40C41E35" w:rsidRDefault="003253BE" w14:paraId="727FD6E3" w14:textId="77777777"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 xml:space="preserve">Each row in our database corresponds to one “target,” whether that be a </w:t>
      </w:r>
      <w:r w:rsidRPr="40C41E35" w:rsidR="003253BE">
        <w:rPr>
          <w:rFonts w:ascii="Arial Nova" w:hAnsi="Arial Nova" w:eastAsia="Arial Nova" w:cs="Arial Nova"/>
          <w:color w:val="000000" w:themeColor="text1" w:themeTint="FF" w:themeShade="FF"/>
          <w:sz w:val="22"/>
          <w:szCs w:val="22"/>
        </w:rPr>
        <w:t>micro-tumor</w:t>
      </w:r>
      <w:r w:rsidRPr="40C41E35" w:rsidR="003253BE">
        <w:rPr>
          <w:rFonts w:ascii="Arial Nova" w:hAnsi="Arial Nova" w:eastAsia="Arial Nova" w:cs="Arial Nova"/>
          <w:color w:val="000000" w:themeColor="text1" w:themeTint="FF" w:themeShade="FF"/>
          <w:sz w:val="22"/>
          <w:szCs w:val="22"/>
        </w:rPr>
        <w:t xml:space="preserve"> in a tumor toxicity experiment or an OBSC in an OBSC toxicity experiment.  Each row </w:t>
      </w:r>
      <w:r w:rsidRPr="40C41E35" w:rsidR="003253BE">
        <w:rPr>
          <w:rFonts w:ascii="Arial Nova" w:hAnsi="Arial Nova" w:eastAsia="Arial Nova" w:cs="Arial Nova"/>
          <w:color w:val="000000" w:themeColor="text1" w:themeTint="FF" w:themeShade="FF"/>
          <w:sz w:val="22"/>
          <w:szCs w:val="22"/>
        </w:rPr>
        <w:t>contained</w:t>
      </w:r>
      <w:r w:rsidRPr="40C41E35" w:rsidR="003253BE">
        <w:rPr>
          <w:rFonts w:ascii="Arial Nova" w:hAnsi="Arial Nova" w:eastAsia="Arial Nova" w:cs="Arial Nova"/>
          <w:color w:val="000000" w:themeColor="text1" w:themeTint="FF" w:themeShade="FF"/>
          <w:sz w:val="22"/>
          <w:szCs w:val="22"/>
        </w:rPr>
        <w:t xml:space="preserve"> metadata that allowed the target to be placed in its experimental context, including the Treatment used, the Dose </w:t>
      </w:r>
      <w:r w:rsidRPr="40C41E35" w:rsidR="003253BE">
        <w:rPr>
          <w:rFonts w:ascii="Arial Nova" w:hAnsi="Arial Nova" w:eastAsia="Arial Nova" w:cs="Arial Nova"/>
          <w:color w:val="000000" w:themeColor="text1" w:themeTint="FF" w:themeShade="FF"/>
          <w:sz w:val="22"/>
          <w:szCs w:val="22"/>
        </w:rPr>
        <w:t>applied</w:t>
      </w:r>
      <w:r w:rsidRPr="40C41E35" w:rsidR="003253BE">
        <w:rPr>
          <w:rFonts w:ascii="Arial Nova" w:hAnsi="Arial Nova" w:eastAsia="Arial Nova" w:cs="Arial Nova"/>
          <w:color w:val="000000" w:themeColor="text1" w:themeTint="FF" w:themeShade="FF"/>
          <w:sz w:val="22"/>
          <w:szCs w:val="22"/>
        </w:rPr>
        <w:t xml:space="preserve"> (including the units of concentration, </w:t>
      </w:r>
      <w:r w:rsidRPr="40C41E35" w:rsidR="003253BE">
        <w:rPr>
          <w:rFonts w:ascii="Arial Nova" w:hAnsi="Arial Nova" w:eastAsia="Arial Nova" w:cs="Arial Nova"/>
          <w:color w:val="000000" w:themeColor="text1" w:themeTint="FF" w:themeShade="FF"/>
          <w:sz w:val="22"/>
          <w:szCs w:val="22"/>
        </w:rPr>
        <w:t>e.g.</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sz w:val="22"/>
          <w:szCs w:val="22"/>
        </w:rPr>
        <w:t>μ</w:t>
      </w:r>
      <w:r w:rsidRPr="40C41E35" w:rsidR="003253BE">
        <w:rPr>
          <w:rFonts w:ascii="Arial Nova" w:hAnsi="Arial Nova" w:eastAsia="Arial Nova" w:cs="Arial Nova"/>
          <w:sz w:val="22"/>
          <w:szCs w:val="22"/>
        </w:rPr>
        <w:t>M</w:t>
      </w:r>
      <w:r w:rsidRPr="40C41E35" w:rsidR="003253BE">
        <w:rPr>
          <w:rFonts w:ascii="Arial Nova" w:hAnsi="Arial Nova" w:eastAsia="Arial Nova" w:cs="Arial Nova"/>
          <w:color w:val="000000" w:themeColor="text1" w:themeTint="FF" w:themeShade="FF"/>
          <w:sz w:val="22"/>
          <w:szCs w:val="22"/>
        </w:rPr>
        <w:t xml:space="preserve"> or Gy), the date the experiment was started, the tumor type when applicable, etc.  This allowed for experimental results to be easily </w:t>
      </w:r>
      <w:r w:rsidRPr="40C41E35" w:rsidR="003253BE">
        <w:rPr>
          <w:rFonts w:ascii="Arial Nova" w:hAnsi="Arial Nova" w:eastAsia="Arial Nova" w:cs="Arial Nova"/>
          <w:color w:val="000000" w:themeColor="text1" w:themeTint="FF" w:themeShade="FF"/>
          <w:sz w:val="22"/>
          <w:szCs w:val="22"/>
        </w:rPr>
        <w:t>queried</w:t>
      </w:r>
      <w:r w:rsidRPr="40C41E35" w:rsidR="003253BE">
        <w:rPr>
          <w:rFonts w:ascii="Arial Nova" w:hAnsi="Arial Nova" w:eastAsia="Arial Nova" w:cs="Arial Nova"/>
          <w:color w:val="000000" w:themeColor="text1" w:themeTint="FF" w:themeShade="FF"/>
          <w:sz w:val="22"/>
          <w:szCs w:val="22"/>
        </w:rPr>
        <w:t xml:space="preserve"> later.  </w:t>
      </w:r>
    </w:p>
    <w:p w:rsidR="003253BE" w:rsidP="40C41E35" w:rsidRDefault="003253BE" w14:paraId="2D63BB53" w14:textId="77777777" w14:noSpellErr="1">
      <w:pPr>
        <w:pStyle w:val="Heading2"/>
        <w:jc w:val="both"/>
        <w:rPr>
          <w:rFonts w:ascii="Arial Nova" w:hAnsi="Arial Nova" w:eastAsia="Arial Nova" w:cs="Arial Nova"/>
          <w:sz w:val="22"/>
          <w:szCs w:val="22"/>
        </w:rPr>
      </w:pPr>
      <w:r w:rsidRPr="40C41E35" w:rsidR="003253BE">
        <w:rPr>
          <w:rFonts w:ascii="Arial Nova" w:hAnsi="Arial Nova" w:eastAsia="Arial Nova" w:cs="Arial Nova"/>
          <w:sz w:val="22"/>
          <w:szCs w:val="22"/>
        </w:rPr>
        <w:t>Image Analysis</w:t>
      </w:r>
    </w:p>
    <w:p w:rsidRPr="00EF03D4" w:rsidR="003253BE" w:rsidP="40C41E35" w:rsidRDefault="003253BE" w14:paraId="6616388A" w14:textId="246CA385"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 xml:space="preserve">The image analysis pipeline was written in Python v3.10.  The packages </w:t>
      </w:r>
      <w:r w:rsidRPr="40C41E35" w:rsidR="003253BE">
        <w:rPr>
          <w:rFonts w:ascii="Arial Nova" w:hAnsi="Arial Nova" w:eastAsia="Arial Nova" w:cs="Arial Nova"/>
          <w:i w:val="1"/>
          <w:iCs w:val="1"/>
          <w:color w:val="000000" w:themeColor="text1" w:themeTint="FF" w:themeShade="FF"/>
          <w:sz w:val="22"/>
          <w:szCs w:val="22"/>
        </w:rPr>
        <w:t xml:space="preserve">NumPy </w:t>
      </w:r>
      <w:r w:rsidRPr="40C41E35" w:rsidR="003253BE">
        <w:rPr>
          <w:rFonts w:ascii="Arial Nova" w:hAnsi="Arial Nova" w:eastAsia="Arial Nova" w:cs="Arial Nova"/>
          <w:color w:val="000000" w:themeColor="text1" w:themeTint="FF" w:themeShade="FF"/>
          <w:sz w:val="22"/>
          <w:szCs w:val="22"/>
        </w:rPr>
        <w:t xml:space="preserve">and </w:t>
      </w:r>
      <w:r w:rsidRPr="40C41E35" w:rsidR="003253BE">
        <w:rPr>
          <w:rFonts w:ascii="Arial Nova" w:hAnsi="Arial Nova" w:eastAsia="Arial Nova" w:cs="Arial Nova"/>
          <w:i w:val="1"/>
          <w:iCs w:val="1"/>
          <w:color w:val="000000" w:themeColor="text1" w:themeTint="FF" w:themeShade="FF"/>
          <w:sz w:val="22"/>
          <w:szCs w:val="22"/>
        </w:rPr>
        <w:t>Pandas</w:t>
      </w:r>
      <w:r w:rsidRPr="40C41E35" w:rsidR="003253BE">
        <w:rPr>
          <w:rFonts w:ascii="Arial Nova" w:hAnsi="Arial Nova" w:eastAsia="Arial Nova" w:cs="Arial Nova"/>
          <w:color w:val="000000" w:themeColor="text1" w:themeTint="FF" w:themeShade="FF"/>
          <w:sz w:val="22"/>
          <w:szCs w:val="22"/>
        </w:rPr>
        <w:t xml:space="preserve"> were used extensively for storage and manipulation of data.  </w:t>
      </w:r>
      <w:r w:rsidRPr="40C41E35" w:rsidR="003253BE">
        <w:rPr>
          <w:rFonts w:ascii="Arial Nova" w:hAnsi="Arial Nova" w:eastAsia="Arial Nova" w:cs="Arial Nova"/>
          <w:i w:val="1"/>
          <w:iCs w:val="1"/>
          <w:color w:val="000000" w:themeColor="text1" w:themeTint="FF" w:themeShade="FF"/>
          <w:sz w:val="22"/>
          <w:szCs w:val="22"/>
        </w:rPr>
        <w:t>OpenCV</w:t>
      </w:r>
      <w:r w:rsidRPr="40C41E35" w:rsidR="003253BE">
        <w:rPr>
          <w:rFonts w:ascii="Arial Nova" w:hAnsi="Arial Nova" w:eastAsia="Arial Nova" w:cs="Arial Nova"/>
          <w:color w:val="000000" w:themeColor="text1" w:themeTint="FF" w:themeShade="FF"/>
          <w:sz w:val="22"/>
          <w:szCs w:val="22"/>
        </w:rPr>
        <w:t xml:space="preserve"> provided</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color w:val="000000" w:themeColor="text1" w:themeTint="FF" w:themeShade="FF"/>
          <w:sz w:val="22"/>
          <w:szCs w:val="22"/>
        </w:rPr>
        <w:t xml:space="preserve">functions for image analysis.  </w:t>
      </w:r>
      <w:r w:rsidRPr="40C41E35" w:rsidR="003253BE">
        <w:rPr>
          <w:rFonts w:ascii="Arial Nova" w:hAnsi="Arial Nova" w:eastAsia="Arial Nova" w:cs="Arial Nova"/>
          <w:i w:val="1"/>
          <w:iCs w:val="1"/>
          <w:color w:val="000000" w:themeColor="text1" w:themeTint="FF" w:themeShade="FF"/>
          <w:sz w:val="22"/>
          <w:szCs w:val="22"/>
        </w:rPr>
        <w:t>Scikit-image</w:t>
      </w:r>
      <w:r w:rsidRPr="40C41E35" w:rsidR="003253BE">
        <w:rPr>
          <w:rFonts w:ascii="Arial Nova" w:hAnsi="Arial Nova" w:eastAsia="Arial Nova" w:cs="Arial Nova"/>
          <w:color w:val="000000" w:themeColor="text1" w:themeTint="FF" w:themeShade="FF"/>
          <w:sz w:val="22"/>
          <w:szCs w:val="22"/>
        </w:rPr>
        <w:t xml:space="preserve"> was used for image thresholding</w:t>
      </w:r>
      <w:r w:rsidRPr="40C41E35" w:rsidR="003253BE">
        <w:rPr>
          <w:rFonts w:ascii="Arial Nova" w:hAnsi="Arial Nova" w:eastAsia="Arial Nova" w:cs="Arial Nova"/>
          <w:color w:val="000000" w:themeColor="text1" w:themeTint="FF" w:themeShade="FF"/>
          <w:sz w:val="22"/>
          <w:szCs w:val="22"/>
        </w:rPr>
        <w:t xml:space="preserve">: 0ften, we needed to perform thresholding only on a specific segment of an image; we could pass the “masked” parts of the image directly to the threshold functions in </w:t>
      </w:r>
      <w:r w:rsidRPr="40C41E35" w:rsidR="003253BE">
        <w:rPr>
          <w:rFonts w:ascii="Arial Nova" w:hAnsi="Arial Nova" w:eastAsia="Arial Nova" w:cs="Arial Nova"/>
          <w:i w:val="1"/>
          <w:iCs w:val="1"/>
          <w:color w:val="000000" w:themeColor="text1" w:themeTint="FF" w:themeShade="FF"/>
          <w:sz w:val="22"/>
          <w:szCs w:val="22"/>
        </w:rPr>
        <w:t>Scikit-image</w:t>
      </w:r>
      <w:r w:rsidRPr="40C41E35" w:rsidR="003253BE">
        <w:rPr>
          <w:rFonts w:ascii="Arial Nova" w:hAnsi="Arial Nova" w:eastAsia="Arial Nova" w:cs="Arial Nova"/>
          <w:color w:val="000000" w:themeColor="text1" w:themeTint="FF" w:themeShade="FF"/>
          <w:sz w:val="22"/>
          <w:szCs w:val="22"/>
        </w:rPr>
        <w:t xml:space="preserve"> without any further formatting of the data.</w:t>
      </w:r>
    </w:p>
    <w:p w:rsidRPr="00776EF5" w:rsidR="003253BE" w:rsidP="40C41E35" w:rsidRDefault="003253BE" w14:paraId="7D83FAB8" w14:textId="77777777" w14:noSpellErr="1">
      <w:pPr>
        <w:jc w:val="both"/>
        <w:rPr>
          <w:rFonts w:ascii="Arial Nova" w:hAnsi="Arial Nova" w:eastAsia="Arial Nova" w:cs="Arial Nova"/>
          <w:sz w:val="22"/>
          <w:szCs w:val="22"/>
        </w:rPr>
      </w:pPr>
    </w:p>
    <w:p w:rsidRPr="00776EF5" w:rsidR="003253BE" w:rsidP="40C41E35" w:rsidRDefault="003253BE" w14:paraId="4B3656F6" w14:textId="77777777"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 xml:space="preserve">An Object-Oriented Programming (OOP) approach was used to orchestrate the various steps of image analysis.  Different image types each had their own class, with custom measurement and data storage methods for each.  An Experiment class was used to organize the various images present in an image.  It also included methods that measured the various images present and handled </w:t>
      </w:r>
      <w:r w:rsidRPr="40C41E35" w:rsidR="003253BE">
        <w:rPr>
          <w:rFonts w:ascii="Arial Nova" w:hAnsi="Arial Nova" w:eastAsia="Arial Nova" w:cs="Arial Nova"/>
          <w:color w:val="000000" w:themeColor="text1" w:themeTint="FF" w:themeShade="FF"/>
          <w:sz w:val="22"/>
          <w:szCs w:val="22"/>
        </w:rPr>
        <w:t>Biodock</w:t>
      </w:r>
      <w:r w:rsidRPr="40C41E35" w:rsidR="003253BE">
        <w:rPr>
          <w:rFonts w:ascii="Arial Nova" w:hAnsi="Arial Nova" w:eastAsia="Arial Nova" w:cs="Arial Nova"/>
          <w:color w:val="000000" w:themeColor="text1" w:themeTint="FF" w:themeShade="FF"/>
          <w:sz w:val="22"/>
          <w:szCs w:val="22"/>
        </w:rPr>
        <w:t xml:space="preserve"> API calls.  OOP made development smooth, as custom functionality was built around the elements of the OBSC </w:t>
      </w:r>
      <w:r w:rsidRPr="40C41E35" w:rsidR="003253BE">
        <w:rPr>
          <w:rFonts w:ascii="Arial Nova" w:hAnsi="Arial Nova" w:eastAsia="Arial Nova" w:cs="Arial Nova"/>
          <w:color w:val="000000" w:themeColor="text1" w:themeTint="FF" w:themeShade="FF"/>
          <w:sz w:val="22"/>
          <w:szCs w:val="22"/>
        </w:rPr>
        <w:t>assay</w:t>
      </w:r>
      <w:r w:rsidRPr="40C41E35" w:rsidR="003253BE">
        <w:rPr>
          <w:rFonts w:ascii="Arial Nova" w:hAnsi="Arial Nova" w:eastAsia="Arial Nova" w:cs="Arial Nova"/>
          <w:color w:val="000000" w:themeColor="text1" w:themeTint="FF" w:themeShade="FF"/>
          <w:sz w:val="22"/>
          <w:szCs w:val="22"/>
        </w:rPr>
        <w:t>.</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color w:val="000000" w:themeColor="text1" w:themeTint="FF" w:themeShade="FF"/>
          <w:sz w:val="22"/>
          <w:szCs w:val="22"/>
        </w:rPr>
        <w:t>Individual methods could be tweaked in class definitions without altering the overall performance of the pipeline.</w:t>
      </w:r>
    </w:p>
    <w:p w:rsidRPr="00776EF5" w:rsidR="003253BE" w:rsidP="40C41E35" w:rsidRDefault="003253BE" w14:paraId="7EB2E76A" w14:textId="77777777" w14:noSpellErr="1">
      <w:pPr>
        <w:jc w:val="both"/>
        <w:rPr>
          <w:rFonts w:ascii="Arial Nova" w:hAnsi="Arial Nova" w:eastAsia="Arial Nova" w:cs="Arial Nova"/>
          <w:sz w:val="22"/>
          <w:szCs w:val="22"/>
        </w:rPr>
      </w:pPr>
    </w:p>
    <w:p w:rsidR="003253BE" w:rsidP="40C41E35" w:rsidRDefault="003253BE" w14:paraId="3064DBB9" w14:textId="4B07F984">
      <w:pPr>
        <w:jc w:val="both"/>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xml:space="preserve">We used </w:t>
      </w:r>
      <w:r w:rsidRPr="40C41E35" w:rsidR="003253BE">
        <w:rPr>
          <w:rFonts w:ascii="Arial Nova" w:hAnsi="Arial Nova" w:eastAsia="Arial Nova" w:cs="Arial Nova"/>
          <w:color w:val="000000" w:themeColor="text1" w:themeTint="FF" w:themeShade="FF"/>
          <w:sz w:val="22"/>
          <w:szCs w:val="22"/>
        </w:rPr>
        <w:t>Biodock</w:t>
      </w:r>
      <w:r w:rsidRPr="40C41E35" w:rsidR="003253BE">
        <w:rPr>
          <w:rFonts w:ascii="Arial Nova" w:hAnsi="Arial Nova" w:eastAsia="Arial Nova" w:cs="Arial Nova"/>
          <w:color w:val="000000" w:themeColor="text1" w:themeTint="FF" w:themeShade="FF"/>
          <w:sz w:val="22"/>
          <w:szCs w:val="22"/>
        </w:rPr>
        <w:t xml:space="preserve"> to train a</w:t>
      </w:r>
      <w:r w:rsidRPr="40C41E35" w:rsidR="003253BE">
        <w:rPr>
          <w:rFonts w:ascii="Arial Nova" w:hAnsi="Arial Nova" w:eastAsia="Arial Nova" w:cs="Arial Nova"/>
          <w:color w:val="000000" w:themeColor="text1" w:themeTint="FF" w:themeShade="FF"/>
          <w:sz w:val="22"/>
          <w:szCs w:val="22"/>
        </w:rPr>
        <w:t>n</w:t>
      </w:r>
      <w:r w:rsidRPr="40C41E35" w:rsidR="003253BE">
        <w:rPr>
          <w:rFonts w:ascii="Arial Nova" w:hAnsi="Arial Nova" w:eastAsia="Arial Nova" w:cs="Arial Nova"/>
          <w:color w:val="000000" w:themeColor="text1" w:themeTint="FF" w:themeShade="FF"/>
          <w:sz w:val="22"/>
          <w:szCs w:val="22"/>
        </w:rPr>
        <w:t xml:space="preserve"> ML model </w:t>
      </w:r>
      <w:r w:rsidRPr="40C41E35" w:rsidR="003253BE">
        <w:rPr>
          <w:rFonts w:ascii="Arial Nova" w:hAnsi="Arial Nova" w:eastAsia="Arial Nova" w:cs="Arial Nova"/>
          <w:color w:val="000000" w:themeColor="text1" w:themeTint="FF" w:themeShade="FF"/>
          <w:sz w:val="22"/>
          <w:szCs w:val="22"/>
        </w:rPr>
        <w:t>to</w:t>
      </w:r>
      <w:r w:rsidRPr="40C41E35" w:rsidR="003253BE">
        <w:rPr>
          <w:rFonts w:ascii="Arial Nova" w:hAnsi="Arial Nova" w:eastAsia="Arial Nova" w:cs="Arial Nova"/>
          <w:color w:val="000000" w:themeColor="text1" w:themeTint="FF" w:themeShade="FF"/>
          <w:sz w:val="22"/>
          <w:szCs w:val="22"/>
        </w:rPr>
        <w:t xml:space="preserve"> </w:t>
      </w:r>
      <w:r w:rsidRPr="40C41E35" w:rsidR="11ECAE53">
        <w:rPr>
          <w:rFonts w:ascii="Arial Nova" w:hAnsi="Arial Nova" w:eastAsia="Arial Nova" w:cs="Arial Nova"/>
          <w:color w:val="000000" w:themeColor="text1" w:themeTint="FF" w:themeShade="FF"/>
          <w:sz w:val="22"/>
          <w:szCs w:val="22"/>
        </w:rPr>
        <w:t>recognize</w:t>
      </w:r>
      <w:r w:rsidRPr="40C41E35" w:rsidR="003253BE">
        <w:rPr>
          <w:rFonts w:ascii="Arial Nova" w:hAnsi="Arial Nova" w:eastAsia="Arial Nova" w:cs="Arial Nova"/>
          <w:color w:val="000000" w:themeColor="text1" w:themeTint="FF" w:themeShade="FF"/>
          <w:sz w:val="22"/>
          <w:szCs w:val="22"/>
        </w:rPr>
        <w:t xml:space="preserve"> OBSCs in grayscale images.  </w:t>
      </w:r>
      <w:r w:rsidRPr="40C41E35" w:rsidR="003253BE">
        <w:rPr>
          <w:rFonts w:ascii="Arial Nova" w:hAnsi="Arial Nova" w:eastAsia="Arial Nova" w:cs="Arial Nova"/>
          <w:color w:val="000000" w:themeColor="text1" w:themeTint="FF" w:themeShade="FF"/>
          <w:sz w:val="22"/>
          <w:szCs w:val="22"/>
        </w:rPr>
        <w:t>Biodock</w:t>
      </w:r>
      <w:r w:rsidRPr="40C41E35" w:rsidR="003253BE">
        <w:rPr>
          <w:rFonts w:ascii="Arial Nova" w:hAnsi="Arial Nova" w:eastAsia="Arial Nova" w:cs="Arial Nova"/>
          <w:color w:val="000000" w:themeColor="text1" w:themeTint="FF" w:themeShade="FF"/>
          <w:sz w:val="22"/>
          <w:szCs w:val="22"/>
        </w:rPr>
        <w:t xml:space="preserve"> guides users through multiple rounds of labeling and testing.  Our final ML model was trained on 110 images </w:t>
      </w:r>
      <w:r w:rsidRPr="40C41E35" w:rsidR="003253BE">
        <w:rPr>
          <w:rFonts w:ascii="Arial Nova" w:hAnsi="Arial Nova" w:eastAsia="Arial Nova" w:cs="Arial Nova"/>
          <w:color w:val="000000" w:themeColor="text1" w:themeTint="FF" w:themeShade="FF"/>
          <w:sz w:val="22"/>
          <w:szCs w:val="22"/>
        </w:rPr>
        <w:t>containing</w:t>
      </w:r>
      <w:r w:rsidRPr="40C41E35" w:rsidR="003253BE">
        <w:rPr>
          <w:rFonts w:ascii="Arial Nova" w:hAnsi="Arial Nova" w:eastAsia="Arial Nova" w:cs="Arial Nova"/>
          <w:color w:val="000000" w:themeColor="text1" w:themeTint="FF" w:themeShade="FF"/>
          <w:sz w:val="22"/>
          <w:szCs w:val="22"/>
        </w:rPr>
        <w:t xml:space="preserve"> 1037 OBSCs, all images being gathered from experiments that were not part of the data set used for validation in this paper. 99 images were used for model training, while 11 were reserved for model validation.  The following data augmentations were applied: random horizontal flip, random vertical flip, random brightness, random contrast, random rotation, and random rescale.  These augmentations improved the robustness of the resultant ML model when applied to new datasets.  Contrast normalization was also applied.  Images were uploaded to </w:t>
      </w:r>
      <w:r w:rsidRPr="40C41E35" w:rsidR="003253BE">
        <w:rPr>
          <w:rFonts w:ascii="Arial Nova" w:hAnsi="Arial Nova" w:eastAsia="Arial Nova" w:cs="Arial Nova"/>
          <w:color w:val="000000" w:themeColor="text1" w:themeTint="FF" w:themeShade="FF"/>
          <w:sz w:val="22"/>
          <w:szCs w:val="22"/>
        </w:rPr>
        <w:t>Biodock</w:t>
      </w:r>
      <w:r w:rsidRPr="40C41E35" w:rsidR="003253BE">
        <w:rPr>
          <w:rFonts w:ascii="Arial Nova" w:hAnsi="Arial Nova" w:eastAsia="Arial Nova" w:cs="Arial Nova"/>
          <w:color w:val="000000" w:themeColor="text1" w:themeTint="FF" w:themeShade="FF"/>
          <w:sz w:val="22"/>
          <w:szCs w:val="22"/>
        </w:rPr>
        <w:t xml:space="preserve"> via their API protocol.  API was also used to </w:t>
      </w:r>
      <w:r w:rsidRPr="40C41E35" w:rsidR="003253BE">
        <w:rPr>
          <w:rFonts w:ascii="Arial Nova" w:hAnsi="Arial Nova" w:eastAsia="Arial Nova" w:cs="Arial Nova"/>
          <w:color w:val="000000" w:themeColor="text1" w:themeTint="FF" w:themeShade="FF"/>
          <w:sz w:val="22"/>
          <w:szCs w:val="22"/>
        </w:rPr>
        <w:t>monitor</w:t>
      </w:r>
      <w:r w:rsidRPr="40C41E35" w:rsidR="003253BE">
        <w:rPr>
          <w:rFonts w:ascii="Arial Nova" w:hAnsi="Arial Nova" w:eastAsia="Arial Nova" w:cs="Arial Nova"/>
          <w:color w:val="000000" w:themeColor="text1" w:themeTint="FF" w:themeShade="FF"/>
          <w:sz w:val="22"/>
          <w:szCs w:val="22"/>
        </w:rPr>
        <w:t xml:space="preserve"> the progress of new mask generation and to download mask results when they were ready.  </w:t>
      </w:r>
      <w:r w:rsidRPr="40C41E35" w:rsidR="003253BE">
        <w:rPr>
          <w:rFonts w:ascii="Arial Nova" w:hAnsi="Arial Nova" w:eastAsia="Arial Nova" w:cs="Arial Nova"/>
          <w:color w:val="000000" w:themeColor="text1" w:themeTint="FF" w:themeShade="FF"/>
          <w:sz w:val="22"/>
          <w:szCs w:val="22"/>
        </w:rPr>
        <w:t>Biodock</w:t>
      </w:r>
      <w:r w:rsidRPr="40C41E35" w:rsidR="003253BE">
        <w:rPr>
          <w:rFonts w:ascii="Arial Nova" w:hAnsi="Arial Nova" w:eastAsia="Arial Nova" w:cs="Arial Nova"/>
          <w:color w:val="000000" w:themeColor="text1" w:themeTint="FF" w:themeShade="FF"/>
          <w:sz w:val="22"/>
          <w:szCs w:val="22"/>
        </w:rPr>
        <w:t xml:space="preserve"> provides a UI for reviewing masks and editing and errors.  Our pipeline allowed users to verify the results on </w:t>
      </w:r>
      <w:r w:rsidRPr="40C41E35" w:rsidR="003253BE">
        <w:rPr>
          <w:rFonts w:ascii="Arial Nova" w:hAnsi="Arial Nova" w:eastAsia="Arial Nova" w:cs="Arial Nova"/>
          <w:color w:val="000000" w:themeColor="text1" w:themeTint="FF" w:themeShade="FF"/>
          <w:sz w:val="22"/>
          <w:szCs w:val="22"/>
        </w:rPr>
        <w:t>Biodock</w:t>
      </w:r>
      <w:r w:rsidRPr="40C41E35" w:rsidR="003253BE">
        <w:rPr>
          <w:rFonts w:ascii="Arial Nova" w:hAnsi="Arial Nova" w:eastAsia="Arial Nova" w:cs="Arial Nova"/>
          <w:color w:val="000000" w:themeColor="text1" w:themeTint="FF" w:themeShade="FF"/>
          <w:sz w:val="22"/>
          <w:szCs w:val="22"/>
        </w:rPr>
        <w:t xml:space="preserve"> and make any necessary edits before downloading the OBSC masks.</w:t>
      </w:r>
    </w:p>
    <w:p w:rsidR="003253BE" w:rsidP="40C41E35" w:rsidRDefault="003253BE" w14:paraId="284E189B" w14:textId="77777777" w14:noSpellErr="1">
      <w:pPr>
        <w:jc w:val="both"/>
        <w:rPr>
          <w:rFonts w:ascii="Arial Nova" w:hAnsi="Arial Nova" w:eastAsia="Arial Nova" w:cs="Arial Nova"/>
          <w:color w:val="000000"/>
          <w:sz w:val="22"/>
          <w:szCs w:val="22"/>
        </w:rPr>
      </w:pPr>
    </w:p>
    <w:p w:rsidR="003253BE" w:rsidP="40C41E35" w:rsidRDefault="003253BE" w14:paraId="5712C853" w14:textId="77777777" w14:noSpellErr="1">
      <w:pPr>
        <w:jc w:val="both"/>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OBSC masks were sorted into separate wells based on the location of each mask</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color w:val="000000" w:themeColor="text1" w:themeTint="FF" w:themeShade="FF"/>
          <w:sz w:val="22"/>
          <w:szCs w:val="22"/>
        </w:rPr>
        <w:t xml:space="preserve">This </w:t>
      </w:r>
      <w:r w:rsidRPr="40C41E35" w:rsidR="003253BE">
        <w:rPr>
          <w:rFonts w:ascii="Arial Nova" w:hAnsi="Arial Nova" w:eastAsia="Arial Nova" w:cs="Arial Nova"/>
          <w:color w:val="000000" w:themeColor="text1" w:themeTint="FF" w:themeShade="FF"/>
          <w:sz w:val="22"/>
          <w:szCs w:val="22"/>
        </w:rPr>
        <w:t>accomplished</w:t>
      </w:r>
      <w:r w:rsidRPr="40C41E35" w:rsidR="003253BE">
        <w:rPr>
          <w:rFonts w:ascii="Arial Nova" w:hAnsi="Arial Nova" w:eastAsia="Arial Nova" w:cs="Arial Nova"/>
          <w:color w:val="000000" w:themeColor="text1" w:themeTint="FF" w:themeShade="FF"/>
          <w:sz w:val="22"/>
          <w:szCs w:val="22"/>
        </w:rPr>
        <w:t xml:space="preserve"> by dividing the image into a grid, since the absolute locations of the wells were consistent from image to image</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color w:val="000000" w:themeColor="text1" w:themeTint="FF" w:themeShade="FF"/>
          <w:sz w:val="22"/>
          <w:szCs w:val="22"/>
        </w:rPr>
        <w:t>The top mask in each well was measured before the bottom mask</w:t>
      </w:r>
      <w:r w:rsidRPr="40C41E35" w:rsidR="003253BE">
        <w:rPr>
          <w:rFonts w:ascii="Arial Nova" w:hAnsi="Arial Nova" w:eastAsia="Arial Nova" w:cs="Arial Nova"/>
          <w:color w:val="000000" w:themeColor="text1" w:themeTint="FF" w:themeShade="FF"/>
          <w:sz w:val="22"/>
          <w:szCs w:val="22"/>
        </w:rPr>
        <w:t xml:space="preserve">.  </w:t>
      </w:r>
    </w:p>
    <w:p w:rsidR="003253BE" w:rsidP="40C41E35" w:rsidRDefault="003253BE" w14:paraId="069C0613" w14:textId="77777777" w14:noSpellErr="1">
      <w:pPr>
        <w:jc w:val="both"/>
        <w:rPr>
          <w:rFonts w:ascii="Arial Nova" w:hAnsi="Arial Nova" w:eastAsia="Arial Nova" w:cs="Arial Nova"/>
          <w:color w:val="000000"/>
          <w:sz w:val="22"/>
          <w:szCs w:val="22"/>
        </w:rPr>
      </w:pPr>
    </w:p>
    <w:p w:rsidR="003253BE" w:rsidP="40C41E35" w:rsidRDefault="003253BE" w14:paraId="2AA1CC4A" w14:textId="77777777" w14:noSpellErr="1">
      <w:pPr>
        <w:jc w:val="both"/>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For OBSC toxicity experiments, the OBSC masks were used to directly measure average fluorescence from each OBSC.</w:t>
      </w:r>
    </w:p>
    <w:p w:rsidR="003253BE" w:rsidP="40C41E35" w:rsidRDefault="003253BE" w14:paraId="1C26EE01" w14:textId="77777777" w14:noSpellErr="1">
      <w:pPr>
        <w:jc w:val="both"/>
        <w:rPr>
          <w:rFonts w:ascii="Arial Nova" w:hAnsi="Arial Nova" w:eastAsia="Arial Nova" w:cs="Arial Nova"/>
          <w:color w:val="000000"/>
          <w:sz w:val="22"/>
          <w:szCs w:val="22"/>
        </w:rPr>
      </w:pPr>
    </w:p>
    <w:p w:rsidRPr="0053130E" w:rsidR="003253BE" w:rsidP="40C41E35" w:rsidRDefault="003253BE" w14:paraId="1C855BE8" w14:textId="77777777"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For Tumor toxicity experiments, the OBSC masks had to be split in two</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color w:val="000000" w:themeColor="text1" w:themeTint="FF" w:themeShade="FF"/>
          <w:sz w:val="22"/>
          <w:szCs w:val="22"/>
        </w:rPr>
        <w:t xml:space="preserve">This was </w:t>
      </w:r>
      <w:r w:rsidRPr="40C41E35" w:rsidR="003253BE">
        <w:rPr>
          <w:rFonts w:ascii="Arial Nova" w:hAnsi="Arial Nova" w:eastAsia="Arial Nova" w:cs="Arial Nova"/>
          <w:color w:val="000000" w:themeColor="text1" w:themeTint="FF" w:themeShade="FF"/>
          <w:sz w:val="22"/>
          <w:szCs w:val="22"/>
        </w:rPr>
        <w:t>accomplished</w:t>
      </w:r>
      <w:r w:rsidRPr="40C41E35" w:rsidR="003253BE">
        <w:rPr>
          <w:rFonts w:ascii="Arial Nova" w:hAnsi="Arial Nova" w:eastAsia="Arial Nova" w:cs="Arial Nova"/>
          <w:color w:val="000000" w:themeColor="text1" w:themeTint="FF" w:themeShade="FF"/>
          <w:sz w:val="22"/>
          <w:szCs w:val="22"/>
        </w:rPr>
        <w:t xml:space="preserve"> by using a function in </w:t>
      </w:r>
      <w:r w:rsidRPr="40C41E35" w:rsidR="003253BE">
        <w:rPr>
          <w:rFonts w:ascii="Arial Nova" w:hAnsi="Arial Nova" w:eastAsia="Arial Nova" w:cs="Arial Nova"/>
          <w:i w:val="1"/>
          <w:iCs w:val="1"/>
          <w:color w:val="000000" w:themeColor="text1" w:themeTint="FF" w:themeShade="FF"/>
          <w:sz w:val="22"/>
          <w:szCs w:val="22"/>
        </w:rPr>
        <w:t>OpenCV</w:t>
      </w:r>
      <w:r w:rsidRPr="40C41E35" w:rsidR="003253BE">
        <w:rPr>
          <w:rFonts w:ascii="Arial Nova" w:hAnsi="Arial Nova" w:eastAsia="Arial Nova" w:cs="Arial Nova"/>
          <w:color w:val="000000" w:themeColor="text1" w:themeTint="FF" w:themeShade="FF"/>
          <w:sz w:val="22"/>
          <w:szCs w:val="22"/>
        </w:rPr>
        <w:t xml:space="preserve"> that found rotated bounding boxes</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color w:val="000000" w:themeColor="text1" w:themeTint="FF" w:themeShade="FF"/>
          <w:sz w:val="22"/>
          <w:szCs w:val="22"/>
        </w:rPr>
        <w:t xml:space="preserve">A line was drawn down the center of these </w:t>
      </w:r>
      <w:r w:rsidRPr="40C41E35" w:rsidR="003253BE">
        <w:rPr>
          <w:rFonts w:ascii="Arial Nova" w:hAnsi="Arial Nova" w:eastAsia="Arial Nova" w:cs="Arial Nova"/>
          <w:color w:val="000000" w:themeColor="text1" w:themeTint="FF" w:themeShade="FF"/>
          <w:sz w:val="22"/>
          <w:szCs w:val="22"/>
        </w:rPr>
        <w:t>rotated</w:t>
      </w:r>
      <w:r w:rsidRPr="40C41E35" w:rsidR="003253BE">
        <w:rPr>
          <w:rFonts w:ascii="Arial Nova" w:hAnsi="Arial Nova" w:eastAsia="Arial Nova" w:cs="Arial Nova"/>
          <w:color w:val="000000" w:themeColor="text1" w:themeTint="FF" w:themeShade="FF"/>
          <w:sz w:val="22"/>
          <w:szCs w:val="22"/>
        </w:rPr>
        <w:t xml:space="preserve"> boxes, dividing the OBSC mask into two hemispheres</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color w:val="000000" w:themeColor="text1" w:themeTint="FF" w:themeShade="FF"/>
          <w:sz w:val="22"/>
          <w:szCs w:val="22"/>
        </w:rPr>
        <w:t xml:space="preserve">Each hemisphere was analyzed separately by Triangle Thresholding, </w:t>
      </w:r>
      <w:r w:rsidRPr="40C41E35" w:rsidR="003253BE">
        <w:rPr>
          <w:rFonts w:ascii="Arial Nova" w:hAnsi="Arial Nova" w:eastAsia="Arial Nova" w:cs="Arial Nova"/>
          <w:color w:val="000000" w:themeColor="text1" w:themeTint="FF" w:themeShade="FF"/>
          <w:sz w:val="22"/>
          <w:szCs w:val="22"/>
        </w:rPr>
        <w:t>determining</w:t>
      </w:r>
      <w:r w:rsidRPr="40C41E35" w:rsidR="003253BE">
        <w:rPr>
          <w:rFonts w:ascii="Arial Nova" w:hAnsi="Arial Nova" w:eastAsia="Arial Nova" w:cs="Arial Nova"/>
          <w:color w:val="000000" w:themeColor="text1" w:themeTint="FF" w:themeShade="FF"/>
          <w:sz w:val="22"/>
          <w:szCs w:val="22"/>
        </w:rPr>
        <w:t xml:space="preserve"> a threshold for each hemisphere that distinguished the tumor signal from the background.</w:t>
      </w:r>
    </w:p>
    <w:p w:rsidR="003253BE" w:rsidP="40C41E35" w:rsidRDefault="003253BE" w14:paraId="432387F5" w14:textId="77777777" w14:noSpellErr="1">
      <w:pPr>
        <w:pStyle w:val="Heading2"/>
        <w:jc w:val="both"/>
        <w:rPr>
          <w:rFonts w:ascii="Arial Nova" w:hAnsi="Arial Nova" w:eastAsia="Arial Nova" w:cs="Arial Nova"/>
          <w:sz w:val="22"/>
          <w:szCs w:val="22"/>
        </w:rPr>
      </w:pPr>
      <w:r w:rsidRPr="40C41E35" w:rsidR="003253BE">
        <w:rPr>
          <w:rFonts w:ascii="Arial Nova" w:hAnsi="Arial Nova" w:eastAsia="Arial Nova" w:cs="Arial Nova"/>
          <w:sz w:val="22"/>
          <w:szCs w:val="22"/>
        </w:rPr>
        <w:t>Survival Calculation</w:t>
      </w:r>
    </w:p>
    <w:p w:rsidRPr="002A792E" w:rsidR="003253BE" w:rsidP="40C41E35" w:rsidRDefault="003253BE" w14:paraId="45239014" w14:textId="13B6F3F4">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 xml:space="preserve">Raw image analysis results were loaded into R as data frames, which enabled calculations across </w:t>
      </w:r>
      <w:r w:rsidRPr="40C41E35" w:rsidR="003253BE">
        <w:rPr>
          <w:rFonts w:ascii="Arial Nova" w:hAnsi="Arial Nova" w:eastAsia="Arial Nova" w:cs="Arial Nova"/>
          <w:color w:val="000000" w:themeColor="text1" w:themeTint="FF" w:themeShade="FF"/>
          <w:sz w:val="22"/>
          <w:szCs w:val="22"/>
        </w:rPr>
        <w:t>large amounts</w:t>
      </w:r>
      <w:r w:rsidRPr="40C41E35" w:rsidR="003253BE">
        <w:rPr>
          <w:rFonts w:ascii="Arial Nova" w:hAnsi="Arial Nova" w:eastAsia="Arial Nova" w:cs="Arial Nova"/>
          <w:color w:val="000000" w:themeColor="text1" w:themeTint="FF" w:themeShade="FF"/>
          <w:sz w:val="22"/>
          <w:szCs w:val="22"/>
        </w:rPr>
        <w:t xml:space="preserve"> of data.  For tumor toxicity assays, percent survival was calculated by finding the average BLI signal from the negative control group (Dose = 0) and dividing every individual BLI result by that value.  This means the negative control group had a defined mean survival of 100%, with other responses being measured </w:t>
      </w:r>
      <w:r w:rsidRPr="40C41E35" w:rsidR="003253BE">
        <w:rPr>
          <w:rFonts w:ascii="Arial Nova" w:hAnsi="Arial Nova" w:eastAsia="Arial Nova" w:cs="Arial Nova"/>
          <w:color w:val="000000" w:themeColor="text1" w:themeTint="FF" w:themeShade="FF"/>
          <w:sz w:val="22"/>
          <w:szCs w:val="22"/>
        </w:rPr>
        <w:t>relative</w:t>
      </w:r>
      <w:r w:rsidRPr="40C41E35" w:rsidR="003253BE">
        <w:rPr>
          <w:rFonts w:ascii="Arial Nova" w:hAnsi="Arial Nova" w:eastAsia="Arial Nova" w:cs="Arial Nova"/>
          <w:color w:val="000000" w:themeColor="text1" w:themeTint="FF" w:themeShade="FF"/>
          <w:sz w:val="22"/>
          <w:szCs w:val="22"/>
        </w:rPr>
        <w:t xml:space="preserve"> to the negative control.  OBSC toxicity assays include both a negative and positive control.  The mean of the negative control group was subtracted from every individual fluorescent signal value, and then every signal was divided by the mean of the positive control group post-subtraction.  This produced percent killing results, so subtracting this value from 100 yielded percent survival.  An OBSC with a fluorescent signal equal to the mean of the negative control group would be interpreted as 100% survival, and </w:t>
      </w:r>
      <w:r w:rsidRPr="40C41E35" w:rsidR="003253BE">
        <w:rPr>
          <w:rFonts w:ascii="Arial Nova" w:hAnsi="Arial Nova" w:eastAsia="Arial Nova" w:cs="Arial Nova"/>
          <w:color w:val="000000" w:themeColor="text1" w:themeTint="FF" w:themeShade="FF"/>
          <w:sz w:val="22"/>
          <w:szCs w:val="22"/>
        </w:rPr>
        <w:t>a</w:t>
      </w:r>
      <w:r w:rsidRPr="40C41E35" w:rsidR="63391FE8">
        <w:rPr>
          <w:rFonts w:ascii="Arial Nova" w:hAnsi="Arial Nova" w:eastAsia="Arial Nova" w:cs="Arial Nova"/>
          <w:color w:val="000000" w:themeColor="text1" w:themeTint="FF" w:themeShade="FF"/>
          <w:sz w:val="22"/>
          <w:szCs w:val="22"/>
        </w:rPr>
        <w:t>n</w:t>
      </w:r>
      <w:r w:rsidRPr="40C41E35" w:rsidR="003253BE">
        <w:rPr>
          <w:rFonts w:ascii="Arial Nova" w:hAnsi="Arial Nova" w:eastAsia="Arial Nova" w:cs="Arial Nova"/>
          <w:color w:val="000000" w:themeColor="text1" w:themeTint="FF" w:themeShade="FF"/>
          <w:sz w:val="22"/>
          <w:szCs w:val="22"/>
        </w:rPr>
        <w:t xml:space="preserve"> OBSC</w:t>
      </w:r>
      <w:r w:rsidRPr="40C41E35" w:rsidR="003253BE">
        <w:rPr>
          <w:rFonts w:ascii="Arial Nova" w:hAnsi="Arial Nova" w:eastAsia="Arial Nova" w:cs="Arial Nova"/>
          <w:color w:val="000000" w:themeColor="text1" w:themeTint="FF" w:themeShade="FF"/>
          <w:sz w:val="22"/>
          <w:szCs w:val="22"/>
        </w:rPr>
        <w:t xml:space="preserve"> with a signal equal to the mean of the positive control would </w:t>
      </w:r>
      <w:r w:rsidRPr="40C41E35" w:rsidR="003253BE">
        <w:rPr>
          <w:rFonts w:ascii="Arial Nova" w:hAnsi="Arial Nova" w:eastAsia="Arial Nova" w:cs="Arial Nova"/>
          <w:color w:val="000000" w:themeColor="text1" w:themeTint="FF" w:themeShade="FF"/>
          <w:sz w:val="22"/>
          <w:szCs w:val="22"/>
        </w:rPr>
        <w:t>evaluate to</w:t>
      </w:r>
      <w:r w:rsidRPr="40C41E35" w:rsidR="003253BE">
        <w:rPr>
          <w:rFonts w:ascii="Arial Nova" w:hAnsi="Arial Nova" w:eastAsia="Arial Nova" w:cs="Arial Nova"/>
          <w:color w:val="000000" w:themeColor="text1" w:themeTint="FF" w:themeShade="FF"/>
          <w:sz w:val="22"/>
          <w:szCs w:val="22"/>
        </w:rPr>
        <w:t xml:space="preserve"> 0% survival.  A signal halfway in between the negative and positive means would become 50% survival.</w:t>
      </w:r>
    </w:p>
    <w:p w:rsidR="003253BE" w:rsidP="40C41E35" w:rsidRDefault="003253BE" w14:paraId="005B3373" w14:textId="77777777" w14:noSpellErr="1">
      <w:pPr>
        <w:pStyle w:val="Heading2"/>
        <w:jc w:val="both"/>
        <w:rPr>
          <w:rFonts w:ascii="Arial Nova" w:hAnsi="Arial Nova" w:eastAsia="Arial Nova" w:cs="Arial Nova"/>
          <w:sz w:val="22"/>
          <w:szCs w:val="22"/>
        </w:rPr>
      </w:pPr>
      <w:r w:rsidRPr="40C41E35" w:rsidR="003253BE">
        <w:rPr>
          <w:rFonts w:ascii="Arial Nova" w:hAnsi="Arial Nova" w:eastAsia="Arial Nova" w:cs="Arial Nova"/>
          <w:sz w:val="22"/>
          <w:szCs w:val="22"/>
        </w:rPr>
        <w:t>Dose-Response Modeling</w:t>
      </w:r>
    </w:p>
    <w:p w:rsidRPr="002A792E" w:rsidR="003253BE" w:rsidP="40C41E35" w:rsidRDefault="003253BE" w14:paraId="45D170A2" w14:textId="02AB5216"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 xml:space="preserve">Dose Response Models were </w:t>
      </w:r>
      <w:r w:rsidRPr="40C41E35" w:rsidR="003253BE">
        <w:rPr>
          <w:rFonts w:ascii="Arial Nova" w:hAnsi="Arial Nova" w:eastAsia="Arial Nova" w:cs="Arial Nova"/>
          <w:color w:val="000000" w:themeColor="text1" w:themeTint="FF" w:themeShade="FF"/>
          <w:sz w:val="22"/>
          <w:szCs w:val="22"/>
        </w:rPr>
        <w:t>fit</w:t>
      </w:r>
      <w:r w:rsidRPr="40C41E35" w:rsidR="003253BE">
        <w:rPr>
          <w:rFonts w:ascii="Arial Nova" w:hAnsi="Arial Nova" w:eastAsia="Arial Nova" w:cs="Arial Nova"/>
          <w:color w:val="000000" w:themeColor="text1" w:themeTint="FF" w:themeShade="FF"/>
          <w:sz w:val="22"/>
          <w:szCs w:val="22"/>
        </w:rPr>
        <w:t xml:space="preserve"> and selected using the R package </w:t>
      </w:r>
      <w:r w:rsidRPr="40C41E35" w:rsidR="003253BE">
        <w:rPr>
          <w:rFonts w:ascii="Arial Nova" w:hAnsi="Arial Nova" w:eastAsia="Arial Nova" w:cs="Arial Nova"/>
          <w:i w:val="1"/>
          <w:iCs w:val="1"/>
          <w:color w:val="000000" w:themeColor="text1" w:themeTint="FF" w:themeShade="FF"/>
          <w:sz w:val="22"/>
          <w:szCs w:val="22"/>
        </w:rPr>
        <w:t>drc</w:t>
      </w:r>
      <w:r w:rsidRPr="40C41E35" w:rsidR="003253BE">
        <w:rPr>
          <w:rFonts w:ascii="Arial Nova" w:hAnsi="Arial Nova" w:eastAsia="Arial Nova" w:cs="Arial Nova"/>
          <w:color w:val="000000" w:themeColor="text1" w:themeTint="FF" w:themeShade="FF"/>
          <w:sz w:val="22"/>
          <w:szCs w:val="22"/>
        </w:rPr>
        <w:t xml:space="preserve">.  Experiments were sorted into three categories by heuristically evaluating the mean responses.  If any dose group had a mean survival equal to or greater than 110%, it was categorized as </w:t>
      </w:r>
      <w:r w:rsidRPr="40C41E35" w:rsidR="003253BE">
        <w:rPr>
          <w:rFonts w:ascii="Arial Nova" w:hAnsi="Arial Nova" w:eastAsia="Arial Nova" w:cs="Arial Nova"/>
          <w:color w:val="000000" w:themeColor="text1" w:themeTint="FF" w:themeShade="FF"/>
          <w:sz w:val="22"/>
          <w:szCs w:val="22"/>
        </w:rPr>
        <w:t>Growth</w:t>
      </w:r>
      <w:r w:rsidRPr="40C41E35" w:rsidR="003253BE">
        <w:rPr>
          <w:rFonts w:ascii="Arial Nova" w:hAnsi="Arial Nova" w:eastAsia="Arial Nova" w:cs="Arial Nova"/>
          <w:color w:val="000000" w:themeColor="text1" w:themeTint="FF" w:themeShade="FF"/>
          <w:sz w:val="22"/>
          <w:szCs w:val="22"/>
        </w:rPr>
        <w:t xml:space="preserve">.  If there was no growth greater than 110%, the experiment could be </w:t>
      </w:r>
      <w:r w:rsidRPr="40C41E35" w:rsidR="003253BE">
        <w:rPr>
          <w:rFonts w:ascii="Arial Nova" w:hAnsi="Arial Nova" w:eastAsia="Arial Nova" w:cs="Arial Nova"/>
          <w:color w:val="000000" w:themeColor="text1" w:themeTint="FF" w:themeShade="FF"/>
          <w:sz w:val="22"/>
          <w:szCs w:val="22"/>
        </w:rPr>
        <w:t>Plateau</w:t>
      </w:r>
      <w:r w:rsidRPr="40C41E35" w:rsidR="003253BE">
        <w:rPr>
          <w:rFonts w:ascii="Arial Nova" w:hAnsi="Arial Nova" w:eastAsia="Arial Nova" w:cs="Arial Nova"/>
          <w:color w:val="000000" w:themeColor="text1" w:themeTint="FF" w:themeShade="FF"/>
          <w:sz w:val="22"/>
          <w:szCs w:val="22"/>
        </w:rPr>
        <w:t xml:space="preserve"> or Decreasing.  If an experiment had a plateau, where the mean survival did not change more than 15% between three or four dose groups but these dose groups were surrounded by changes &gt;15%, it was categorized as </w:t>
      </w:r>
      <w:r w:rsidRPr="40C41E35" w:rsidR="003253BE">
        <w:rPr>
          <w:rFonts w:ascii="Arial Nova" w:hAnsi="Arial Nova" w:eastAsia="Arial Nova" w:cs="Arial Nova"/>
          <w:color w:val="000000" w:themeColor="text1" w:themeTint="FF" w:themeShade="FF"/>
          <w:sz w:val="22"/>
          <w:szCs w:val="22"/>
        </w:rPr>
        <w:t>Plateau</w:t>
      </w:r>
      <w:r w:rsidRPr="40C41E35" w:rsidR="003253BE">
        <w:rPr>
          <w:rFonts w:ascii="Arial Nova" w:hAnsi="Arial Nova" w:eastAsia="Arial Nova" w:cs="Arial Nova"/>
          <w:color w:val="000000" w:themeColor="text1" w:themeTint="FF" w:themeShade="FF"/>
          <w:sz w:val="22"/>
          <w:szCs w:val="22"/>
        </w:rPr>
        <w:t>.  Any other experiments were categorized as Decreasing.  </w:t>
      </w:r>
    </w:p>
    <w:p w:rsidRPr="002A792E" w:rsidR="003253BE" w:rsidP="40C41E35" w:rsidRDefault="003253BE" w14:paraId="0EDAD6FD" w14:textId="77777777" w14:noSpellErr="1">
      <w:pPr>
        <w:jc w:val="both"/>
        <w:rPr>
          <w:rFonts w:ascii="Arial Nova" w:hAnsi="Arial Nova" w:eastAsia="Arial Nova" w:cs="Arial Nova"/>
          <w:sz w:val="22"/>
          <w:szCs w:val="22"/>
        </w:rPr>
      </w:pPr>
    </w:p>
    <w:p w:rsidRPr="002A792E" w:rsidR="003253BE" w:rsidP="40C41E35" w:rsidRDefault="003253BE" w14:paraId="7C766B7E" w14:textId="77777777"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 xml:space="preserve">This categorization determined which models were considered when searching for a best-fit model.  Each category had a corresponding list of models stored in a separate script.  This allowed for definition of a fixed parameter list and other customizations (note: any parameters </w:t>
      </w:r>
      <w:r w:rsidRPr="40C41E35" w:rsidR="003253BE">
        <w:rPr>
          <w:rFonts w:ascii="Arial Nova" w:hAnsi="Arial Nova" w:eastAsia="Arial Nova" w:cs="Arial Nova"/>
          <w:color w:val="000000" w:themeColor="text1" w:themeTint="FF" w:themeShade="FF"/>
          <w:sz w:val="22"/>
          <w:szCs w:val="22"/>
        </w:rPr>
        <w:t>designated</w:t>
      </w:r>
      <w:r w:rsidRPr="40C41E35" w:rsidR="003253BE">
        <w:rPr>
          <w:rFonts w:ascii="Arial Nova" w:hAnsi="Arial Nova" w:eastAsia="Arial Nova" w:cs="Arial Nova"/>
          <w:color w:val="000000" w:themeColor="text1" w:themeTint="FF" w:themeShade="FF"/>
          <w:sz w:val="22"/>
          <w:szCs w:val="22"/>
        </w:rPr>
        <w:t xml:space="preserve"> as NA were left unfixed and found by the model fitting function </w:t>
      </w:r>
      <w:r w:rsidRPr="40C41E35" w:rsidR="003253BE">
        <w:rPr>
          <w:rFonts w:ascii="Arial Nova" w:hAnsi="Arial Nova" w:eastAsia="Arial Nova" w:cs="Arial Nova"/>
          <w:i w:val="1"/>
          <w:iCs w:val="1"/>
          <w:color w:val="000000" w:themeColor="text1" w:themeTint="FF" w:themeShade="FF"/>
          <w:sz w:val="22"/>
          <w:szCs w:val="22"/>
        </w:rPr>
        <w:t>drm</w:t>
      </w:r>
      <w:r w:rsidRPr="40C41E35" w:rsidR="003253BE">
        <w:rPr>
          <w:rFonts w:ascii="Arial Nova" w:hAnsi="Arial Nova" w:eastAsia="Arial Nova" w:cs="Arial Nova"/>
          <w:color w:val="000000" w:themeColor="text1" w:themeTint="FF" w:themeShade="FF"/>
          <w:sz w:val="22"/>
          <w:szCs w:val="22"/>
        </w:rPr>
        <w:t xml:space="preserve">).  There were </w:t>
      </w:r>
      <w:r w:rsidRPr="40C41E35" w:rsidR="003253BE">
        <w:rPr>
          <w:rFonts w:ascii="Arial Nova" w:hAnsi="Arial Nova" w:eastAsia="Arial Nova" w:cs="Arial Nova"/>
          <w:color w:val="000000" w:themeColor="text1" w:themeTint="FF" w:themeShade="FF"/>
          <w:sz w:val="22"/>
          <w:szCs w:val="22"/>
        </w:rPr>
        <w:t>accompanying</w:t>
      </w:r>
      <w:r w:rsidRPr="40C41E35" w:rsidR="003253BE">
        <w:rPr>
          <w:rFonts w:ascii="Arial Nova" w:hAnsi="Arial Nova" w:eastAsia="Arial Nova" w:cs="Arial Nova"/>
          <w:color w:val="000000" w:themeColor="text1" w:themeTint="FF" w:themeShade="FF"/>
          <w:sz w:val="22"/>
          <w:szCs w:val="22"/>
        </w:rPr>
        <w:t xml:space="preserve"> lists </w:t>
      </w:r>
      <w:r w:rsidRPr="40C41E35" w:rsidR="003253BE">
        <w:rPr>
          <w:rFonts w:ascii="Arial Nova" w:hAnsi="Arial Nova" w:eastAsia="Arial Nova" w:cs="Arial Nova"/>
          <w:color w:val="000000" w:themeColor="text1" w:themeTint="FF" w:themeShade="FF"/>
          <w:sz w:val="22"/>
          <w:szCs w:val="22"/>
        </w:rPr>
        <w:t>containing</w:t>
      </w:r>
      <w:r w:rsidRPr="40C41E35" w:rsidR="003253BE">
        <w:rPr>
          <w:rFonts w:ascii="Arial Nova" w:hAnsi="Arial Nova" w:eastAsia="Arial Nova" w:cs="Arial Nova"/>
          <w:color w:val="000000" w:themeColor="text1" w:themeTint="FF" w:themeShade="FF"/>
          <w:sz w:val="22"/>
          <w:szCs w:val="22"/>
        </w:rPr>
        <w:t xml:space="preserve"> parameter limits for each function</w:t>
      </w:r>
      <w:r w:rsidRPr="40C41E35" w:rsidR="003253BE">
        <w:rPr>
          <w:rFonts w:ascii="Arial Nova" w:hAnsi="Arial Nova" w:eastAsia="Arial Nova" w:cs="Arial Nova"/>
          <w:color w:val="000000" w:themeColor="text1" w:themeTint="FF" w:themeShade="FF"/>
          <w:sz w:val="22"/>
          <w:szCs w:val="22"/>
        </w:rPr>
        <w:t xml:space="preserve">, which bounded the range of </w:t>
      </w:r>
      <w:r w:rsidRPr="40C41E35" w:rsidR="003253BE">
        <w:rPr>
          <w:rFonts w:ascii="Arial Nova" w:hAnsi="Arial Nova" w:eastAsia="Arial Nova" w:cs="Arial Nova"/>
          <w:color w:val="000000" w:themeColor="text1" w:themeTint="FF" w:themeShade="FF"/>
          <w:sz w:val="22"/>
          <w:szCs w:val="22"/>
        </w:rPr>
        <w:t>possible values</w:t>
      </w:r>
      <w:r w:rsidRPr="40C41E35" w:rsidR="003253BE">
        <w:rPr>
          <w:rFonts w:ascii="Arial Nova" w:hAnsi="Arial Nova" w:eastAsia="Arial Nova" w:cs="Arial Nova"/>
          <w:color w:val="000000" w:themeColor="text1" w:themeTint="FF" w:themeShade="FF"/>
          <w:sz w:val="22"/>
          <w:szCs w:val="22"/>
        </w:rPr>
        <w:t xml:space="preserve"> for non-fixed parameters</w:t>
      </w:r>
      <w:r w:rsidRPr="40C41E35" w:rsidR="003253BE">
        <w:rPr>
          <w:rFonts w:ascii="Arial Nova" w:hAnsi="Arial Nova" w:eastAsia="Arial Nova" w:cs="Arial Nova"/>
          <w:color w:val="000000" w:themeColor="text1" w:themeTint="FF" w:themeShade="FF"/>
          <w:sz w:val="22"/>
          <w:szCs w:val="22"/>
        </w:rPr>
        <w:t xml:space="preserve"> (Inf or -Inf meant no limit was imposed).  For Decreasing data, the following </w:t>
      </w:r>
      <w:r w:rsidRPr="40C41E35" w:rsidR="003253BE">
        <w:rPr>
          <w:rFonts w:ascii="Arial Nova" w:hAnsi="Arial Nova" w:eastAsia="Arial Nova" w:cs="Arial Nova"/>
          <w:i w:val="1"/>
          <w:iCs w:val="1"/>
          <w:color w:val="000000" w:themeColor="text1" w:themeTint="FF" w:themeShade="FF"/>
          <w:sz w:val="22"/>
          <w:szCs w:val="22"/>
        </w:rPr>
        <w:t>drc</w:t>
      </w:r>
      <w:r w:rsidRPr="40C41E35" w:rsidR="003253BE">
        <w:rPr>
          <w:rFonts w:ascii="Arial Nova" w:hAnsi="Arial Nova" w:eastAsia="Arial Nova" w:cs="Arial Nova"/>
          <w:color w:val="000000" w:themeColor="text1" w:themeTint="FF" w:themeShade="FF"/>
          <w:sz w:val="22"/>
          <w:szCs w:val="22"/>
        </w:rPr>
        <w:t xml:space="preserve"> models were considered with the customizations described:</w:t>
      </w:r>
    </w:p>
    <w:p w:rsidRPr="002A792E" w:rsidR="003253BE" w:rsidP="40C41E35" w:rsidRDefault="003253BE" w14:paraId="6606BAD4" w14:textId="77777777" w14:noSpellErr="1">
      <w:pPr>
        <w:numPr>
          <w:ilvl w:val="0"/>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LL.4</w:t>
      </w:r>
    </w:p>
    <w:p w:rsidRPr="002A792E" w:rsidR="003253BE" w:rsidP="40C41E35" w:rsidRDefault="003253BE" w14:paraId="2B3A532C" w14:textId="77777777" w14:noSpellErr="1">
      <w:pPr>
        <w:numPr>
          <w:ilvl w:val="1"/>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Parameters</w:t>
      </w:r>
    </w:p>
    <w:p w:rsidRPr="002A792E" w:rsidR="003253BE" w:rsidP="40C41E35" w:rsidRDefault="003253BE" w14:paraId="779597FF"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b (Slope): (1, Inf)</w:t>
      </w:r>
    </w:p>
    <w:p w:rsidRPr="002A792E" w:rsidR="003253BE" w:rsidP="40C41E35" w:rsidRDefault="003253BE" w14:paraId="40F509BF"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Ensured that model would evaluate</w:t>
      </w:r>
    </w:p>
    <w:p w:rsidRPr="002A792E" w:rsidR="003253BE" w:rsidP="40C41E35" w:rsidRDefault="003253BE" w14:paraId="1383C4D3"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 (Asymptote as Dose increases): (0, 1)</w:t>
      </w:r>
    </w:p>
    <w:p w:rsidRPr="002A792E" w:rsidR="003253BE" w:rsidP="40C41E35" w:rsidRDefault="003253BE" w14:paraId="41227D5D"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Ensured that model could not measure growth or predict &lt;0% Survival</w:t>
      </w:r>
    </w:p>
    <w:p w:rsidRPr="002A792E" w:rsidR="003253BE" w:rsidP="40C41E35" w:rsidRDefault="003253BE" w14:paraId="633020CA"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 (Asymptote at Dose = 0): fixed at 1</w:t>
      </w:r>
    </w:p>
    <w:p w:rsidRPr="002A792E" w:rsidR="003253BE" w:rsidP="40C41E35" w:rsidRDefault="003253BE" w14:paraId="4866D494"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Defined survival = 100% at Dose = 0</w:t>
      </w:r>
    </w:p>
    <w:p w:rsidRPr="002A792E" w:rsidR="003253BE" w:rsidP="40C41E35" w:rsidRDefault="003253BE" w14:paraId="2BF5FA86"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 (Dose where inflection point occurred): (0.0001, Inf)</w:t>
      </w:r>
    </w:p>
    <w:p w:rsidRPr="002A792E" w:rsidR="003253BE" w:rsidP="40C41E35" w:rsidRDefault="003253BE" w14:paraId="1698A878"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Ensured that model would evaluate</w:t>
      </w:r>
    </w:p>
    <w:p w:rsidRPr="002A792E" w:rsidR="003253BE" w:rsidP="40C41E35" w:rsidRDefault="003253BE" w14:paraId="7983C980" w14:textId="77777777" w14:noSpellErr="1">
      <w:pPr>
        <w:numPr>
          <w:ilvl w:val="0"/>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W1.4</w:t>
      </w:r>
    </w:p>
    <w:p w:rsidRPr="002A792E" w:rsidR="003253BE" w:rsidP="40C41E35" w:rsidRDefault="003253BE" w14:paraId="4FD61F65" w14:textId="77777777" w14:noSpellErr="1">
      <w:pPr>
        <w:numPr>
          <w:ilvl w:val="1"/>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Parameters</w:t>
      </w:r>
    </w:p>
    <w:p w:rsidRPr="002A792E" w:rsidR="003253BE" w:rsidP="40C41E35" w:rsidRDefault="003253BE" w14:paraId="647F551C"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b (Slope): (1, 50)</w:t>
      </w:r>
    </w:p>
    <w:p w:rsidRPr="002A792E" w:rsidR="003253BE" w:rsidP="40C41E35" w:rsidRDefault="003253BE" w14:paraId="03F0F0D6"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Prevented unreasonably steep slope and ensured that function behaved as expected</w:t>
      </w:r>
    </w:p>
    <w:p w:rsidRPr="002A792E" w:rsidR="003253BE" w:rsidP="40C41E35" w:rsidRDefault="003253BE" w14:paraId="4D53F72A"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 (Asymptote as Dose increases): (0, 1)</w:t>
      </w:r>
    </w:p>
    <w:p w:rsidRPr="002A792E" w:rsidR="003253BE" w:rsidP="40C41E35" w:rsidRDefault="003253BE" w14:paraId="293DF3A8"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Ensured that model could not measure growth or predict &lt;0% Survival</w:t>
      </w:r>
    </w:p>
    <w:p w:rsidRPr="002A792E" w:rsidR="003253BE" w:rsidP="40C41E35" w:rsidRDefault="003253BE" w14:paraId="48B92F00"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 (Asymptote at Dose = 0): fixed at 1</w:t>
      </w:r>
    </w:p>
    <w:p w:rsidRPr="002A792E" w:rsidR="003253BE" w:rsidP="40C41E35" w:rsidRDefault="003253BE" w14:paraId="034CEAF8"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Defined survival = 100% at Dose = 0</w:t>
      </w:r>
    </w:p>
    <w:p w:rsidRPr="002A792E" w:rsidR="003253BE" w:rsidP="40C41E35" w:rsidRDefault="003253BE" w14:paraId="38DEE903"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 (Dose where inflection point occurred): (0.0001, Inf)</w:t>
      </w:r>
    </w:p>
    <w:p w:rsidRPr="002A792E" w:rsidR="003253BE" w:rsidP="40C41E35" w:rsidRDefault="003253BE" w14:paraId="5A9DE56B"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Ensured that model would evaluate</w:t>
      </w:r>
    </w:p>
    <w:p w:rsidRPr="002A792E" w:rsidR="003253BE" w:rsidP="40C41E35" w:rsidRDefault="003253BE" w14:paraId="767715BB" w14:textId="77777777" w14:noSpellErr="1">
      <w:pPr>
        <w:numPr>
          <w:ilvl w:val="0"/>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W2.4</w:t>
      </w:r>
    </w:p>
    <w:p w:rsidRPr="002A792E" w:rsidR="003253BE" w:rsidP="40C41E35" w:rsidRDefault="003253BE" w14:paraId="51899B4C" w14:textId="77777777" w14:noSpellErr="1">
      <w:pPr>
        <w:numPr>
          <w:ilvl w:val="1"/>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Parameters</w:t>
      </w:r>
    </w:p>
    <w:p w:rsidRPr="002A792E" w:rsidR="003253BE" w:rsidP="40C41E35" w:rsidRDefault="003253BE" w14:paraId="27178FE6"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b (Slope): (-50, -0.3)</w:t>
      </w:r>
    </w:p>
    <w:p w:rsidRPr="002A792E" w:rsidR="003253BE" w:rsidP="40C41E35" w:rsidRDefault="003253BE" w14:paraId="4DF82380"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Prevented unreasonably steep slope and ensured that function behaved as expected.  Note that the slope values must be negative for this version of the Weibull function.</w:t>
      </w:r>
    </w:p>
    <w:p w:rsidRPr="002A792E" w:rsidR="003253BE" w:rsidP="40C41E35" w:rsidRDefault="003253BE" w14:paraId="4376C123"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 (Asymptote as Dose increases): (0, 1)</w:t>
      </w:r>
    </w:p>
    <w:p w:rsidRPr="002A792E" w:rsidR="003253BE" w:rsidP="40C41E35" w:rsidRDefault="003253BE" w14:paraId="3DDC3B2D"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Ensured that model could not measure growth or predict &lt;0% Survival</w:t>
      </w:r>
    </w:p>
    <w:p w:rsidRPr="002A792E" w:rsidR="003253BE" w:rsidP="40C41E35" w:rsidRDefault="003253BE" w14:paraId="44D6F08F"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 (Asymptote at Dose = 0): fixed at 1</w:t>
      </w:r>
    </w:p>
    <w:p w:rsidRPr="002A792E" w:rsidR="003253BE" w:rsidP="40C41E35" w:rsidRDefault="003253BE" w14:paraId="04D7752B"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Defined survival = 100% at Dose = 0</w:t>
      </w:r>
    </w:p>
    <w:p w:rsidRPr="002A792E" w:rsidR="003253BE" w:rsidP="40C41E35" w:rsidRDefault="003253BE" w14:paraId="58B6B694"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 (Dose where inflection point occurred): (0.0001, 10000)</w:t>
      </w:r>
    </w:p>
    <w:p w:rsidRPr="002A792E" w:rsidR="003253BE" w:rsidP="40C41E35" w:rsidRDefault="003253BE" w14:paraId="7487424D"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Ensured that model would evaluate</w:t>
      </w:r>
    </w:p>
    <w:p w:rsidRPr="002A792E" w:rsidR="003253BE" w:rsidP="40C41E35" w:rsidRDefault="003253BE" w14:paraId="04076B74" w14:textId="77777777" w14:noSpellErr="1">
      <w:pPr>
        <w:numPr>
          <w:ilvl w:val="0"/>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EXD.3</w:t>
      </w:r>
    </w:p>
    <w:p w:rsidRPr="002A792E" w:rsidR="003253BE" w:rsidP="40C41E35" w:rsidRDefault="003253BE" w14:paraId="2BB1EEC6" w14:textId="77777777" w14:noSpellErr="1">
      <w:pPr>
        <w:numPr>
          <w:ilvl w:val="1"/>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Parameters</w:t>
      </w:r>
    </w:p>
    <w:p w:rsidRPr="002A792E" w:rsidR="003253BE" w:rsidP="40C41E35" w:rsidRDefault="003253BE" w14:paraId="6421ED28"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 (Asymptote as Dose increases): (0, Inf)</w:t>
      </w:r>
    </w:p>
    <w:p w:rsidRPr="002A792E" w:rsidR="003253BE" w:rsidP="40C41E35" w:rsidRDefault="003253BE" w14:paraId="0493FF76"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Ensured that model could not predict &lt;0% Survival, but allowed for modeling exponential growth</w:t>
      </w:r>
    </w:p>
    <w:p w:rsidRPr="002A792E" w:rsidR="003253BE" w:rsidP="40C41E35" w:rsidRDefault="003253BE" w14:paraId="3CBC02DF"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 (Asymptote at Dose = 0): fixed at 1</w:t>
      </w:r>
    </w:p>
    <w:p w:rsidRPr="002A792E" w:rsidR="003253BE" w:rsidP="40C41E35" w:rsidRDefault="003253BE" w14:paraId="13C6F6E9"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Defined survival = 100% at Dose = 0</w:t>
      </w:r>
    </w:p>
    <w:p w:rsidRPr="002A792E" w:rsidR="003253BE" w:rsidP="40C41E35" w:rsidRDefault="003253BE" w14:paraId="52FB1093" w14:textId="77777777" w14:noSpellErr="1">
      <w:pPr>
        <w:numPr>
          <w:ilvl w:val="2"/>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 (Steepness of decay): (0.0001, 10000)</w:t>
      </w:r>
    </w:p>
    <w:p w:rsidRPr="002A792E" w:rsidR="003253BE" w:rsidP="40C41E35" w:rsidRDefault="003253BE" w14:paraId="04B7BFA2" w14:textId="77777777" w14:noSpellErr="1">
      <w:pPr>
        <w:numPr>
          <w:ilvl w:val="3"/>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Ensured that model would evaluate</w:t>
      </w:r>
    </w:p>
    <w:p w:rsidRPr="002A792E" w:rsidR="003253BE" w:rsidP="40C41E35" w:rsidRDefault="003253BE" w14:paraId="183F505E" w14:textId="77777777" w14:noSpellErr="1">
      <w:pPr>
        <w:numPr>
          <w:ilvl w:val="1"/>
          <w:numId w:val="3"/>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Custom self-starter function, as described in Results</w:t>
      </w:r>
    </w:p>
    <w:p w:rsidRPr="002A792E" w:rsidR="003253BE" w:rsidP="40C41E35" w:rsidRDefault="003253BE" w14:paraId="4FFAE78F" w14:textId="77777777" w14:noSpellErr="1">
      <w:pPr>
        <w:jc w:val="both"/>
        <w:rPr>
          <w:rFonts w:ascii="Arial Nova" w:hAnsi="Arial Nova" w:eastAsia="Arial Nova" w:cs="Arial Nova"/>
          <w:sz w:val="22"/>
          <w:szCs w:val="22"/>
        </w:rPr>
      </w:pPr>
    </w:p>
    <w:p w:rsidRPr="002A792E" w:rsidR="003253BE" w:rsidP="40C41E35" w:rsidRDefault="003253BE" w14:paraId="679248BD" w14:textId="77777777"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 xml:space="preserve">The </w:t>
      </w:r>
      <w:r w:rsidRPr="40C41E35" w:rsidR="003253BE">
        <w:rPr>
          <w:rFonts w:ascii="Arial Nova" w:hAnsi="Arial Nova" w:eastAsia="Arial Nova" w:cs="Arial Nova"/>
          <w:color w:val="000000" w:themeColor="text1" w:themeTint="FF" w:themeShade="FF"/>
          <w:sz w:val="22"/>
          <w:szCs w:val="22"/>
        </w:rPr>
        <w:t xml:space="preserve">Plateau </w:t>
      </w:r>
      <w:r w:rsidRPr="40C41E35" w:rsidR="003253BE">
        <w:rPr>
          <w:rFonts w:ascii="Arial Nova" w:hAnsi="Arial Nova" w:eastAsia="Arial Nova" w:cs="Arial Nova"/>
          <w:color w:val="000000" w:themeColor="text1" w:themeTint="FF" w:themeShade="FF"/>
          <w:sz w:val="22"/>
          <w:szCs w:val="22"/>
        </w:rPr>
        <w:t>list added these versions of the CRS function</w:t>
      </w:r>
      <w:r w:rsidRPr="40C41E35" w:rsidR="003253BE">
        <w:rPr>
          <w:rFonts w:ascii="Arial Nova" w:hAnsi="Arial Nova" w:eastAsia="Arial Nova" w:cs="Arial Nova"/>
          <w:color w:val="000000" w:themeColor="text1" w:themeTint="FF" w:themeShade="FF"/>
          <w:sz w:val="22"/>
          <w:szCs w:val="22"/>
        </w:rPr>
        <w:t xml:space="preserve"> to the functions considered for Decreasing (the variations a, b, and c correspond to fixed alpha parameters of 1, 0.5, and 0.25 respectively)</w:t>
      </w:r>
      <w:r w:rsidRPr="40C41E35" w:rsidR="003253BE">
        <w:rPr>
          <w:rFonts w:ascii="Arial Nova" w:hAnsi="Arial Nova" w:eastAsia="Arial Nova" w:cs="Arial Nova"/>
          <w:color w:val="000000" w:themeColor="text1" w:themeTint="FF" w:themeShade="FF"/>
          <w:sz w:val="22"/>
          <w:szCs w:val="22"/>
        </w:rPr>
        <w:t>:</w:t>
      </w:r>
    </w:p>
    <w:p w:rsidRPr="002A792E" w:rsidR="003253BE" w:rsidP="40C41E35" w:rsidRDefault="003253BE" w14:paraId="71FD7B29" w14:textId="77777777" w14:noSpellErr="1">
      <w:pPr>
        <w:jc w:val="both"/>
        <w:rPr>
          <w:rFonts w:ascii="Arial Nova" w:hAnsi="Arial Nova" w:eastAsia="Arial Nova" w:cs="Arial Nova"/>
          <w:sz w:val="22"/>
          <w:szCs w:val="22"/>
        </w:rPr>
      </w:pPr>
      <w:r>
        <w:br/>
      </w:r>
    </w:p>
    <w:p w:rsidRPr="002A792E" w:rsidR="003253BE" w:rsidP="40C41E35" w:rsidRDefault="003253BE" w14:paraId="246AC171" w14:textId="77777777" w14:noSpellErr="1">
      <w:pPr>
        <w:numPr>
          <w:ilvl w:val="0"/>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CRS.4a, CRS.4b, CRS.4c (lower limit set at 0)</w:t>
      </w:r>
    </w:p>
    <w:p w:rsidRPr="002A792E" w:rsidR="003253BE" w:rsidP="40C41E35" w:rsidRDefault="003253BE" w14:paraId="2E8BD4F5" w14:textId="77777777" w14:noSpellErr="1">
      <w:pPr>
        <w:numPr>
          <w:ilvl w:val="1"/>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Parameters</w:t>
      </w:r>
    </w:p>
    <w:p w:rsidRPr="002A792E" w:rsidR="003253BE" w:rsidP="40C41E35" w:rsidRDefault="003253BE" w14:paraId="45758ABA" w14:textId="77777777" w14:noSpellErr="1">
      <w:pPr>
        <w:numPr>
          <w:ilvl w:val="2"/>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b (steepness of post-hormesis decay): (1, 250)</w:t>
      </w:r>
    </w:p>
    <w:p w:rsidRPr="002A792E" w:rsidR="003253BE" w:rsidP="40C41E35" w:rsidRDefault="003253BE" w14:paraId="4957E599" w14:textId="77777777" w14:noSpellErr="1">
      <w:pPr>
        <w:numPr>
          <w:ilvl w:val="3"/>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Prevented unreasonably steep slopes</w:t>
      </w:r>
    </w:p>
    <w:p w:rsidRPr="002A792E" w:rsidR="003253BE" w:rsidP="40C41E35" w:rsidRDefault="003253BE" w14:paraId="4C100B3A" w14:textId="77777777" w14:noSpellErr="1">
      <w:pPr>
        <w:numPr>
          <w:ilvl w:val="2"/>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 (Asymptote at Dose = 0): (0.95, 1.05)</w:t>
      </w:r>
    </w:p>
    <w:p w:rsidRPr="002A792E" w:rsidR="003253BE" w:rsidP="40C41E35" w:rsidRDefault="003253BE" w14:paraId="1E8B9873" w14:textId="77777777" w14:noSpellErr="1">
      <w:pPr>
        <w:numPr>
          <w:ilvl w:val="3"/>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Couldn’t</w:t>
      </w:r>
      <w:r w:rsidRPr="40C41E35" w:rsidR="003253BE">
        <w:rPr>
          <w:rFonts w:ascii="Arial Nova" w:hAnsi="Arial Nova" w:eastAsia="Arial Nova" w:cs="Arial Nova"/>
          <w:color w:val="000000" w:themeColor="text1" w:themeTint="FF" w:themeShade="FF"/>
          <w:sz w:val="22"/>
          <w:szCs w:val="22"/>
        </w:rPr>
        <w:t xml:space="preserve"> fix any CRS parameters, so this kept the Survival close to 100% at Dose = 0</w:t>
      </w:r>
    </w:p>
    <w:p w:rsidRPr="002A792E" w:rsidR="003253BE" w:rsidP="40C41E35" w:rsidRDefault="003253BE" w14:paraId="6C64283A" w14:textId="77777777" w14:noSpellErr="1">
      <w:pPr>
        <w:numPr>
          <w:ilvl w:val="2"/>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 (controls “overall” size of model; larger values just make the function look bigger, but the overall shape stays the same): (0.000001, Inf)</w:t>
      </w:r>
    </w:p>
    <w:p w:rsidRPr="002A792E" w:rsidR="003253BE" w:rsidP="40C41E35" w:rsidRDefault="003253BE" w14:paraId="5968189A" w14:textId="77777777" w14:noSpellErr="1">
      <w:pPr>
        <w:numPr>
          <w:ilvl w:val="3"/>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Ensured that model evaluated</w:t>
      </w:r>
    </w:p>
    <w:p w:rsidRPr="002A792E" w:rsidR="003253BE" w:rsidP="40C41E35" w:rsidRDefault="003253BE" w14:paraId="0984BC91" w14:textId="77777777" w14:noSpellErr="1">
      <w:pPr>
        <w:numPr>
          <w:ilvl w:val="2"/>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f (height of hormesis peak): (-Inf, Inf)</w:t>
      </w:r>
    </w:p>
    <w:p w:rsidRPr="002A792E" w:rsidR="003253BE" w:rsidP="40C41E35" w:rsidRDefault="003253BE" w14:paraId="4442BA60" w14:textId="77777777" w14:noSpellErr="1">
      <w:pPr>
        <w:numPr>
          <w:ilvl w:val="3"/>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Allowing negative numbers makes capture of Two-Stage behavior possible</w:t>
      </w:r>
    </w:p>
    <w:p w:rsidRPr="002A792E" w:rsidR="003253BE" w:rsidP="40C41E35" w:rsidRDefault="003253BE" w14:paraId="4EF4DB74" w14:textId="77777777" w14:noSpellErr="1">
      <w:pPr>
        <w:numPr>
          <w:ilvl w:val="0"/>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CRS.5a, CRS.5b (free lower limit)</w:t>
      </w:r>
    </w:p>
    <w:p w:rsidRPr="002A792E" w:rsidR="003253BE" w:rsidP="40C41E35" w:rsidRDefault="003253BE" w14:paraId="2293BE2B" w14:textId="77777777" w14:noSpellErr="1">
      <w:pPr>
        <w:numPr>
          <w:ilvl w:val="1"/>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Parameters</w:t>
      </w:r>
    </w:p>
    <w:p w:rsidRPr="002A792E" w:rsidR="003253BE" w:rsidP="40C41E35" w:rsidRDefault="003253BE" w14:paraId="18F346F9" w14:textId="77777777" w14:noSpellErr="1">
      <w:pPr>
        <w:numPr>
          <w:ilvl w:val="1"/>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b (steepness of post-hormesis decay): (1, 250)</w:t>
      </w:r>
    </w:p>
    <w:p w:rsidRPr="002A792E" w:rsidR="003253BE" w:rsidP="40C41E35" w:rsidRDefault="003253BE" w14:paraId="47F67FA5" w14:textId="77777777" w14:noSpellErr="1">
      <w:pPr>
        <w:numPr>
          <w:ilvl w:val="2"/>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Prevented unreasonably steep slopes</w:t>
      </w:r>
    </w:p>
    <w:p w:rsidRPr="002A792E" w:rsidR="003253BE" w:rsidP="40C41E35" w:rsidRDefault="003253BE" w14:paraId="568BB7D4" w14:textId="77777777" w14:noSpellErr="1">
      <w:pPr>
        <w:numPr>
          <w:ilvl w:val="1"/>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 (Asymptote as Dose grows larger): (0, 10)</w:t>
      </w:r>
    </w:p>
    <w:p w:rsidRPr="002A792E" w:rsidR="003253BE" w:rsidP="40C41E35" w:rsidRDefault="003253BE" w14:paraId="49182684" w14:textId="77777777" w14:noSpellErr="1">
      <w:pPr>
        <w:numPr>
          <w:ilvl w:val="1"/>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 (Asymptote at Dose = 0): (0.95, 1.05)</w:t>
      </w:r>
    </w:p>
    <w:p w:rsidRPr="002A792E" w:rsidR="003253BE" w:rsidP="40C41E35" w:rsidRDefault="003253BE" w14:paraId="3E8A8260" w14:textId="77777777" w14:noSpellErr="1">
      <w:pPr>
        <w:numPr>
          <w:ilvl w:val="2"/>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Couldn’t</w:t>
      </w:r>
      <w:r w:rsidRPr="40C41E35" w:rsidR="003253BE">
        <w:rPr>
          <w:rFonts w:ascii="Arial Nova" w:hAnsi="Arial Nova" w:eastAsia="Arial Nova" w:cs="Arial Nova"/>
          <w:color w:val="000000" w:themeColor="text1" w:themeTint="FF" w:themeShade="FF"/>
          <w:sz w:val="22"/>
          <w:szCs w:val="22"/>
        </w:rPr>
        <w:t xml:space="preserve"> fix any CRS parameters, so this kept the Survival close to 100% at Dose = 0</w:t>
      </w:r>
    </w:p>
    <w:p w:rsidRPr="002A792E" w:rsidR="003253BE" w:rsidP="40C41E35" w:rsidRDefault="003253BE" w14:paraId="62B87058" w14:textId="77777777" w14:noSpellErr="1">
      <w:pPr>
        <w:numPr>
          <w:ilvl w:val="1"/>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 (controls “overall” size of model; larger values just make the function look bigger, but the overall shape stays the same): (0.000001, Inf)</w:t>
      </w:r>
    </w:p>
    <w:p w:rsidRPr="002A792E" w:rsidR="003253BE" w:rsidP="40C41E35" w:rsidRDefault="003253BE" w14:paraId="58BAC725" w14:textId="77777777" w14:noSpellErr="1">
      <w:pPr>
        <w:numPr>
          <w:ilvl w:val="1"/>
          <w:numId w:val="4"/>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f (height of hormesis peak): (-10, Inf)</w:t>
      </w:r>
    </w:p>
    <w:p w:rsidRPr="002A792E" w:rsidR="003253BE" w:rsidP="40C41E35" w:rsidRDefault="003253BE" w14:paraId="1076B4DB" w14:textId="77777777" w14:noSpellErr="1">
      <w:pPr>
        <w:jc w:val="both"/>
        <w:rPr>
          <w:rFonts w:ascii="Arial Nova" w:hAnsi="Arial Nova" w:eastAsia="Arial Nova" w:cs="Arial Nova"/>
          <w:sz w:val="22"/>
          <w:szCs w:val="22"/>
        </w:rPr>
      </w:pPr>
    </w:p>
    <w:p w:rsidRPr="002A792E" w:rsidR="003253BE" w:rsidP="40C41E35" w:rsidRDefault="003253BE" w14:paraId="3504E3F1" w14:textId="77777777"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The Hormesis list added the following functions:</w:t>
      </w:r>
    </w:p>
    <w:p w:rsidRPr="002A792E" w:rsidR="003253BE" w:rsidP="40C41E35" w:rsidRDefault="003253BE" w14:paraId="17A958BD" w14:textId="77777777" w14:noSpellErr="1">
      <w:pPr>
        <w:jc w:val="both"/>
        <w:rPr>
          <w:rFonts w:ascii="Arial Nova" w:hAnsi="Arial Nova" w:eastAsia="Arial Nova" w:cs="Arial Nova"/>
          <w:sz w:val="22"/>
          <w:szCs w:val="22"/>
        </w:rPr>
      </w:pPr>
      <w:r>
        <w:br/>
      </w:r>
    </w:p>
    <w:p w:rsidRPr="002A792E" w:rsidR="003253BE" w:rsidP="40C41E35" w:rsidRDefault="003253BE" w14:paraId="56BE0960" w14:textId="77777777" w14:noSpellErr="1">
      <w:pPr>
        <w:numPr>
          <w:ilvl w:val="0"/>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BC.5</w:t>
      </w:r>
    </w:p>
    <w:p w:rsidRPr="002A792E" w:rsidR="003253BE" w:rsidP="40C41E35" w:rsidRDefault="003253BE" w14:paraId="537A82FD" w14:textId="77777777" w14:noSpellErr="1">
      <w:pPr>
        <w:numPr>
          <w:ilvl w:val="1"/>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Parameters</w:t>
      </w:r>
    </w:p>
    <w:p w:rsidRPr="002A792E" w:rsidR="003253BE" w:rsidP="40C41E35" w:rsidRDefault="003253BE" w14:paraId="1DFFF8F5" w14:textId="77777777" w14:noSpellErr="1">
      <w:pPr>
        <w:numPr>
          <w:ilvl w:val="2"/>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b (Slope): (1, Inf)</w:t>
      </w:r>
    </w:p>
    <w:p w:rsidRPr="002A792E" w:rsidR="003253BE" w:rsidP="40C41E35" w:rsidRDefault="003253BE" w14:paraId="7FFE88B2" w14:textId="77777777" w14:noSpellErr="1">
      <w:pPr>
        <w:numPr>
          <w:ilvl w:val="2"/>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 (Asymptote as Dose increases): (0, Inf)</w:t>
      </w:r>
    </w:p>
    <w:p w:rsidRPr="002A792E" w:rsidR="003253BE" w:rsidP="40C41E35" w:rsidRDefault="003253BE" w14:paraId="62CF0F9F" w14:textId="77777777" w14:noSpellErr="1">
      <w:pPr>
        <w:numPr>
          <w:ilvl w:val="2"/>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 (Asymptote at Dose = 0): fixed at 1</w:t>
      </w:r>
    </w:p>
    <w:p w:rsidRPr="002A792E" w:rsidR="003253BE" w:rsidP="40C41E35" w:rsidRDefault="003253BE" w14:paraId="3C972373" w14:textId="77777777" w14:noSpellErr="1">
      <w:pPr>
        <w:numPr>
          <w:ilvl w:val="2"/>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 (controls “overall” size of model; larger values just make the function look bigger, but the overall shape stays the same): (0, Inf)</w:t>
      </w:r>
    </w:p>
    <w:p w:rsidRPr="002A792E" w:rsidR="003253BE" w:rsidP="40C41E35" w:rsidRDefault="003253BE" w14:paraId="0D37C0B5" w14:textId="77777777" w14:noSpellErr="1">
      <w:pPr>
        <w:numPr>
          <w:ilvl w:val="2"/>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f (Height of Hormesis peak): (0.000001, Inf)</w:t>
      </w:r>
    </w:p>
    <w:p w:rsidRPr="002A792E" w:rsidR="003253BE" w:rsidP="40C41E35" w:rsidRDefault="003253BE" w14:paraId="2EE88FA2" w14:textId="77777777" w14:noSpellErr="1">
      <w:pPr>
        <w:numPr>
          <w:ilvl w:val="0"/>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RBC.5 (reparametrized version of BC.5)</w:t>
      </w:r>
    </w:p>
    <w:p w:rsidRPr="002A792E" w:rsidR="003253BE" w:rsidP="40C41E35" w:rsidRDefault="003253BE" w14:paraId="2ADB1651" w14:textId="77777777" w14:noSpellErr="1">
      <w:pPr>
        <w:numPr>
          <w:ilvl w:val="1"/>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Parameters</w:t>
      </w:r>
    </w:p>
    <w:p w:rsidRPr="002A792E" w:rsidR="003253BE" w:rsidP="40C41E35" w:rsidRDefault="003253BE" w14:paraId="31F3DA73" w14:textId="77777777" w14:noSpellErr="1">
      <w:pPr>
        <w:numPr>
          <w:ilvl w:val="2"/>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b (Slope): (1, 50)</w:t>
      </w:r>
    </w:p>
    <w:p w:rsidRPr="002A792E" w:rsidR="003253BE" w:rsidP="40C41E35" w:rsidRDefault="003253BE" w14:paraId="73102A04" w14:textId="77777777" w14:noSpellErr="1">
      <w:pPr>
        <w:numPr>
          <w:ilvl w:val="2"/>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c (Asymptote as Dose increases): (0, Inf)</w:t>
      </w:r>
    </w:p>
    <w:p w:rsidRPr="002A792E" w:rsidR="003253BE" w:rsidP="40C41E35" w:rsidRDefault="003253BE" w14:paraId="4E28DD27" w14:textId="77777777" w14:noSpellErr="1">
      <w:pPr>
        <w:numPr>
          <w:ilvl w:val="2"/>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d (Asymptote at Dose = 0):  fixed at 1</w:t>
      </w:r>
    </w:p>
    <w:p w:rsidRPr="002A792E" w:rsidR="003253BE" w:rsidP="40C41E35" w:rsidRDefault="003253BE" w14:paraId="10B90B32" w14:textId="77777777" w14:noSpellErr="1">
      <w:pPr>
        <w:numPr>
          <w:ilvl w:val="2"/>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M (Dose at which hormesis peak occurs): defined dynamically based on data</w:t>
      </w:r>
    </w:p>
    <w:p w:rsidR="003253BE" w:rsidP="40C41E35" w:rsidRDefault="003253BE" w14:paraId="25EF3177" w14:textId="77777777" w14:noSpellErr="1">
      <w:pPr>
        <w:numPr>
          <w:ilvl w:val="2"/>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f (Height of Hormesis peak): (0.000001, Inf)</w:t>
      </w:r>
    </w:p>
    <w:p w:rsidR="003253BE" w:rsidP="40C41E35" w:rsidRDefault="003253BE" w14:paraId="644973D3" w14:textId="77777777" w14:noSpellErr="1">
      <w:pPr>
        <w:numPr>
          <w:ilvl w:val="1"/>
          <w:numId w:val="5"/>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Equation</w:t>
      </w:r>
    </w:p>
    <w:p w:rsidRPr="002A792E" w:rsidR="003253BE" w:rsidP="40C41E35" w:rsidRDefault="003253BE" w14:paraId="70ED5E6F" w14:textId="77777777" w14:noSpellErr="1">
      <w:pPr>
        <w:numPr>
          <w:ilvl w:val="2"/>
          <w:numId w:val="5"/>
        </w:numPr>
        <w:jc w:val="both"/>
        <w:textAlignment w:val="baseline"/>
        <w:rPr>
          <w:rFonts w:ascii="Arial Nova" w:hAnsi="Arial Nova" w:eastAsia="Arial Nova" w:cs="Arial Nova"/>
          <w:color w:val="000000"/>
          <w:sz w:val="22"/>
          <w:szCs w:val="22"/>
        </w:rPr>
      </w:pPr>
      <m:oMath>
        <m:r>
          <m:rPr>
            <m:sty m:val="bi"/>
          </m:rPr>
          <w:rPr>
            <w:rFonts w:ascii="Cambria Math" w:hAnsi="Cambria Math"/>
            <w:color w:val="000000"/>
          </w:rPr>
          <m:t>Response</m:t>
        </m:r>
        <m:r>
          <w:rPr>
            <w:rFonts w:ascii="Cambria Math" w:hAnsi="Cambria Math"/>
            <w:color w:val="000000"/>
          </w:rPr>
          <m:t>=c+ </m:t>
        </m:r>
        <m:f>
          <m:fPr>
            <m:ctrlPr>
              <w:rPr>
                <w:rFonts w:ascii="Cambria Math" w:hAnsi="Cambria Math"/>
                <w:i/>
                <w:iCs/>
                <w:color w:val="000000"/>
              </w:rPr>
            </m:ctrlPr>
          </m:fPr>
          <m:num>
            <m:d>
              <m:dPr>
                <m:ctrlPr>
                  <w:rPr>
                    <w:rFonts w:ascii="Cambria Math" w:hAnsi="Cambria Math"/>
                    <w:i/>
                    <w:iCs/>
                    <w:color w:val="000000"/>
                  </w:rPr>
                </m:ctrlPr>
              </m:dPr>
              <m:e>
                <m:r>
                  <w:rPr>
                    <w:rFonts w:ascii="Cambria Math" w:hAnsi="Cambria Math"/>
                    <w:color w:val="000000"/>
                  </w:rPr>
                  <m:t>1 -c</m:t>
                </m:r>
              </m:e>
            </m:d>
            <m:r>
              <w:rPr>
                <w:rFonts w:ascii="Cambria Math" w:hAnsi="Cambria Math"/>
                <w:color w:val="000000"/>
              </w:rPr>
              <m:t>+f*</m:t>
            </m:r>
            <m:r>
              <m:rPr>
                <m:sty m:val="bi"/>
              </m:rPr>
              <w:rPr>
                <w:rFonts w:ascii="Cambria Math" w:hAnsi="Cambria Math"/>
                <w:color w:val="000000"/>
              </w:rPr>
              <m:t>Dose</m:t>
            </m:r>
          </m:num>
          <m:den>
            <m:r>
              <w:rPr>
                <w:rFonts w:ascii="Cambria Math" w:hAnsi="Cambria Math"/>
                <w:color w:val="000000"/>
              </w:rPr>
              <m:t>1+</m:t>
            </m:r>
            <m:d>
              <m:dPr>
                <m:begChr m:val="["/>
                <m:endChr m:val="]"/>
                <m:ctrlPr>
                  <w:rPr>
                    <w:rFonts w:ascii="Cambria Math" w:hAnsi="Cambria Math"/>
                    <w:i/>
                    <w:iCs/>
                    <w:color w:val="000000"/>
                  </w:rPr>
                </m:ctrlPr>
              </m:dPr>
              <m:e>
                <m:f>
                  <m:fPr>
                    <m:ctrlPr>
                      <w:rPr>
                        <w:rFonts w:ascii="Cambria Math" w:hAnsi="Cambria Math"/>
                        <w:i/>
                        <w:iCs/>
                        <w:color w:val="000000"/>
                      </w:rPr>
                    </m:ctrlPr>
                  </m:fPr>
                  <m:num>
                    <m:r>
                      <w:rPr>
                        <w:rFonts w:ascii="Cambria Math" w:hAnsi="Cambria Math"/>
                        <w:color w:val="000000"/>
                      </w:rPr>
                      <m:t>f*M</m:t>
                    </m:r>
                  </m:num>
                  <m:den>
                    <m:d>
                      <m:dPr>
                        <m:ctrlPr>
                          <w:rPr>
                            <w:rFonts w:ascii="Cambria Math" w:hAnsi="Cambria Math"/>
                            <w:i/>
                            <w:iCs/>
                            <w:color w:val="000000"/>
                          </w:rPr>
                        </m:ctrlPr>
                      </m:dPr>
                      <m:e>
                        <m:r>
                          <w:rPr>
                            <w:rFonts w:ascii="Cambria Math" w:hAnsi="Cambria Math"/>
                            <w:color w:val="000000"/>
                          </w:rPr>
                          <m:t>1-c</m:t>
                        </m:r>
                      </m:e>
                    </m:d>
                    <m:r>
                      <w:rPr>
                        <w:rFonts w:ascii="Cambria Math" w:hAnsi="Cambria Math"/>
                        <w:color w:val="000000"/>
                      </w:rPr>
                      <m:t>*b-f*M*</m:t>
                    </m:r>
                    <m:d>
                      <m:dPr>
                        <m:ctrlPr>
                          <w:rPr>
                            <w:rFonts w:ascii="Cambria Math" w:hAnsi="Cambria Math"/>
                            <w:i/>
                            <w:iCs/>
                            <w:color w:val="000000"/>
                          </w:rPr>
                        </m:ctrlPr>
                      </m:dPr>
                      <m:e>
                        <m:r>
                          <w:rPr>
                            <w:rFonts w:ascii="Cambria Math" w:hAnsi="Cambria Math"/>
                            <w:color w:val="000000"/>
                          </w:rPr>
                          <m:t>1-b</m:t>
                        </m:r>
                      </m:e>
                    </m:d>
                  </m:den>
                </m:f>
              </m:e>
            </m:d>
            <m:r>
              <w:rPr>
                <w:rFonts w:ascii="Cambria Math" w:hAnsi="Cambria Math"/>
                <w:color w:val="000000"/>
              </w:rPr>
              <m:t>*</m:t>
            </m:r>
            <m:r>
              <m:rPr>
                <m:sty m:val="p"/>
              </m:rPr>
              <w:rPr>
                <w:rFonts w:ascii="Cambria Math" w:hAnsi="Cambria Math"/>
                <w:color w:val="000000"/>
              </w:rPr>
              <m:t>exp</m:t>
            </m:r>
            <m:r>
              <w:rPr>
                <w:rFonts w:ascii="Cambria Math" w:hAnsi="Cambria Math"/>
                <w:color w:val="000000"/>
              </w:rPr>
              <m:t>⁡(b*</m:t>
            </m:r>
            <m:r>
              <m:rPr>
                <m:sty m:val="p"/>
              </m:rPr>
              <w:rPr>
                <w:rFonts w:ascii="Cambria Math" w:hAnsi="Cambria Math"/>
                <w:color w:val="000000"/>
              </w:rPr>
              <m:t>ln</m:t>
            </m:r>
            <m:r>
              <w:rPr>
                <w:rFonts w:ascii="Cambria Math" w:hAnsi="Cambria Math"/>
                <w:color w:val="000000"/>
              </w:rPr>
              <m:t>⁡(</m:t>
            </m:r>
            <m:f>
              <m:fPr>
                <m:ctrlPr>
                  <w:rPr>
                    <w:rFonts w:ascii="Cambria Math" w:hAnsi="Cambria Math"/>
                    <w:i/>
                    <w:iCs/>
                    <w:color w:val="000000"/>
                  </w:rPr>
                </m:ctrlPr>
              </m:fPr>
              <m:num>
                <m:r>
                  <m:rPr>
                    <m:sty m:val="bi"/>
                  </m:rPr>
                  <w:rPr>
                    <w:rFonts w:ascii="Cambria Math" w:hAnsi="Cambria Math"/>
                    <w:color w:val="000000"/>
                  </w:rPr>
                  <m:t>M</m:t>
                </m:r>
              </m:num>
              <m:den>
                <m:r>
                  <w:rPr>
                    <w:rFonts w:ascii="Cambria Math" w:hAnsi="Cambria Math"/>
                    <w:color w:val="000000"/>
                  </w:rPr>
                  <m:t>100</m:t>
                </m:r>
              </m:den>
            </m:f>
            <m:r>
              <w:rPr>
                <w:rFonts w:ascii="Cambria Math" w:hAnsi="Cambria Math"/>
                <w:color w:val="000000"/>
              </w:rPr>
              <m:t>)</m:t>
            </m:r>
          </m:den>
        </m:f>
      </m:oMath>
    </w:p>
    <w:p w:rsidRPr="002A792E" w:rsidR="003253BE" w:rsidP="40C41E35" w:rsidRDefault="003253BE" w14:paraId="5D4CC108" w14:textId="77777777" w14:noSpellErr="1">
      <w:pPr>
        <w:jc w:val="both"/>
        <w:rPr>
          <w:rFonts w:ascii="Arial Nova" w:hAnsi="Arial Nova" w:eastAsia="Arial Nova" w:cs="Arial Nova"/>
          <w:sz w:val="22"/>
          <w:szCs w:val="22"/>
        </w:rPr>
      </w:pPr>
    </w:p>
    <w:p w:rsidRPr="002A792E" w:rsidR="003253BE" w:rsidP="40C41E35" w:rsidRDefault="003253BE" w14:paraId="649641B8" w14:textId="77777777"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 xml:space="preserve">Once the </w:t>
      </w:r>
      <w:r w:rsidRPr="40C41E35" w:rsidR="003253BE">
        <w:rPr>
          <w:rFonts w:ascii="Arial Nova" w:hAnsi="Arial Nova" w:eastAsia="Arial Nova" w:cs="Arial Nova"/>
          <w:color w:val="000000" w:themeColor="text1" w:themeTint="FF" w:themeShade="FF"/>
          <w:sz w:val="22"/>
          <w:szCs w:val="22"/>
        </w:rPr>
        <w:t>appropriate model</w:t>
      </w:r>
      <w:r w:rsidRPr="40C41E35" w:rsidR="003253BE">
        <w:rPr>
          <w:rFonts w:ascii="Arial Nova" w:hAnsi="Arial Nova" w:eastAsia="Arial Nova" w:cs="Arial Nova"/>
          <w:color w:val="000000" w:themeColor="text1" w:themeTint="FF" w:themeShade="FF"/>
          <w:sz w:val="22"/>
          <w:szCs w:val="22"/>
        </w:rPr>
        <w:t xml:space="preserve"> list was chosen, the candidate models were compared using the </w:t>
      </w:r>
      <w:r w:rsidRPr="40C41E35" w:rsidR="003253BE">
        <w:rPr>
          <w:rFonts w:ascii="Arial Nova" w:hAnsi="Arial Nova" w:eastAsia="Arial Nova" w:cs="Arial Nova"/>
          <w:i w:val="1"/>
          <w:iCs w:val="1"/>
          <w:color w:val="000000" w:themeColor="text1" w:themeTint="FF" w:themeShade="FF"/>
          <w:sz w:val="22"/>
          <w:szCs w:val="22"/>
        </w:rPr>
        <w:t>drc</w:t>
      </w:r>
      <w:r w:rsidRPr="40C41E35" w:rsidR="003253BE">
        <w:rPr>
          <w:rFonts w:ascii="Arial Nova" w:hAnsi="Arial Nova" w:eastAsia="Arial Nova" w:cs="Arial Nova"/>
          <w:color w:val="000000" w:themeColor="text1" w:themeTint="FF" w:themeShade="FF"/>
          <w:sz w:val="22"/>
          <w:szCs w:val="22"/>
        </w:rPr>
        <w:t xml:space="preserve"> function </w:t>
      </w:r>
      <w:r w:rsidRPr="40C41E35" w:rsidR="003253BE">
        <w:rPr>
          <w:rFonts w:ascii="Arial Nova" w:hAnsi="Arial Nova" w:eastAsia="Arial Nova" w:cs="Arial Nova"/>
          <w:i w:val="1"/>
          <w:iCs w:val="1"/>
          <w:color w:val="000000" w:themeColor="text1" w:themeTint="FF" w:themeShade="FF"/>
          <w:sz w:val="22"/>
          <w:szCs w:val="22"/>
        </w:rPr>
        <w:t>mselect</w:t>
      </w:r>
      <w:r w:rsidRPr="40C41E35" w:rsidR="003253BE">
        <w:rPr>
          <w:rFonts w:ascii="Arial Nova" w:hAnsi="Arial Nova" w:eastAsia="Arial Nova" w:cs="Arial Nova"/>
          <w:color w:val="000000" w:themeColor="text1" w:themeTint="FF" w:themeShade="FF"/>
          <w:sz w:val="22"/>
          <w:szCs w:val="22"/>
        </w:rPr>
        <w:t xml:space="preserve">.  This function had to be slightly </w:t>
      </w:r>
      <w:r w:rsidRPr="40C41E35" w:rsidR="003253BE">
        <w:rPr>
          <w:rFonts w:ascii="Arial Nova" w:hAnsi="Arial Nova" w:eastAsia="Arial Nova" w:cs="Arial Nova"/>
          <w:color w:val="000000" w:themeColor="text1" w:themeTint="FF" w:themeShade="FF"/>
          <w:sz w:val="22"/>
          <w:szCs w:val="22"/>
        </w:rPr>
        <w:t>modified</w:t>
      </w:r>
      <w:r w:rsidRPr="40C41E35" w:rsidR="003253BE">
        <w:rPr>
          <w:rFonts w:ascii="Arial Nova" w:hAnsi="Arial Nova" w:eastAsia="Arial Nova" w:cs="Arial Nova"/>
          <w:color w:val="000000" w:themeColor="text1" w:themeTint="FF" w:themeShade="FF"/>
          <w:sz w:val="22"/>
          <w:szCs w:val="22"/>
        </w:rPr>
        <w:t xml:space="preserve"> to account for the pre-defined fixed parameters, parameter limits, and self-starting functions.  </w:t>
      </w:r>
      <w:r w:rsidRPr="40C41E35" w:rsidR="003253BE">
        <w:rPr>
          <w:rFonts w:ascii="Arial Nova" w:hAnsi="Arial Nova" w:eastAsia="Arial Nova" w:cs="Arial Nova"/>
          <w:i w:val="1"/>
          <w:iCs w:val="1"/>
          <w:color w:val="000000" w:themeColor="text1" w:themeTint="FF" w:themeShade="FF"/>
          <w:sz w:val="22"/>
          <w:szCs w:val="22"/>
        </w:rPr>
        <w:t>Mselect</w:t>
      </w:r>
      <w:r w:rsidRPr="40C41E35" w:rsidR="003253BE">
        <w:rPr>
          <w:rFonts w:ascii="Arial Nova" w:hAnsi="Arial Nova" w:eastAsia="Arial Nova" w:cs="Arial Nova"/>
          <w:color w:val="000000" w:themeColor="text1" w:themeTint="FF" w:themeShade="FF"/>
          <w:sz w:val="22"/>
          <w:szCs w:val="22"/>
        </w:rPr>
        <w:t xml:space="preserve"> produces multiple measures of model fit, including AIC and Lack-of-fit.  </w:t>
      </w:r>
      <w:r w:rsidRPr="40C41E35" w:rsidR="003253BE">
        <w:rPr>
          <w:rFonts w:ascii="Arial Nova" w:hAnsi="Arial Nova" w:eastAsia="Arial Nova" w:cs="Arial Nova"/>
          <w:color w:val="000000" w:themeColor="text1" w:themeTint="FF" w:themeShade="FF"/>
          <w:sz w:val="22"/>
          <w:szCs w:val="22"/>
        </w:rPr>
        <w:t>AIC takes model complexity into account to avoid overfitting, with more negative values corresponding to better fit.</w:t>
      </w:r>
      <w:r w:rsidRPr="40C41E35" w:rsidR="003253BE">
        <w:rPr>
          <w:rFonts w:ascii="Arial Nova" w:hAnsi="Arial Nova" w:eastAsia="Arial Nova" w:cs="Arial Nova"/>
          <w:color w:val="000000" w:themeColor="text1" w:themeTint="FF" w:themeShade="FF"/>
          <w:sz w:val="22"/>
          <w:szCs w:val="22"/>
        </w:rPr>
        <w:t>  Lack-of-fit</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color w:val="000000" w:themeColor="text1" w:themeTint="FF" w:themeShade="FF"/>
          <w:sz w:val="22"/>
          <w:szCs w:val="22"/>
        </w:rPr>
        <w:t>LoF</w:t>
      </w:r>
      <w:r w:rsidRPr="40C41E35" w:rsidR="003253BE">
        <w:rPr>
          <w:rFonts w:ascii="Arial Nova" w:hAnsi="Arial Nova" w:eastAsia="Arial Nova" w:cs="Arial Nova"/>
          <w:color w:val="000000" w:themeColor="text1" w:themeTint="FF" w:themeShade="FF"/>
          <w:sz w:val="22"/>
          <w:szCs w:val="22"/>
        </w:rPr>
        <w:t>)</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color w:val="000000" w:themeColor="text1" w:themeTint="FF" w:themeShade="FF"/>
          <w:sz w:val="22"/>
          <w:szCs w:val="22"/>
        </w:rPr>
        <w:t>measures the statistical alignment of the model to all data points (considering replicate values) without considering model complexity</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color w:val="000000" w:themeColor="text1" w:themeTint="FF" w:themeShade="FF"/>
          <w:sz w:val="22"/>
          <w:szCs w:val="22"/>
        </w:rPr>
        <w:t>LoF</w:t>
      </w:r>
      <w:r w:rsidRPr="40C41E35" w:rsidR="003253BE">
        <w:rPr>
          <w:rFonts w:ascii="Arial Nova" w:hAnsi="Arial Nova" w:eastAsia="Arial Nova" w:cs="Arial Nova"/>
          <w:color w:val="000000" w:themeColor="text1" w:themeTint="FF" w:themeShade="FF"/>
          <w:sz w:val="22"/>
          <w:szCs w:val="22"/>
        </w:rPr>
        <w:t xml:space="preserve"> is interpreted like</w:t>
      </w:r>
      <w:r w:rsidRPr="40C41E35" w:rsidR="003253BE">
        <w:rPr>
          <w:rFonts w:ascii="Arial Nova" w:hAnsi="Arial Nova" w:eastAsia="Arial Nova" w:cs="Arial Nova"/>
          <w:color w:val="000000" w:themeColor="text1" w:themeTint="FF" w:themeShade="FF"/>
          <w:sz w:val="22"/>
          <w:szCs w:val="22"/>
        </w:rPr>
        <w:t xml:space="preserve"> R</w:t>
      </w:r>
      <w:r w:rsidRPr="40C41E35" w:rsidR="003253BE">
        <w:rPr>
          <w:rFonts w:ascii="Arial Nova" w:hAnsi="Arial Nova" w:eastAsia="Arial Nova" w:cs="Arial Nova"/>
          <w:color w:val="000000" w:themeColor="text1" w:themeTint="FF" w:themeShade="FF"/>
          <w:sz w:val="22"/>
          <w:szCs w:val="22"/>
          <w:vertAlign w:val="superscript"/>
        </w:rPr>
        <w:t>2</w:t>
      </w:r>
      <w:r w:rsidRPr="40C41E35" w:rsidR="003253BE">
        <w:rPr>
          <w:rFonts w:ascii="Arial Nova" w:hAnsi="Arial Nova" w:eastAsia="Arial Nova" w:cs="Arial Nova"/>
          <w:color w:val="000000" w:themeColor="text1" w:themeTint="FF" w:themeShade="FF"/>
          <w:sz w:val="22"/>
          <w:szCs w:val="22"/>
        </w:rPr>
        <w:t>, where a value closer to 1 signifies good fit.  We ranked models according to a “combined criterion,” where lower values signified a better fit:</w:t>
      </w:r>
    </w:p>
    <w:p w:rsidRPr="002A792E" w:rsidR="003253BE" w:rsidP="40C41E35" w:rsidRDefault="003253BE" w14:paraId="73642CAC" w14:textId="77777777" w14:noSpellErr="1">
      <w:pPr>
        <w:jc w:val="both"/>
        <w:rPr>
          <w:rFonts w:ascii="Arial Nova" w:hAnsi="Arial Nova" w:eastAsia="Arial Nova" w:cs="Arial Nova"/>
          <w:sz w:val="22"/>
          <w:szCs w:val="22"/>
        </w:rPr>
      </w:pPr>
      <w:r>
        <w:br/>
      </w:r>
    </w:p>
    <w:p w:rsidRPr="002A792E" w:rsidR="003253BE" w:rsidP="40C41E35" w:rsidRDefault="003253BE" w14:paraId="6512B3D9" w14:textId="77777777" w14:noSpellErr="1">
      <w:pPr>
        <w:numPr>
          <w:ilvl w:val="0"/>
          <w:numId w:val="6"/>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if AIC was positive, Combined Criterion = AIC/</w:t>
      </w:r>
      <w:r w:rsidRPr="40C41E35" w:rsidR="003253BE">
        <w:rPr>
          <w:rFonts w:ascii="Arial Nova" w:hAnsi="Arial Nova" w:eastAsia="Arial Nova" w:cs="Arial Nova"/>
          <w:color w:val="000000" w:themeColor="text1" w:themeTint="FF" w:themeShade="FF"/>
          <w:sz w:val="22"/>
          <w:szCs w:val="22"/>
        </w:rPr>
        <w:t>L</w:t>
      </w:r>
      <w:r w:rsidRPr="40C41E35" w:rsidR="003253BE">
        <w:rPr>
          <w:rFonts w:ascii="Arial Nova" w:hAnsi="Arial Nova" w:eastAsia="Arial Nova" w:cs="Arial Nova"/>
          <w:color w:val="000000" w:themeColor="text1" w:themeTint="FF" w:themeShade="FF"/>
          <w:sz w:val="22"/>
          <w:szCs w:val="22"/>
        </w:rPr>
        <w:t>oF</w:t>
      </w:r>
    </w:p>
    <w:p w:rsidRPr="002A792E" w:rsidR="003253BE" w:rsidP="40C41E35" w:rsidRDefault="003253BE" w14:paraId="198A854B" w14:textId="77777777" w14:noSpellErr="1">
      <w:pPr>
        <w:numPr>
          <w:ilvl w:val="1"/>
          <w:numId w:val="6"/>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xml:space="preserve">Lower </w:t>
      </w:r>
      <w:r w:rsidRPr="40C41E35" w:rsidR="003253BE">
        <w:rPr>
          <w:rFonts w:ascii="Arial Nova" w:hAnsi="Arial Nova" w:eastAsia="Arial Nova" w:cs="Arial Nova"/>
          <w:color w:val="000000" w:themeColor="text1" w:themeTint="FF" w:themeShade="FF"/>
          <w:sz w:val="22"/>
          <w:szCs w:val="22"/>
        </w:rPr>
        <w:t>LoF</w:t>
      </w:r>
      <w:r w:rsidRPr="40C41E35" w:rsidR="003253BE">
        <w:rPr>
          <w:rFonts w:ascii="Arial Nova" w:hAnsi="Arial Nova" w:eastAsia="Arial Nova" w:cs="Arial Nova"/>
          <w:color w:val="000000" w:themeColor="text1" w:themeTint="FF" w:themeShade="FF"/>
          <w:sz w:val="22"/>
          <w:szCs w:val="22"/>
        </w:rPr>
        <w:t xml:space="preserve"> leads to a larger CC value, higher </w:t>
      </w:r>
      <w:r w:rsidRPr="40C41E35" w:rsidR="003253BE">
        <w:rPr>
          <w:rFonts w:ascii="Arial Nova" w:hAnsi="Arial Nova" w:eastAsia="Arial Nova" w:cs="Arial Nova"/>
          <w:color w:val="000000" w:themeColor="text1" w:themeTint="FF" w:themeShade="FF"/>
          <w:sz w:val="22"/>
          <w:szCs w:val="22"/>
        </w:rPr>
        <w:t>LoF</w:t>
      </w:r>
      <w:r w:rsidRPr="40C41E35" w:rsidR="003253BE">
        <w:rPr>
          <w:rFonts w:ascii="Arial Nova" w:hAnsi="Arial Nova" w:eastAsia="Arial Nova" w:cs="Arial Nova"/>
          <w:color w:val="000000" w:themeColor="text1" w:themeTint="FF" w:themeShade="FF"/>
          <w:sz w:val="22"/>
          <w:szCs w:val="22"/>
        </w:rPr>
        <w:t xml:space="preserve"> leads to smaller CC</w:t>
      </w:r>
    </w:p>
    <w:p w:rsidRPr="002A792E" w:rsidR="003253BE" w:rsidP="40C41E35" w:rsidRDefault="003253BE" w14:paraId="72285294" w14:textId="77777777" w14:noSpellErr="1">
      <w:pPr>
        <w:numPr>
          <w:ilvl w:val="0"/>
          <w:numId w:val="6"/>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xml:space="preserve">If AIC was negative, Combined Criterion = AIC * </w:t>
      </w:r>
      <w:r w:rsidRPr="40C41E35" w:rsidR="003253BE">
        <w:rPr>
          <w:rFonts w:ascii="Arial Nova" w:hAnsi="Arial Nova" w:eastAsia="Arial Nova" w:cs="Arial Nova"/>
          <w:color w:val="000000" w:themeColor="text1" w:themeTint="FF" w:themeShade="FF"/>
          <w:sz w:val="22"/>
          <w:szCs w:val="22"/>
        </w:rPr>
        <w:t>L</w:t>
      </w:r>
      <w:r w:rsidRPr="40C41E35" w:rsidR="003253BE">
        <w:rPr>
          <w:rFonts w:ascii="Arial Nova" w:hAnsi="Arial Nova" w:eastAsia="Arial Nova" w:cs="Arial Nova"/>
          <w:color w:val="000000" w:themeColor="text1" w:themeTint="FF" w:themeShade="FF"/>
          <w:sz w:val="22"/>
          <w:szCs w:val="22"/>
        </w:rPr>
        <w:t>oF</w:t>
      </w:r>
    </w:p>
    <w:p w:rsidRPr="002A792E" w:rsidR="003253BE" w:rsidP="40C41E35" w:rsidRDefault="003253BE" w14:paraId="0FF4EAC9" w14:textId="77777777" w14:noSpellErr="1">
      <w:pPr>
        <w:numPr>
          <w:ilvl w:val="1"/>
          <w:numId w:val="6"/>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xml:space="preserve">Higher </w:t>
      </w:r>
      <w:r w:rsidRPr="40C41E35" w:rsidR="003253BE">
        <w:rPr>
          <w:rFonts w:ascii="Arial Nova" w:hAnsi="Arial Nova" w:eastAsia="Arial Nova" w:cs="Arial Nova"/>
          <w:color w:val="000000" w:themeColor="text1" w:themeTint="FF" w:themeShade="FF"/>
          <w:sz w:val="22"/>
          <w:szCs w:val="22"/>
        </w:rPr>
        <w:t>LoF</w:t>
      </w:r>
      <w:r w:rsidRPr="40C41E35" w:rsidR="003253BE">
        <w:rPr>
          <w:rFonts w:ascii="Arial Nova" w:hAnsi="Arial Nova" w:eastAsia="Arial Nova" w:cs="Arial Nova"/>
          <w:color w:val="000000" w:themeColor="text1" w:themeTint="FF" w:themeShade="FF"/>
          <w:sz w:val="22"/>
          <w:szCs w:val="22"/>
        </w:rPr>
        <w:t xml:space="preserve"> leads to a more negative CC, while lower </w:t>
      </w:r>
      <w:r w:rsidRPr="40C41E35" w:rsidR="003253BE">
        <w:rPr>
          <w:rFonts w:ascii="Arial Nova" w:hAnsi="Arial Nova" w:eastAsia="Arial Nova" w:cs="Arial Nova"/>
          <w:color w:val="000000" w:themeColor="text1" w:themeTint="FF" w:themeShade="FF"/>
          <w:sz w:val="22"/>
          <w:szCs w:val="22"/>
        </w:rPr>
        <w:t>LoF</w:t>
      </w:r>
      <w:r w:rsidRPr="40C41E35" w:rsidR="003253BE">
        <w:rPr>
          <w:rFonts w:ascii="Arial Nova" w:hAnsi="Arial Nova" w:eastAsia="Arial Nova" w:cs="Arial Nova"/>
          <w:color w:val="000000" w:themeColor="text1" w:themeTint="FF" w:themeShade="FF"/>
          <w:sz w:val="22"/>
          <w:szCs w:val="22"/>
        </w:rPr>
        <w:t xml:space="preserve"> leads to a less negative CC</w:t>
      </w:r>
    </w:p>
    <w:p w:rsidRPr="002A792E" w:rsidR="003253BE" w:rsidP="40C41E35" w:rsidRDefault="003253BE" w14:paraId="41DFCD9A" w14:textId="77777777" w14:noSpellErr="1">
      <w:pPr>
        <w:jc w:val="both"/>
        <w:rPr>
          <w:rFonts w:ascii="Arial Nova" w:hAnsi="Arial Nova" w:eastAsia="Arial Nova" w:cs="Arial Nova"/>
          <w:sz w:val="22"/>
          <w:szCs w:val="22"/>
        </w:rPr>
      </w:pPr>
    </w:p>
    <w:p w:rsidRPr="002A792E" w:rsidR="003253BE" w:rsidP="40C41E35" w:rsidRDefault="003253BE" w14:paraId="41DF69B5" w14:textId="77777777"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 xml:space="preserve">Using this piecewise function ensures that a more negative AIC and a </w:t>
      </w:r>
      <w:r w:rsidRPr="40C41E35" w:rsidR="003253BE">
        <w:rPr>
          <w:rFonts w:ascii="Arial Nova" w:hAnsi="Arial Nova" w:eastAsia="Arial Nova" w:cs="Arial Nova"/>
          <w:color w:val="000000" w:themeColor="text1" w:themeTint="FF" w:themeShade="FF"/>
          <w:sz w:val="22"/>
          <w:szCs w:val="22"/>
        </w:rPr>
        <w:t>LoF</w:t>
      </w:r>
      <w:r w:rsidRPr="40C41E35" w:rsidR="003253BE">
        <w:rPr>
          <w:rFonts w:ascii="Arial Nova" w:hAnsi="Arial Nova" w:eastAsia="Arial Nova" w:cs="Arial Nova"/>
          <w:color w:val="000000" w:themeColor="text1" w:themeTint="FF" w:themeShade="FF"/>
          <w:sz w:val="22"/>
          <w:szCs w:val="22"/>
        </w:rPr>
        <w:t xml:space="preserve"> closer to 1 are always rewarded.  Combining the values like this allowed us to choose models that fit the data better when AIC values were comparable, and it allowed us to pick models with better AICs when </w:t>
      </w:r>
      <w:r w:rsidRPr="40C41E35" w:rsidR="003253BE">
        <w:rPr>
          <w:rFonts w:ascii="Arial Nova" w:hAnsi="Arial Nova" w:eastAsia="Arial Nova" w:cs="Arial Nova"/>
          <w:color w:val="000000" w:themeColor="text1" w:themeTint="FF" w:themeShade="FF"/>
          <w:sz w:val="22"/>
          <w:szCs w:val="22"/>
        </w:rPr>
        <w:t>LoF</w:t>
      </w:r>
      <w:r w:rsidRPr="40C41E35" w:rsidR="003253BE">
        <w:rPr>
          <w:rFonts w:ascii="Arial Nova" w:hAnsi="Arial Nova" w:eastAsia="Arial Nova" w:cs="Arial Nova"/>
          <w:color w:val="000000" w:themeColor="text1" w:themeTint="FF" w:themeShade="FF"/>
          <w:sz w:val="22"/>
          <w:szCs w:val="22"/>
        </w:rPr>
        <w:t xml:space="preserve"> values were comparable.</w:t>
      </w:r>
    </w:p>
    <w:p w:rsidRPr="002A792E" w:rsidR="003253BE" w:rsidP="40C41E35" w:rsidRDefault="003253BE" w14:paraId="32E719A6" w14:textId="77777777" w14:noSpellErr="1">
      <w:pPr>
        <w:jc w:val="both"/>
        <w:rPr>
          <w:rFonts w:ascii="Arial Nova" w:hAnsi="Arial Nova" w:eastAsia="Arial Nova" w:cs="Arial Nova"/>
          <w:sz w:val="22"/>
          <w:szCs w:val="22"/>
        </w:rPr>
      </w:pPr>
    </w:p>
    <w:p w:rsidRPr="002A792E" w:rsidR="003253BE" w:rsidP="40C41E35" w:rsidRDefault="003253BE" w14:paraId="66CFC76D" w14:textId="77777777"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 xml:space="preserve">After ranking the fitted models by the combined criterion, we tested the models, starting with the best fit, to make sure that they </w:t>
      </w:r>
      <w:r w:rsidRPr="40C41E35" w:rsidR="003253BE">
        <w:rPr>
          <w:rFonts w:ascii="Arial Nova" w:hAnsi="Arial Nova" w:eastAsia="Arial Nova" w:cs="Arial Nova"/>
          <w:color w:val="000000" w:themeColor="text1" w:themeTint="FF" w:themeShade="FF"/>
          <w:sz w:val="22"/>
          <w:szCs w:val="22"/>
        </w:rPr>
        <w:t>didn’t</w:t>
      </w:r>
      <w:r w:rsidRPr="40C41E35" w:rsidR="003253BE">
        <w:rPr>
          <w:rFonts w:ascii="Arial Nova" w:hAnsi="Arial Nova" w:eastAsia="Arial Nova" w:cs="Arial Nova"/>
          <w:color w:val="000000" w:themeColor="text1" w:themeTint="FF" w:themeShade="FF"/>
          <w:sz w:val="22"/>
          <w:szCs w:val="22"/>
        </w:rPr>
        <w:t xml:space="preserve"> overshoot or undershoot the range of observed data.  We </w:t>
      </w:r>
      <w:r w:rsidRPr="40C41E35" w:rsidR="003253BE">
        <w:rPr>
          <w:rFonts w:ascii="Arial Nova" w:hAnsi="Arial Nova" w:eastAsia="Arial Nova" w:cs="Arial Nova"/>
          <w:color w:val="000000" w:themeColor="text1" w:themeTint="FF" w:themeShade="FF"/>
          <w:sz w:val="22"/>
          <w:szCs w:val="22"/>
        </w:rPr>
        <w:t>eliminated</w:t>
      </w:r>
      <w:r w:rsidRPr="40C41E35" w:rsidR="003253BE">
        <w:rPr>
          <w:rFonts w:ascii="Arial Nova" w:hAnsi="Arial Nova" w:eastAsia="Arial Nova" w:cs="Arial Nova"/>
          <w:color w:val="000000" w:themeColor="text1" w:themeTint="FF" w:themeShade="FF"/>
          <w:sz w:val="22"/>
          <w:szCs w:val="22"/>
        </w:rPr>
        <w:t xml:space="preserve"> a model if it predicted a survival higher than 1.1 * the highest mean survival in the observed data.  We also </w:t>
      </w:r>
      <w:r w:rsidRPr="40C41E35" w:rsidR="003253BE">
        <w:rPr>
          <w:rFonts w:ascii="Arial Nova" w:hAnsi="Arial Nova" w:eastAsia="Arial Nova" w:cs="Arial Nova"/>
          <w:color w:val="000000" w:themeColor="text1" w:themeTint="FF" w:themeShade="FF"/>
          <w:sz w:val="22"/>
          <w:szCs w:val="22"/>
        </w:rPr>
        <w:t>eliminated</w:t>
      </w:r>
      <w:r w:rsidRPr="40C41E35" w:rsidR="003253BE">
        <w:rPr>
          <w:rFonts w:ascii="Arial Nova" w:hAnsi="Arial Nova" w:eastAsia="Arial Nova" w:cs="Arial Nova"/>
          <w:color w:val="000000" w:themeColor="text1" w:themeTint="FF" w:themeShade="FF"/>
          <w:sz w:val="22"/>
          <w:szCs w:val="22"/>
        </w:rPr>
        <w:t xml:space="preserve"> a model if it predicted a survival lower than the lowest mean survival - 50% Survival.  The model with the lowest CC value that also passed these tests was chosen as the model of best fit.</w:t>
      </w:r>
    </w:p>
    <w:p w:rsidRPr="002A792E" w:rsidR="003253BE" w:rsidP="40C41E35" w:rsidRDefault="003253BE" w14:paraId="4C227D6F" w14:textId="77777777" w14:noSpellErr="1">
      <w:pPr>
        <w:jc w:val="both"/>
        <w:rPr>
          <w:rFonts w:ascii="Arial Nova" w:hAnsi="Arial Nova" w:eastAsia="Arial Nova" w:cs="Arial Nova"/>
          <w:sz w:val="22"/>
          <w:szCs w:val="22"/>
        </w:rPr>
      </w:pPr>
    </w:p>
    <w:p w:rsidRPr="002A792E" w:rsidR="003253BE" w:rsidP="40C41E35" w:rsidRDefault="003253BE" w14:paraId="6232E72F" w14:textId="77777777">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 xml:space="preserve">Chosen models were plotted using the R package </w:t>
      </w:r>
      <w:r w:rsidRPr="40C41E35" w:rsidR="003253BE">
        <w:rPr>
          <w:rFonts w:ascii="Arial Nova" w:hAnsi="Arial Nova" w:eastAsia="Arial Nova" w:cs="Arial Nova"/>
          <w:i w:val="1"/>
          <w:iCs w:val="1"/>
          <w:color w:val="000000" w:themeColor="text1" w:themeTint="FF" w:themeShade="FF"/>
          <w:sz w:val="22"/>
          <w:szCs w:val="22"/>
        </w:rPr>
        <w:t>ggplot</w:t>
      </w:r>
      <w:r w:rsidRPr="40C41E35" w:rsidR="003253BE">
        <w:rPr>
          <w:rFonts w:ascii="Arial Nova" w:hAnsi="Arial Nova" w:eastAsia="Arial Nova" w:cs="Arial Nova"/>
          <w:color w:val="000000" w:themeColor="text1" w:themeTint="FF" w:themeShade="FF"/>
          <w:sz w:val="22"/>
          <w:szCs w:val="22"/>
        </w:rPr>
        <w:t xml:space="preserve">.  The models were saved </w:t>
      </w:r>
      <w:r w:rsidRPr="40C41E35" w:rsidR="003253BE">
        <w:rPr>
          <w:rFonts w:ascii="Arial Nova" w:hAnsi="Arial Nova" w:eastAsia="Arial Nova" w:cs="Arial Nova"/>
          <w:color w:val="000000" w:themeColor="text1" w:themeTint="FF" w:themeShade="FF"/>
          <w:sz w:val="22"/>
          <w:szCs w:val="22"/>
        </w:rPr>
        <w:t>as .</w:t>
      </w:r>
      <w:r w:rsidRPr="40C41E35" w:rsidR="003253BE">
        <w:rPr>
          <w:rFonts w:ascii="Arial Nova" w:hAnsi="Arial Nova" w:eastAsia="Arial Nova" w:cs="Arial Nova"/>
          <w:color w:val="000000" w:themeColor="text1" w:themeTint="FF" w:themeShade="FF"/>
          <w:sz w:val="22"/>
          <w:szCs w:val="22"/>
        </w:rPr>
        <w:t>Rdata</w:t>
      </w:r>
      <w:r w:rsidRPr="40C41E35" w:rsidR="003253BE">
        <w:rPr>
          <w:rFonts w:ascii="Arial Nova" w:hAnsi="Arial Nova" w:eastAsia="Arial Nova" w:cs="Arial Nova"/>
          <w:color w:val="000000" w:themeColor="text1" w:themeTint="FF" w:themeShade="FF"/>
          <w:sz w:val="22"/>
          <w:szCs w:val="22"/>
        </w:rPr>
        <w:t xml:space="preserve"> objects so that they could be loaded for future analysis.</w:t>
      </w:r>
    </w:p>
    <w:p w:rsidRPr="002A792E" w:rsidR="003253BE" w:rsidP="40C41E35" w:rsidRDefault="003253BE" w14:paraId="55DBEA70" w14:textId="77777777" w14:noSpellErr="1">
      <w:pPr>
        <w:jc w:val="both"/>
        <w:rPr>
          <w:rFonts w:ascii="Arial Nova" w:hAnsi="Arial Nova" w:eastAsia="Arial Nova" w:cs="Arial Nova"/>
          <w:sz w:val="22"/>
          <w:szCs w:val="22"/>
        </w:rPr>
      </w:pPr>
    </w:p>
    <w:p w:rsidR="003253BE" w:rsidP="40C41E35" w:rsidRDefault="003253BE" w14:paraId="70BDA7E5" w14:textId="77777777" w14:noSpellErr="1">
      <w:pPr>
        <w:pStyle w:val="Heading2"/>
        <w:jc w:val="both"/>
        <w:rPr>
          <w:rFonts w:ascii="Arial Nova" w:hAnsi="Arial Nova" w:eastAsia="Arial Nova" w:cs="Arial Nova"/>
          <w:sz w:val="22"/>
          <w:szCs w:val="22"/>
        </w:rPr>
      </w:pPr>
      <w:r w:rsidRPr="40C41E35" w:rsidR="003253BE">
        <w:rPr>
          <w:rFonts w:ascii="Arial Nova" w:hAnsi="Arial Nova" w:eastAsia="Arial Nova" w:cs="Arial Nova"/>
          <w:sz w:val="22"/>
          <w:szCs w:val="22"/>
        </w:rPr>
        <w:t>DSS Calculation</w:t>
      </w:r>
    </w:p>
    <w:p w:rsidRPr="00BC2E7C" w:rsidR="003253BE" w:rsidP="40C41E35" w:rsidRDefault="003253BE" w14:paraId="36DEFAE5" w14:textId="77777777" w14:noSpellErr="1">
      <w:pPr>
        <w:jc w:val="both"/>
        <w:rPr>
          <w:rFonts w:ascii="Arial Nova" w:hAnsi="Arial Nova" w:eastAsia="Arial Nova" w:cs="Arial Nova"/>
          <w:sz w:val="22"/>
          <w:szCs w:val="22"/>
        </w:rPr>
      </w:pPr>
      <w:r w:rsidRPr="40C41E35" w:rsidR="003253BE">
        <w:rPr>
          <w:rFonts w:ascii="Arial Nova" w:hAnsi="Arial Nova" w:eastAsia="Arial Nova" w:cs="Arial Nova"/>
          <w:color w:val="000000" w:themeColor="text1" w:themeTint="FF" w:themeShade="FF"/>
          <w:sz w:val="22"/>
          <w:szCs w:val="22"/>
        </w:rPr>
        <w:t>The DSS is calculated as a weighted sum of various “windows” which compare the response of a tumor and the OBSC to a given treatment.  Each window took a value between -1 (</w:t>
      </w:r>
      <w:r w:rsidRPr="40C41E35" w:rsidR="003253BE">
        <w:rPr>
          <w:rFonts w:ascii="Arial Nova" w:hAnsi="Arial Nova" w:eastAsia="Arial Nova" w:cs="Arial Nova"/>
          <w:color w:val="000000" w:themeColor="text1" w:themeTint="FF" w:themeShade="FF"/>
          <w:sz w:val="22"/>
          <w:szCs w:val="22"/>
        </w:rPr>
        <w:t>indicating</w:t>
      </w:r>
      <w:r w:rsidRPr="40C41E35" w:rsidR="003253BE">
        <w:rPr>
          <w:rFonts w:ascii="Arial Nova" w:hAnsi="Arial Nova" w:eastAsia="Arial Nova" w:cs="Arial Nova"/>
          <w:color w:val="000000" w:themeColor="text1" w:themeTint="FF" w:themeShade="FF"/>
          <w:sz w:val="22"/>
          <w:szCs w:val="22"/>
        </w:rPr>
        <w:t xml:space="preserve"> greater treatment effect on the OBSC) and 1 (</w:t>
      </w:r>
      <w:r w:rsidRPr="40C41E35" w:rsidR="003253BE">
        <w:rPr>
          <w:rFonts w:ascii="Arial Nova" w:hAnsi="Arial Nova" w:eastAsia="Arial Nova" w:cs="Arial Nova"/>
          <w:color w:val="000000" w:themeColor="text1" w:themeTint="FF" w:themeShade="FF"/>
          <w:sz w:val="22"/>
          <w:szCs w:val="22"/>
        </w:rPr>
        <w:t>indicating</w:t>
      </w:r>
      <w:r w:rsidRPr="40C41E35" w:rsidR="003253BE">
        <w:rPr>
          <w:rFonts w:ascii="Arial Nova" w:hAnsi="Arial Nova" w:eastAsia="Arial Nova" w:cs="Arial Nova"/>
          <w:color w:val="000000" w:themeColor="text1" w:themeTint="FF" w:themeShade="FF"/>
          <w:sz w:val="22"/>
          <w:szCs w:val="22"/>
        </w:rPr>
        <w:t xml:space="preserve"> greater treatment effect on the tumor).  Each of the eleven parameters is described below:</w:t>
      </w:r>
      <w:r>
        <w:br/>
      </w:r>
    </w:p>
    <w:p w:rsidRPr="00BC2E7C" w:rsidR="003253BE" w:rsidP="40C41E35" w:rsidRDefault="003253BE" w14:paraId="234C0307" w14:textId="77777777">
      <w:pPr>
        <w:numPr>
          <w:ilvl w:val="0"/>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b w:val="1"/>
          <w:bCs w:val="1"/>
          <w:color w:val="000000" w:themeColor="text1" w:themeTint="FF" w:themeShade="FF"/>
          <w:sz w:val="22"/>
          <w:szCs w:val="22"/>
        </w:rPr>
        <w:t>EDxx</w:t>
      </w:r>
      <w:r w:rsidRPr="40C41E35" w:rsidR="003253BE">
        <w:rPr>
          <w:rFonts w:ascii="Arial Nova" w:hAnsi="Arial Nova" w:eastAsia="Arial Nova" w:cs="Arial Nova"/>
          <w:b w:val="1"/>
          <w:bCs w:val="1"/>
          <w:color w:val="000000" w:themeColor="text1" w:themeTint="FF" w:themeShade="FF"/>
          <w:sz w:val="22"/>
          <w:szCs w:val="22"/>
        </w:rPr>
        <w:t xml:space="preserve"> Window</w:t>
      </w:r>
      <w:r w:rsidRPr="40C41E35" w:rsidR="003253BE">
        <w:rPr>
          <w:rFonts w:ascii="Arial Nova" w:hAnsi="Arial Nova" w:eastAsia="Arial Nova" w:cs="Arial Nova"/>
          <w:color w:val="000000" w:themeColor="text1" w:themeTint="FF" w:themeShade="FF"/>
          <w:sz w:val="22"/>
          <w:szCs w:val="22"/>
        </w:rPr>
        <w:t xml:space="preserve">: The gap between the tumor and OBSC Survival values at the dose where xx% killing is </w:t>
      </w:r>
      <w:r w:rsidRPr="40C41E35" w:rsidR="003253BE">
        <w:rPr>
          <w:rFonts w:ascii="Arial Nova" w:hAnsi="Arial Nova" w:eastAsia="Arial Nova" w:cs="Arial Nova"/>
          <w:color w:val="000000" w:themeColor="text1" w:themeTint="FF" w:themeShade="FF"/>
          <w:sz w:val="22"/>
          <w:szCs w:val="22"/>
        </w:rPr>
        <w:t>observed</w:t>
      </w:r>
      <w:r w:rsidRPr="40C41E35" w:rsidR="003253BE">
        <w:rPr>
          <w:rFonts w:ascii="Arial Nova" w:hAnsi="Arial Nova" w:eastAsia="Arial Nova" w:cs="Arial Nova"/>
          <w:color w:val="000000" w:themeColor="text1" w:themeTint="FF" w:themeShade="FF"/>
          <w:sz w:val="22"/>
          <w:szCs w:val="22"/>
        </w:rPr>
        <w:t xml:space="preserve"> in the tumor.  The </w:t>
      </w:r>
      <w:r w:rsidRPr="40C41E35" w:rsidR="003253BE">
        <w:rPr>
          <w:rFonts w:ascii="Arial Nova" w:hAnsi="Arial Nova" w:eastAsia="Arial Nova" w:cs="Arial Nova"/>
          <w:color w:val="000000" w:themeColor="text1" w:themeTint="FF" w:themeShade="FF"/>
          <w:sz w:val="22"/>
          <w:szCs w:val="22"/>
        </w:rPr>
        <w:t>EDxx</w:t>
      </w:r>
      <w:r w:rsidRPr="40C41E35" w:rsidR="003253BE">
        <w:rPr>
          <w:rFonts w:ascii="Arial Nova" w:hAnsi="Arial Nova" w:eastAsia="Arial Nova" w:cs="Arial Nova"/>
          <w:color w:val="000000" w:themeColor="text1" w:themeTint="FF" w:themeShade="FF"/>
          <w:sz w:val="22"/>
          <w:szCs w:val="22"/>
        </w:rPr>
        <w:t xml:space="preserve"> of the tumor was found numerically by finding where the fitted model predicted xx% killing.  Windows were found for ED10, ED25, ED50, ED75, and ED90.  OBSC survival was then evaluated at this dose.  The window was found using the following piecewise function:</w:t>
      </w:r>
    </w:p>
    <w:p w:rsidRPr="00BC2E7C" w:rsidR="003253BE" w:rsidP="40C41E35" w:rsidRDefault="003253BE" w14:paraId="361CE33C" w14:textId="77777777">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xml:space="preserve">If OBSC health &gt; 100% at </w:t>
      </w:r>
      <w:r w:rsidRPr="40C41E35" w:rsidR="003253BE">
        <w:rPr>
          <w:rFonts w:ascii="Arial Nova" w:hAnsi="Arial Nova" w:eastAsia="Arial Nova" w:cs="Arial Nova"/>
          <w:color w:val="000000" w:themeColor="text1" w:themeTint="FF" w:themeShade="FF"/>
          <w:sz w:val="22"/>
          <w:szCs w:val="22"/>
        </w:rPr>
        <w:t>EDxx</w:t>
      </w:r>
      <w:r w:rsidRPr="40C41E35" w:rsidR="003253BE">
        <w:rPr>
          <w:rFonts w:ascii="Arial Nova" w:hAnsi="Arial Nova" w:eastAsia="Arial Nova" w:cs="Arial Nova"/>
          <w:color w:val="000000" w:themeColor="text1" w:themeTint="FF" w:themeShade="FF"/>
          <w:sz w:val="22"/>
          <w:szCs w:val="22"/>
        </w:rPr>
        <w:t>: </w:t>
      </w:r>
    </w:p>
    <w:p w:rsidRPr="00BC2E7C" w:rsidR="003253BE" w:rsidP="40C41E35" w:rsidRDefault="003253BE" w14:paraId="0D463769" w14:textId="77777777">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w:t>
      </w:r>
      <w:r w:rsidRPr="40C41E35" w:rsidR="003253BE">
        <w:rPr>
          <w:rFonts w:ascii="Arial Nova" w:hAnsi="Arial Nova" w:eastAsia="Arial Nova" w:cs="Arial Nova"/>
          <w:color w:val="000000" w:themeColor="text1" w:themeTint="FF" w:themeShade="FF"/>
          <w:sz w:val="22"/>
          <w:szCs w:val="22"/>
        </w:rPr>
        <w:t>EDxx</w:t>
      </w:r>
      <w:r w:rsidRPr="40C41E35" w:rsidR="003253BE">
        <w:rPr>
          <w:rFonts w:ascii="Arial Nova" w:hAnsi="Arial Nova" w:eastAsia="Arial Nova" w:cs="Arial Nova"/>
          <w:color w:val="000000" w:themeColor="text1" w:themeTint="FF" w:themeShade="FF"/>
          <w:sz w:val="22"/>
          <w:szCs w:val="22"/>
        </w:rPr>
        <w:t xml:space="preserve"> Window = 1 (max value)</w:t>
      </w:r>
    </w:p>
    <w:p w:rsidRPr="00BC2E7C" w:rsidR="003253BE" w:rsidP="40C41E35" w:rsidRDefault="003253BE" w14:paraId="59C87CFA" w14:textId="77777777">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xml:space="preserve">If OBSC health &gt; Tumor Health at </w:t>
      </w:r>
      <w:r w:rsidRPr="40C41E35" w:rsidR="003253BE">
        <w:rPr>
          <w:rFonts w:ascii="Arial Nova" w:hAnsi="Arial Nova" w:eastAsia="Arial Nova" w:cs="Arial Nova"/>
          <w:color w:val="000000" w:themeColor="text1" w:themeTint="FF" w:themeShade="FF"/>
          <w:sz w:val="22"/>
          <w:szCs w:val="22"/>
        </w:rPr>
        <w:t>EDxx</w:t>
      </w:r>
      <w:r w:rsidRPr="40C41E35" w:rsidR="003253BE">
        <w:rPr>
          <w:rFonts w:ascii="Arial Nova" w:hAnsi="Arial Nova" w:eastAsia="Arial Nova" w:cs="Arial Nova"/>
          <w:color w:val="000000" w:themeColor="text1" w:themeTint="FF" w:themeShade="FF"/>
          <w:sz w:val="22"/>
          <w:szCs w:val="22"/>
        </w:rPr>
        <w:t>:</w:t>
      </w:r>
    </w:p>
    <w:p w:rsidRPr="00BC2E7C" w:rsidR="003253BE" w:rsidP="40C41E35" w:rsidRDefault="003253BE" w14:paraId="7B6F67BF" w14:textId="77777777">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w:t>
      </w:r>
      <w:r w:rsidRPr="40C41E35" w:rsidR="003253BE">
        <w:rPr>
          <w:rFonts w:ascii="Arial Nova" w:hAnsi="Arial Nova" w:eastAsia="Arial Nova" w:cs="Arial Nova"/>
          <w:color w:val="000000" w:themeColor="text1" w:themeTint="FF" w:themeShade="FF"/>
          <w:sz w:val="22"/>
          <w:szCs w:val="22"/>
        </w:rPr>
        <w:t>EDxx</w:t>
      </w:r>
      <w:r w:rsidRPr="40C41E35" w:rsidR="003253BE">
        <w:rPr>
          <w:rFonts w:ascii="Arial Nova" w:hAnsi="Arial Nova" w:eastAsia="Arial Nova" w:cs="Arial Nova"/>
          <w:color w:val="000000" w:themeColor="text1" w:themeTint="FF" w:themeShade="FF"/>
          <w:sz w:val="22"/>
          <w:szCs w:val="22"/>
        </w:rPr>
        <w:t xml:space="preserve"> Window = (Tumor Kill - OBSC Kill)/Tumor Kill</w:t>
      </w:r>
    </w:p>
    <w:p w:rsidRPr="00BC2E7C" w:rsidR="003253BE" w:rsidP="40C41E35" w:rsidRDefault="003253BE" w14:paraId="7BEBFDEC" w14:textId="77777777">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xml:space="preserve">If Tumor health &gt; OBSC Health at </w:t>
      </w:r>
      <w:r w:rsidRPr="40C41E35" w:rsidR="003253BE">
        <w:rPr>
          <w:rFonts w:ascii="Arial Nova" w:hAnsi="Arial Nova" w:eastAsia="Arial Nova" w:cs="Arial Nova"/>
          <w:color w:val="000000" w:themeColor="text1" w:themeTint="FF" w:themeShade="FF"/>
          <w:sz w:val="22"/>
          <w:szCs w:val="22"/>
        </w:rPr>
        <w:t>EDxx</w:t>
      </w:r>
      <w:r w:rsidRPr="40C41E35" w:rsidR="003253BE">
        <w:rPr>
          <w:rFonts w:ascii="Arial Nova" w:hAnsi="Arial Nova" w:eastAsia="Arial Nova" w:cs="Arial Nova"/>
          <w:color w:val="000000" w:themeColor="text1" w:themeTint="FF" w:themeShade="FF"/>
          <w:sz w:val="22"/>
          <w:szCs w:val="22"/>
        </w:rPr>
        <w:t>:</w:t>
      </w:r>
    </w:p>
    <w:p w:rsidRPr="00BC2E7C" w:rsidR="003253BE" w:rsidP="40C41E35" w:rsidRDefault="003253BE" w14:paraId="27794A63" w14:textId="77777777">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w:t>
      </w:r>
      <w:r w:rsidRPr="40C41E35" w:rsidR="003253BE">
        <w:rPr>
          <w:rFonts w:ascii="Arial Nova" w:hAnsi="Arial Nova" w:eastAsia="Arial Nova" w:cs="Arial Nova"/>
          <w:color w:val="000000" w:themeColor="text1" w:themeTint="FF" w:themeShade="FF"/>
          <w:sz w:val="22"/>
          <w:szCs w:val="22"/>
        </w:rPr>
        <w:t>EDxx</w:t>
      </w:r>
      <w:r w:rsidRPr="40C41E35" w:rsidR="003253BE">
        <w:rPr>
          <w:rFonts w:ascii="Arial Nova" w:hAnsi="Arial Nova" w:eastAsia="Arial Nova" w:cs="Arial Nova"/>
          <w:color w:val="000000" w:themeColor="text1" w:themeTint="FF" w:themeShade="FF"/>
          <w:sz w:val="22"/>
          <w:szCs w:val="22"/>
        </w:rPr>
        <w:t xml:space="preserve"> Window = (Tumor Kill - OBSC Kill)/OBSC Kill</w:t>
      </w:r>
    </w:p>
    <w:p w:rsidRPr="00BC2E7C" w:rsidR="003253BE" w:rsidP="40C41E35" w:rsidRDefault="003253BE" w14:paraId="732770FC" w14:textId="77777777" w14:noSpellErr="1">
      <w:pPr>
        <w:numPr>
          <w:ilvl w:val="0"/>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b w:val="1"/>
          <w:bCs w:val="1"/>
          <w:color w:val="000000" w:themeColor="text1" w:themeTint="FF" w:themeShade="FF"/>
          <w:sz w:val="22"/>
          <w:szCs w:val="22"/>
        </w:rPr>
        <w:t>AUC Window</w:t>
      </w:r>
      <w:r w:rsidRPr="40C41E35" w:rsidR="003253BE">
        <w:rPr>
          <w:rFonts w:ascii="Arial Nova" w:hAnsi="Arial Nova" w:eastAsia="Arial Nova" w:cs="Arial Nova"/>
          <w:color w:val="000000" w:themeColor="text1" w:themeTint="FF" w:themeShade="FF"/>
          <w:sz w:val="22"/>
          <w:szCs w:val="22"/>
        </w:rPr>
        <w:t>: The difference between the AUC of the Tumor model and the OBSC model.  The AUC of each was found by numerically integrating the fitted models.  AUC Window was calculated using the following piecewise function:</w:t>
      </w:r>
    </w:p>
    <w:p w:rsidRPr="00BC2E7C" w:rsidR="003253BE" w:rsidP="40C41E35" w:rsidRDefault="003253BE" w14:paraId="4B265627"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xml:space="preserve">If OBSC AUC &gt; Tumor AUC (corresponding to more </w:t>
      </w:r>
      <w:r w:rsidRPr="40C41E35" w:rsidR="003253BE">
        <w:rPr>
          <w:rFonts w:ascii="Arial Nova" w:hAnsi="Arial Nova" w:eastAsia="Arial Nova" w:cs="Arial Nova"/>
          <w:color w:val="000000" w:themeColor="text1" w:themeTint="FF" w:themeShade="FF"/>
          <w:sz w:val="22"/>
          <w:szCs w:val="22"/>
        </w:rPr>
        <w:t>tumor</w:t>
      </w:r>
      <w:r w:rsidRPr="40C41E35" w:rsidR="003253BE">
        <w:rPr>
          <w:rFonts w:ascii="Arial Nova" w:hAnsi="Arial Nova" w:eastAsia="Arial Nova" w:cs="Arial Nova"/>
          <w:color w:val="000000" w:themeColor="text1" w:themeTint="FF" w:themeShade="FF"/>
          <w:sz w:val="22"/>
          <w:szCs w:val="22"/>
        </w:rPr>
        <w:t xml:space="preserve"> kill):</w:t>
      </w:r>
    </w:p>
    <w:p w:rsidRPr="00BC2E7C" w:rsidR="003253BE" w:rsidP="40C41E35" w:rsidRDefault="003253BE" w14:paraId="18C3F182"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AUC Window = (OBSC AUC - Tumor AUC)/OBSC AUC</w:t>
      </w:r>
    </w:p>
    <w:p w:rsidRPr="00BC2E7C" w:rsidR="003253BE" w:rsidP="40C41E35" w:rsidRDefault="003253BE" w14:paraId="3014CBD0"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If OBSC AUC &lt;= Tumor AUC:</w:t>
      </w:r>
    </w:p>
    <w:p w:rsidRPr="00BC2E7C" w:rsidR="003253BE" w:rsidP="40C41E35" w:rsidRDefault="003253BE" w14:paraId="28DBBE42"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AUC Window = (OBSC AUC - Tumor AUC)/Tumor AUC</w:t>
      </w:r>
    </w:p>
    <w:p w:rsidRPr="00BC2E7C" w:rsidR="003253BE" w:rsidP="40C41E35" w:rsidRDefault="003253BE" w14:paraId="111EBFB3" w14:textId="77777777" w14:noSpellErr="1">
      <w:pPr>
        <w:numPr>
          <w:ilvl w:val="0"/>
          <w:numId w:val="8"/>
        </w:numPr>
        <w:jc w:val="both"/>
        <w:textAlignment w:val="baseline"/>
        <w:rPr>
          <w:rFonts w:ascii="Arial Nova" w:hAnsi="Arial Nova" w:eastAsia="Arial Nova" w:cs="Arial Nova"/>
          <w:b w:val="1"/>
          <w:bCs w:val="1"/>
          <w:color w:val="000000"/>
          <w:sz w:val="22"/>
          <w:szCs w:val="22"/>
        </w:rPr>
      </w:pPr>
      <w:r w:rsidRPr="40C41E35" w:rsidR="003253BE">
        <w:rPr>
          <w:rFonts w:ascii="Arial Nova" w:hAnsi="Arial Nova" w:eastAsia="Arial Nova" w:cs="Arial Nova"/>
          <w:b w:val="1"/>
          <w:bCs w:val="1"/>
          <w:color w:val="000000" w:themeColor="text1" w:themeTint="FF" w:themeShade="FF"/>
          <w:sz w:val="22"/>
          <w:szCs w:val="22"/>
        </w:rPr>
        <w:t>Tumor Growth Acceleration (TGA):</w:t>
      </w:r>
      <w:r w:rsidRPr="40C41E35" w:rsidR="003253BE">
        <w:rPr>
          <w:rFonts w:ascii="Arial Nova" w:hAnsi="Arial Nova" w:eastAsia="Arial Nova" w:cs="Arial Nova"/>
          <w:color w:val="000000" w:themeColor="text1" w:themeTint="FF" w:themeShade="FF"/>
          <w:sz w:val="22"/>
          <w:szCs w:val="22"/>
        </w:rPr>
        <w:t xml:space="preserve"> A test for whether treatment accelerated tumor growth at any point.  </w:t>
      </w:r>
    </w:p>
    <w:p w:rsidRPr="00BC2E7C" w:rsidR="003253BE" w:rsidP="40C41E35" w:rsidRDefault="003253BE" w14:paraId="63ACE1B5"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If Max Survival &gt; 150%: </w:t>
      </w:r>
    </w:p>
    <w:p w:rsidRPr="00BC2E7C" w:rsidR="003253BE" w:rsidP="40C41E35" w:rsidRDefault="003253BE" w14:paraId="7A5BD8FB"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TGA Window = -1</w:t>
      </w:r>
    </w:p>
    <w:p w:rsidRPr="00BC2E7C" w:rsidR="003253BE" w:rsidP="40C41E35" w:rsidRDefault="003253BE" w14:paraId="30A01B88"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Else, If Max Survival &gt; 125%: </w:t>
      </w:r>
    </w:p>
    <w:p w:rsidRPr="00BC2E7C" w:rsidR="003253BE" w:rsidP="40C41E35" w:rsidRDefault="003253BE" w14:paraId="094CFE1C"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TGA Window = 0</w:t>
      </w:r>
    </w:p>
    <w:p w:rsidRPr="00BC2E7C" w:rsidR="003253BE" w:rsidP="40C41E35" w:rsidRDefault="003253BE" w14:paraId="69BD3982"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Else: </w:t>
      </w:r>
    </w:p>
    <w:p w:rsidRPr="00BC2E7C" w:rsidR="003253BE" w:rsidP="40C41E35" w:rsidRDefault="003253BE" w14:paraId="1B54190E"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TGA Window = 1</w:t>
      </w:r>
    </w:p>
    <w:p w:rsidRPr="00BC2E7C" w:rsidR="003253BE" w:rsidP="40C41E35" w:rsidRDefault="003253BE" w14:paraId="0451E5FD" w14:textId="77777777" w14:noSpellErr="1">
      <w:pPr>
        <w:numPr>
          <w:ilvl w:val="0"/>
          <w:numId w:val="8"/>
        </w:numPr>
        <w:jc w:val="both"/>
        <w:textAlignment w:val="baseline"/>
        <w:rPr>
          <w:rFonts w:ascii="Arial Nova" w:hAnsi="Arial Nova" w:eastAsia="Arial Nova" w:cs="Arial Nova"/>
          <w:b w:val="1"/>
          <w:bCs w:val="1"/>
          <w:color w:val="000000"/>
          <w:sz w:val="22"/>
          <w:szCs w:val="22"/>
        </w:rPr>
      </w:pPr>
      <w:r w:rsidRPr="40C41E35" w:rsidR="003253BE">
        <w:rPr>
          <w:rFonts w:ascii="Arial Nova" w:hAnsi="Arial Nova" w:eastAsia="Arial Nova" w:cs="Arial Nova"/>
          <w:b w:val="1"/>
          <w:bCs w:val="1"/>
          <w:color w:val="000000" w:themeColor="text1" w:themeTint="FF" w:themeShade="FF"/>
          <w:sz w:val="22"/>
          <w:szCs w:val="22"/>
        </w:rPr>
        <w:t>Incomplete Kill (IK):</w:t>
      </w:r>
      <w:r w:rsidRPr="40C41E35" w:rsidR="003253BE">
        <w:rPr>
          <w:rFonts w:ascii="Arial Nova" w:hAnsi="Arial Nova" w:eastAsia="Arial Nova" w:cs="Arial Nova"/>
          <w:color w:val="000000" w:themeColor="text1" w:themeTint="FF" w:themeShade="FF"/>
          <w:sz w:val="22"/>
          <w:szCs w:val="22"/>
        </w:rPr>
        <w:t xml:space="preserve"> A test for whether treatment achieved complete tumor kill  </w:t>
      </w:r>
    </w:p>
    <w:p w:rsidRPr="00BC2E7C" w:rsidR="003253BE" w:rsidP="40C41E35" w:rsidRDefault="003253BE" w14:paraId="54F0BB5A"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If Survival at Highest Dose &gt; 25%: </w:t>
      </w:r>
    </w:p>
    <w:p w:rsidRPr="00BC2E7C" w:rsidR="003253BE" w:rsidP="40C41E35" w:rsidRDefault="003253BE" w14:paraId="32505E7D"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IK Window = -1</w:t>
      </w:r>
    </w:p>
    <w:p w:rsidRPr="00BC2E7C" w:rsidR="003253BE" w:rsidP="40C41E35" w:rsidRDefault="003253BE" w14:paraId="50459F60"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Else, if Survival at Highest Dose &gt; 10%: </w:t>
      </w:r>
    </w:p>
    <w:p w:rsidRPr="00BC2E7C" w:rsidR="003253BE" w:rsidP="40C41E35" w:rsidRDefault="003253BE" w14:paraId="1A000809"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IK Window = 0</w:t>
      </w:r>
    </w:p>
    <w:p w:rsidRPr="00BC2E7C" w:rsidR="003253BE" w:rsidP="40C41E35" w:rsidRDefault="003253BE" w14:paraId="0E40F2CD"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Else: </w:t>
      </w:r>
    </w:p>
    <w:p w:rsidRPr="00BC2E7C" w:rsidR="003253BE" w:rsidP="40C41E35" w:rsidRDefault="003253BE" w14:paraId="6CAF586B"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IK Window = 1</w:t>
      </w:r>
    </w:p>
    <w:p w:rsidRPr="00BC2E7C" w:rsidR="003253BE" w:rsidP="40C41E35" w:rsidRDefault="003253BE" w14:paraId="1DDFF8AF" w14:textId="77777777" w14:noSpellErr="1">
      <w:pPr>
        <w:numPr>
          <w:ilvl w:val="0"/>
          <w:numId w:val="8"/>
        </w:numPr>
        <w:jc w:val="both"/>
        <w:textAlignment w:val="baseline"/>
        <w:rPr>
          <w:rFonts w:ascii="Arial Nova" w:hAnsi="Arial Nova" w:eastAsia="Arial Nova" w:cs="Arial Nova"/>
          <w:b w:val="1"/>
          <w:bCs w:val="1"/>
          <w:color w:val="000000"/>
          <w:sz w:val="22"/>
          <w:szCs w:val="22"/>
        </w:rPr>
      </w:pPr>
      <w:r w:rsidRPr="40C41E35" w:rsidR="003253BE">
        <w:rPr>
          <w:rFonts w:ascii="Arial Nova" w:hAnsi="Arial Nova" w:eastAsia="Arial Nova" w:cs="Arial Nova"/>
          <w:b w:val="1"/>
          <w:bCs w:val="1"/>
          <w:color w:val="000000" w:themeColor="text1" w:themeTint="FF" w:themeShade="FF"/>
          <w:sz w:val="22"/>
          <w:szCs w:val="22"/>
        </w:rPr>
        <w:t>Max Kill (MK):</w:t>
      </w:r>
      <w:r w:rsidRPr="40C41E35" w:rsidR="003253BE">
        <w:rPr>
          <w:rFonts w:ascii="Arial Nova" w:hAnsi="Arial Nova" w:eastAsia="Arial Nova" w:cs="Arial Nova"/>
          <w:color w:val="000000" w:themeColor="text1" w:themeTint="FF" w:themeShade="FF"/>
          <w:sz w:val="22"/>
          <w:szCs w:val="22"/>
        </w:rPr>
        <w:t xml:space="preserve"> Compares Tumor Kill at the highest dose (TK) to OBSC Kill at Highest Dose (OK)  </w:t>
      </w:r>
    </w:p>
    <w:p w:rsidRPr="00BC2E7C" w:rsidR="003253BE" w:rsidP="40C41E35" w:rsidRDefault="003253BE" w14:paraId="34541622"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If TK &gt; OK: MK Window = </w:t>
      </w:r>
    </w:p>
    <w:p w:rsidRPr="00BC2E7C" w:rsidR="003253BE" w:rsidP="40C41E35" w:rsidRDefault="003253BE" w14:paraId="18E1F7E9"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(TK - OK)/TK</w:t>
      </w:r>
    </w:p>
    <w:p w:rsidRPr="00BC2E7C" w:rsidR="003253BE" w:rsidP="40C41E35" w:rsidRDefault="003253BE" w14:paraId="2FF06C27"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If OK &gt; TK: MK Window = </w:t>
      </w:r>
    </w:p>
    <w:p w:rsidRPr="00BC2E7C" w:rsidR="003253BE" w:rsidP="40C41E35" w:rsidRDefault="003253BE" w14:paraId="3571EB16"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(TK - OK)/OK</w:t>
      </w:r>
    </w:p>
    <w:p w:rsidRPr="00BC2E7C" w:rsidR="003253BE" w:rsidP="40C41E35" w:rsidRDefault="003253BE" w14:paraId="6E547971" w14:textId="77777777" w14:noSpellErr="1">
      <w:pPr>
        <w:numPr>
          <w:ilvl w:val="0"/>
          <w:numId w:val="8"/>
        </w:numPr>
        <w:jc w:val="both"/>
        <w:textAlignment w:val="baseline"/>
        <w:rPr>
          <w:rFonts w:ascii="Arial Nova" w:hAnsi="Arial Nova" w:eastAsia="Arial Nova" w:cs="Arial Nova"/>
          <w:b w:val="1"/>
          <w:bCs w:val="1"/>
          <w:color w:val="000000"/>
          <w:sz w:val="22"/>
          <w:szCs w:val="22"/>
        </w:rPr>
      </w:pPr>
      <w:r w:rsidRPr="40C41E35" w:rsidR="003253BE">
        <w:rPr>
          <w:rFonts w:ascii="Arial Nova" w:hAnsi="Arial Nova" w:eastAsia="Arial Nova" w:cs="Arial Nova"/>
          <w:b w:val="1"/>
          <w:bCs w:val="1"/>
          <w:color w:val="000000" w:themeColor="text1" w:themeTint="FF" w:themeShade="FF"/>
          <w:sz w:val="22"/>
          <w:szCs w:val="22"/>
        </w:rPr>
        <w:t xml:space="preserve">Biphasic (BP): </w:t>
      </w:r>
      <w:r w:rsidRPr="40C41E35" w:rsidR="003253BE">
        <w:rPr>
          <w:rFonts w:ascii="Arial Nova" w:hAnsi="Arial Nova" w:eastAsia="Arial Nova" w:cs="Arial Nova"/>
          <w:color w:val="000000" w:themeColor="text1" w:themeTint="FF" w:themeShade="FF"/>
          <w:sz w:val="22"/>
          <w:szCs w:val="22"/>
        </w:rPr>
        <w:t>Checks for whether the highest three doses are statistically significantly different from each other.</w:t>
      </w:r>
    </w:p>
    <w:p w:rsidRPr="00BC2E7C" w:rsidR="003253BE" w:rsidP="40C41E35" w:rsidRDefault="003253BE" w14:paraId="39C3C4B5"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If significantly different: </w:t>
      </w:r>
    </w:p>
    <w:p w:rsidRPr="00BC2E7C" w:rsidR="003253BE" w:rsidP="40C41E35" w:rsidRDefault="003253BE" w14:paraId="265E39BC"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BP Window = 1</w:t>
      </w:r>
    </w:p>
    <w:p w:rsidRPr="00BC2E7C" w:rsidR="003253BE" w:rsidP="40C41E35" w:rsidRDefault="003253BE" w14:paraId="07D99CF2"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If not significantly different: </w:t>
      </w:r>
    </w:p>
    <w:p w:rsidRPr="00BC2E7C" w:rsidR="003253BE" w:rsidP="40C41E35" w:rsidRDefault="003253BE" w14:paraId="42669381"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BP Window = -1</w:t>
      </w:r>
    </w:p>
    <w:p w:rsidRPr="00BC2E7C" w:rsidR="003253BE" w:rsidP="40C41E35" w:rsidRDefault="003253BE" w14:paraId="7435A06A" w14:textId="77777777" w14:noSpellErr="1">
      <w:pPr>
        <w:numPr>
          <w:ilvl w:val="0"/>
          <w:numId w:val="8"/>
        </w:numPr>
        <w:jc w:val="both"/>
        <w:textAlignment w:val="baseline"/>
        <w:rPr>
          <w:rFonts w:ascii="Arial Nova" w:hAnsi="Arial Nova" w:eastAsia="Arial Nova" w:cs="Arial Nova"/>
          <w:b w:val="1"/>
          <w:bCs w:val="1"/>
          <w:color w:val="000000"/>
          <w:sz w:val="22"/>
          <w:szCs w:val="22"/>
        </w:rPr>
      </w:pPr>
      <w:r w:rsidRPr="40C41E35" w:rsidR="003253BE">
        <w:rPr>
          <w:rFonts w:ascii="Arial Nova" w:hAnsi="Arial Nova" w:eastAsia="Arial Nova" w:cs="Arial Nova"/>
          <w:b w:val="1"/>
          <w:bCs w:val="1"/>
          <w:color w:val="000000" w:themeColor="text1" w:themeTint="FF" w:themeShade="FF"/>
          <w:sz w:val="22"/>
          <w:szCs w:val="22"/>
        </w:rPr>
        <w:t xml:space="preserve">Slope: </w:t>
      </w:r>
      <w:r w:rsidRPr="40C41E35" w:rsidR="003253BE">
        <w:rPr>
          <w:rFonts w:ascii="Arial Nova" w:hAnsi="Arial Nova" w:eastAsia="Arial Nova" w:cs="Arial Nova"/>
          <w:color w:val="000000" w:themeColor="text1" w:themeTint="FF" w:themeShade="FF"/>
          <w:sz w:val="22"/>
          <w:szCs w:val="22"/>
        </w:rPr>
        <w:t xml:space="preserve">Compares slope of tumor model to slope of OBSC model.  If the tumor model reaches 50% kill, then the slope is evaluated at the Tumor’s ED50.  Otherwise, the slopes are compared at the highest dose.  A greater slope </w:t>
      </w:r>
      <w:r w:rsidRPr="40C41E35" w:rsidR="003253BE">
        <w:rPr>
          <w:rFonts w:ascii="Arial Nova" w:hAnsi="Arial Nova" w:eastAsia="Arial Nova" w:cs="Arial Nova"/>
          <w:color w:val="000000" w:themeColor="text1" w:themeTint="FF" w:themeShade="FF"/>
          <w:sz w:val="22"/>
          <w:szCs w:val="22"/>
        </w:rPr>
        <w:t>magnitude</w:t>
      </w:r>
      <w:r w:rsidRPr="40C41E35" w:rsidR="003253BE">
        <w:rPr>
          <w:rFonts w:ascii="Arial Nova" w:hAnsi="Arial Nova" w:eastAsia="Arial Nova" w:cs="Arial Nova"/>
          <w:color w:val="000000" w:themeColor="text1" w:themeTint="FF" w:themeShade="FF"/>
          <w:sz w:val="22"/>
          <w:szCs w:val="22"/>
        </w:rPr>
        <w:t xml:space="preserve"> </w:t>
      </w:r>
      <w:r w:rsidRPr="40C41E35" w:rsidR="003253BE">
        <w:rPr>
          <w:rFonts w:ascii="Arial Nova" w:hAnsi="Arial Nova" w:eastAsia="Arial Nova" w:cs="Arial Nova"/>
          <w:color w:val="000000" w:themeColor="text1" w:themeTint="FF" w:themeShade="FF"/>
          <w:sz w:val="22"/>
          <w:szCs w:val="22"/>
        </w:rPr>
        <w:t>indicates</w:t>
      </w:r>
      <w:r w:rsidRPr="40C41E35" w:rsidR="003253BE">
        <w:rPr>
          <w:rFonts w:ascii="Arial Nova" w:hAnsi="Arial Nova" w:eastAsia="Arial Nova" w:cs="Arial Nova"/>
          <w:color w:val="000000" w:themeColor="text1" w:themeTint="FF" w:themeShade="FF"/>
          <w:sz w:val="22"/>
          <w:szCs w:val="22"/>
        </w:rPr>
        <w:t xml:space="preserve"> higher treatment efficacy, so the values below </w:t>
      </w:r>
      <w:r w:rsidRPr="40C41E35" w:rsidR="003253BE">
        <w:rPr>
          <w:rFonts w:ascii="Arial Nova" w:hAnsi="Arial Nova" w:eastAsia="Arial Nova" w:cs="Arial Nova"/>
          <w:color w:val="000000" w:themeColor="text1" w:themeTint="FF" w:themeShade="FF"/>
          <w:sz w:val="22"/>
          <w:szCs w:val="22"/>
        </w:rPr>
        <w:t>represent</w:t>
      </w:r>
      <w:r w:rsidRPr="40C41E35" w:rsidR="003253BE">
        <w:rPr>
          <w:rFonts w:ascii="Arial Nova" w:hAnsi="Arial Nova" w:eastAsia="Arial Nova" w:cs="Arial Nova"/>
          <w:color w:val="000000" w:themeColor="text1" w:themeTint="FF" w:themeShade="FF"/>
          <w:sz w:val="22"/>
          <w:szCs w:val="22"/>
        </w:rPr>
        <w:t xml:space="preserve"> the absolute value of the slope (slopes are always negative)</w:t>
      </w:r>
    </w:p>
    <w:p w:rsidRPr="00BC2E7C" w:rsidR="003253BE" w:rsidP="40C41E35" w:rsidRDefault="003253BE" w14:paraId="4857F992"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If Tumor Slope &gt; OBSC Slope: </w:t>
      </w:r>
    </w:p>
    <w:p w:rsidRPr="00BC2E7C" w:rsidR="003253BE" w:rsidP="40C41E35" w:rsidRDefault="003253BE" w14:paraId="720E21A4"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Slope Window = (Tumor Slope - OBSC Slope)/Tumor Slope</w:t>
      </w:r>
    </w:p>
    <w:p w:rsidRPr="00BC2E7C" w:rsidR="003253BE" w:rsidP="40C41E35" w:rsidRDefault="003253BE" w14:paraId="232D74FC" w14:textId="77777777" w14:noSpellErr="1">
      <w:pPr>
        <w:numPr>
          <w:ilvl w:val="1"/>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If Tumor Slope &lt; OBSC Slope: </w:t>
      </w:r>
    </w:p>
    <w:p w:rsidRPr="00BC2E7C" w:rsidR="003253BE" w:rsidP="40C41E35" w:rsidRDefault="003253BE" w14:paraId="21EDAA4F" w14:textId="77777777" w14:noSpellErr="1">
      <w:pPr>
        <w:numPr>
          <w:ilvl w:val="2"/>
          <w:numId w:val="8"/>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Slope Window = (Tumor Slope - OBSC Slope)/OBSC Slope</w:t>
      </w:r>
    </w:p>
    <w:p w:rsidRPr="00BC2E7C" w:rsidR="003253BE" w:rsidP="40C41E35" w:rsidRDefault="003253BE" w14:paraId="35AB6C78" w14:textId="77777777" w14:noSpellErr="1">
      <w:pPr>
        <w:jc w:val="both"/>
        <w:rPr>
          <w:rFonts w:ascii="Arial Nova" w:hAnsi="Arial Nova" w:eastAsia="Arial Nova" w:cs="Arial Nova"/>
          <w:sz w:val="22"/>
          <w:szCs w:val="22"/>
        </w:rPr>
      </w:pPr>
    </w:p>
    <w:p w:rsidRPr="00BC2E7C" w:rsidR="003253BE" w:rsidP="40C41E35" w:rsidRDefault="003253BE" w14:paraId="0C6D1449" w14:textId="77777777" w14:noSpellErr="1">
      <w:pPr>
        <w:jc w:val="both"/>
        <w:rPr>
          <w:rFonts w:ascii="Arial Nova" w:hAnsi="Arial Nova" w:eastAsia="Arial Nova" w:cs="Arial Nova"/>
          <w:color w:val="000000" w:themeColor="text1" w:themeTint="FF" w:themeShade="FF"/>
          <w:sz w:val="22"/>
          <w:szCs w:val="22"/>
        </w:rPr>
      </w:pPr>
      <w:r w:rsidRPr="40C41E35" w:rsidR="003253BE">
        <w:rPr>
          <w:rFonts w:ascii="Arial Nova" w:hAnsi="Arial Nova" w:eastAsia="Arial Nova" w:cs="Arial Nova"/>
          <w:color w:val="000000" w:themeColor="text1" w:themeTint="FF" w:themeShade="FF"/>
          <w:sz w:val="22"/>
          <w:szCs w:val="22"/>
        </w:rPr>
        <w:t>These window values are multiplied by weights which control the relative contribution of each window.  The window weights are:</w:t>
      </w:r>
    </w:p>
    <w:p w:rsidRPr="00BC2E7C" w:rsidR="003253BE" w:rsidP="40C41E35" w:rsidRDefault="003253BE" w14:paraId="4FAFDC15" w14:textId="77777777" w14:noSpellErr="1">
      <w:pPr>
        <w:numPr>
          <w:ilvl w:val="0"/>
          <w:numId w:val="7"/>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AUC: 35</w:t>
      </w:r>
    </w:p>
    <w:p w:rsidRPr="00BC2E7C" w:rsidR="003253BE" w:rsidP="40C41E35" w:rsidRDefault="003253BE" w14:paraId="289AE7E0" w14:textId="77777777" w14:noSpellErr="1">
      <w:pPr>
        <w:numPr>
          <w:ilvl w:val="0"/>
          <w:numId w:val="7"/>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MK, IK, and ED50: 10</w:t>
      </w:r>
    </w:p>
    <w:p w:rsidRPr="00BC2E7C" w:rsidR="003253BE" w:rsidP="40C41E35" w:rsidRDefault="003253BE" w14:paraId="59BE3279" w14:textId="77777777">
      <w:pPr>
        <w:numPr>
          <w:ilvl w:val="0"/>
          <w:numId w:val="7"/>
        </w:numPr>
        <w:jc w:val="both"/>
        <w:textAlignment w:val="baseline"/>
        <w:rPr>
          <w:rFonts w:ascii="Arial Nova" w:hAnsi="Arial Nova" w:eastAsia="Arial Nova" w:cs="Arial Nova"/>
          <w:color w:val="000000"/>
          <w:sz w:val="22"/>
          <w:szCs w:val="22"/>
        </w:rPr>
      </w:pPr>
      <w:r w:rsidRPr="40C41E35" w:rsidR="003253BE">
        <w:rPr>
          <w:rFonts w:ascii="Arial Nova" w:hAnsi="Arial Nova" w:eastAsia="Arial Nova" w:cs="Arial Nova"/>
          <w:color w:val="000000" w:themeColor="text1" w:themeTint="FF" w:themeShade="FF"/>
          <w:sz w:val="22"/>
          <w:szCs w:val="22"/>
        </w:rPr>
        <w:t xml:space="preserve">BP and all other </w:t>
      </w:r>
      <w:r w:rsidRPr="40C41E35" w:rsidR="003253BE">
        <w:rPr>
          <w:rFonts w:ascii="Arial Nova" w:hAnsi="Arial Nova" w:eastAsia="Arial Nova" w:cs="Arial Nova"/>
          <w:color w:val="000000" w:themeColor="text1" w:themeTint="FF" w:themeShade="FF"/>
          <w:sz w:val="22"/>
          <w:szCs w:val="22"/>
        </w:rPr>
        <w:t>EDxx</w:t>
      </w:r>
      <w:r w:rsidRPr="40C41E35" w:rsidR="003253BE">
        <w:rPr>
          <w:rFonts w:ascii="Arial Nova" w:hAnsi="Arial Nova" w:eastAsia="Arial Nova" w:cs="Arial Nova"/>
          <w:color w:val="000000" w:themeColor="text1" w:themeTint="FF" w:themeShade="FF"/>
          <w:sz w:val="22"/>
          <w:szCs w:val="22"/>
        </w:rPr>
        <w:t>: 5</w:t>
      </w:r>
    </w:p>
    <w:p w:rsidRPr="00BC2E7C" w:rsidR="003253BE" w:rsidP="40C41E35" w:rsidRDefault="003253BE" w14:paraId="70A32B57" w14:textId="77777777" w14:noSpellErr="1">
      <w:pPr>
        <w:jc w:val="both"/>
        <w:rPr>
          <w:rFonts w:ascii="Arial Nova" w:hAnsi="Arial Nova" w:eastAsia="Arial Nova" w:cs="Arial Nova"/>
          <w:sz w:val="22"/>
          <w:szCs w:val="22"/>
        </w:rPr>
      </w:pPr>
    </w:p>
    <w:p w:rsidR="003253BE" w:rsidP="40C41E35" w:rsidRDefault="003253BE" w14:paraId="3EC28B36" w14:textId="77777777" w14:noSpellErr="1">
      <w:pPr>
        <w:jc w:val="both"/>
        <w:rPr>
          <w:rFonts w:ascii="Arial Nova" w:hAnsi="Arial Nova" w:eastAsia="Arial Nova" w:cs="Arial Nova"/>
          <w:b w:val="1"/>
          <w:bCs w:val="1"/>
          <w:sz w:val="22"/>
          <w:szCs w:val="22"/>
        </w:rPr>
      </w:pPr>
      <w:r w:rsidRPr="40C41E35" w:rsidR="003253BE">
        <w:rPr>
          <w:rFonts w:ascii="Arial Nova" w:hAnsi="Arial Nova" w:eastAsia="Arial Nova" w:cs="Arial Nova"/>
          <w:color w:val="000000" w:themeColor="text1" w:themeTint="FF" w:themeShade="FF"/>
          <w:sz w:val="22"/>
          <w:szCs w:val="22"/>
        </w:rPr>
        <w:t xml:space="preserve">This means the greatest possible DSS is 100, and the lowest possible value is -100.  All constituent windows are recorded along with the final DSS.  </w:t>
      </w:r>
    </w:p>
    <w:p w:rsidR="003A6828" w:rsidP="40C41E35" w:rsidRDefault="003A6828" w14:paraId="4D4A40E7" w14:textId="77777777" w14:noSpellErr="1">
      <w:pPr>
        <w:rPr>
          <w:rFonts w:ascii="Arial Nova" w:hAnsi="Arial Nova" w:eastAsia="Arial Nova" w:cs="Arial Nova"/>
          <w:sz w:val="22"/>
          <w:szCs w:val="22"/>
        </w:rPr>
      </w:pPr>
    </w:p>
    <w:p w:rsidR="003A6828" w:rsidP="40C41E35" w:rsidRDefault="003A6828" w14:paraId="62969ACE" w14:textId="77777777" w14:noSpellErr="1">
      <w:pPr>
        <w:rPr>
          <w:rFonts w:ascii="Arial Nova" w:hAnsi="Arial Nova" w:eastAsia="Arial Nova" w:cs="Arial Nova"/>
          <w:sz w:val="22"/>
          <w:szCs w:val="22"/>
        </w:rPr>
      </w:pPr>
    </w:p>
    <w:p w:rsidRPr="009E3028" w:rsidR="009E3028" w:rsidP="40C41E35" w:rsidRDefault="009E3028" w14:paraId="1921BCD1" w14:textId="0E8CEE2C" w14:noSpellErr="1">
      <w:pPr>
        <w:spacing w:line="480" w:lineRule="auto"/>
        <w:rPr>
          <w:rFonts w:ascii="Arial Nova" w:hAnsi="Arial Nova" w:eastAsia="Arial Nova" w:cs="Arial Nova"/>
          <w:sz w:val="22"/>
          <w:szCs w:val="22"/>
        </w:rPr>
      </w:pPr>
    </w:p>
    <w:sectPr w:rsidRPr="009E3028" w:rsidR="009E3028" w:rsidSect="00B42423">
      <w:headerReference w:type="even" r:id="rId10"/>
      <w:headerReference w:type="default" r:id="rId11"/>
      <w:pgSz w:w="12240" w:h="15840" w:orient="portrait"/>
      <w:pgMar w:top="1440" w:right="1440" w:bottom="1440" w:left="1440" w:header="720" w:footer="720" w:gutter="0"/>
      <w:lnNumType w:countBy="1" w:restart="continuous"/>
      <w:cols w:space="720"/>
      <w:docGrid w:linePitch="360"/>
      <w:footerReference w:type="default" r:id="R602725e9b9e34ac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B44" w:rsidP="004B43DC" w:rsidRDefault="000C3B44" w14:paraId="6EDAB8FF" w14:textId="77777777">
      <w:r>
        <w:separator/>
      </w:r>
    </w:p>
  </w:endnote>
  <w:endnote w:type="continuationSeparator" w:id="0">
    <w:p w:rsidR="000C3B44" w:rsidP="004B43DC" w:rsidRDefault="000C3B44" w14:paraId="6332D6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erriweather">
    <w:panose1 w:val="00000500000000000000"/>
    <w:charset w:val="4D"/>
    <w:family w:val="auto"/>
    <w:pitch w:val="variable"/>
    <w:sig w:usb0="20000207" w:usb1="00000002" w:usb2="00000000" w:usb3="00000000" w:csb0="00000197"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swiss"/>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erriweather Light">
    <w:panose1 w:val="00000400000000000000"/>
    <w:charset w:val="4D"/>
    <w:family w:val="auto"/>
    <w:pitch w:val="variable"/>
    <w:sig w:usb0="20000207" w:usb1="00000002"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C41E35" w:rsidTr="40C41E35" w14:paraId="151811A1">
      <w:trPr>
        <w:trHeight w:val="300"/>
      </w:trPr>
      <w:tc>
        <w:tcPr>
          <w:tcW w:w="3120" w:type="dxa"/>
          <w:tcMar/>
        </w:tcPr>
        <w:p w:rsidR="40C41E35" w:rsidP="40C41E35" w:rsidRDefault="40C41E35" w14:paraId="271805DE" w14:textId="20D1C826">
          <w:pPr>
            <w:pStyle w:val="Header"/>
            <w:bidi w:val="0"/>
            <w:ind w:left="-115"/>
            <w:jc w:val="left"/>
          </w:pPr>
        </w:p>
      </w:tc>
      <w:tc>
        <w:tcPr>
          <w:tcW w:w="3120" w:type="dxa"/>
          <w:tcMar/>
        </w:tcPr>
        <w:p w:rsidR="40C41E35" w:rsidP="40C41E35" w:rsidRDefault="40C41E35" w14:paraId="191E01E7" w14:textId="7160D845">
          <w:pPr>
            <w:pStyle w:val="Header"/>
            <w:bidi w:val="0"/>
            <w:jc w:val="center"/>
          </w:pPr>
        </w:p>
      </w:tc>
      <w:tc>
        <w:tcPr>
          <w:tcW w:w="3120" w:type="dxa"/>
          <w:tcMar/>
        </w:tcPr>
        <w:p w:rsidR="40C41E35" w:rsidP="40C41E35" w:rsidRDefault="40C41E35" w14:paraId="35760C51" w14:textId="2C4872EA">
          <w:pPr>
            <w:pStyle w:val="Header"/>
            <w:bidi w:val="0"/>
            <w:ind w:right="-115"/>
            <w:jc w:val="right"/>
          </w:pPr>
        </w:p>
      </w:tc>
    </w:tr>
  </w:tbl>
  <w:p w:rsidR="40C41E35" w:rsidP="40C41E35" w:rsidRDefault="40C41E35" w14:paraId="59B99187" w14:textId="5EEDC36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B44" w:rsidP="004B43DC" w:rsidRDefault="000C3B44" w14:paraId="6146E34F" w14:textId="77777777">
      <w:r>
        <w:separator/>
      </w:r>
    </w:p>
  </w:footnote>
  <w:footnote w:type="continuationSeparator" w:id="0">
    <w:p w:rsidR="000C3B44" w:rsidP="004B43DC" w:rsidRDefault="000C3B44" w14:paraId="30E5E5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9803632"/>
      <w:docPartObj>
        <w:docPartGallery w:val="Page Numbers (Top of Page)"/>
        <w:docPartUnique/>
      </w:docPartObj>
    </w:sdtPr>
    <w:sdtEndPr>
      <w:rPr>
        <w:rStyle w:val="PageNumber"/>
      </w:rPr>
    </w:sdtEndPr>
    <w:sdtContent>
      <w:p w:rsidR="004D1A9D" w:rsidP="004B43DC" w:rsidRDefault="004D1A9D" w14:paraId="381932E8" w14:textId="7EC972D9">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D1A9D" w:rsidP="004B43DC" w:rsidRDefault="004D1A9D" w14:paraId="2A8014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236E" w:rsidR="004D1A9D" w:rsidP="40C41E35" w:rsidRDefault="005E62BC" w14:paraId="46DC90BE" w14:textId="0FD798CC" w14:noSpellErr="1">
    <w:pPr>
      <w:pStyle w:val="Header"/>
      <w:rPr>
        <w:rFonts w:ascii="Arial Nova" w:hAnsi="Arial Nova" w:eastAsia="Arial Nova" w:cs="Arial Nova"/>
        <w:color w:val="0D0D0D" w:themeColor="text1" w:themeTint="F2"/>
        <w:sz w:val="22"/>
        <w:szCs w:val="22"/>
      </w:rPr>
    </w:pPr>
    <w:sdt>
      <w:sdtPr>
        <w:id w:val="817700191"/>
        <w:docPartObj>
          <w:docPartGallery w:val="Page Numbers (Top of Page)"/>
          <w:docPartUnique/>
        </w:docPartObj>
        <w:rPr>
          <w:rStyle w:val="PageNumber"/>
          <w:rFonts w:ascii="Arial Nova" w:hAnsi="Arial Nova" w:eastAsia="Arial Nova" w:cs="Arial Nova"/>
          <w:color w:val="0D0D0D" w:themeColor="text1" w:themeTint="F2" w:themeShade="FF"/>
          <w:sz w:val="22"/>
          <w:szCs w:val="22"/>
        </w:rPr>
      </w:sdtPr>
      <w:sdtContent>
        <w:r w:rsidRPr="40C41E35">
          <w:rPr>
            <w:rStyle w:val="PageNumber"/>
            <w:rFonts w:ascii="Arial Nova" w:hAnsi="Arial Nova" w:eastAsia="Arial Nova" w:cs="Arial Nova"/>
            <w:noProof/>
            <w:color w:val="0D0D0D" w:themeColor="text1" w:themeTint="F2" w:themeShade="FF"/>
            <w:sz w:val="22"/>
            <w:szCs w:val="22"/>
          </w:rPr>
          <w:fldChar w:fldCharType="begin"/>
        </w:r>
        <w:r w:rsidRPr="40C41E35">
          <w:rPr>
            <w:rStyle w:val="PageNumber"/>
            <w:rFonts w:ascii="Arial Nova" w:hAnsi="Arial Nova" w:eastAsia="Arial Nova" w:cs="Arial Nova"/>
            <w:color w:val="0D0D0D" w:themeColor="text1" w:themeTint="F2" w:themeShade="FF"/>
            <w:sz w:val="22"/>
            <w:szCs w:val="22"/>
          </w:rPr>
          <w:instrText xml:space="preserve"> PAGE </w:instrText>
        </w:r>
        <w:r w:rsidRPr="40C41E35">
          <w:rPr>
            <w:rStyle w:val="PageNumber"/>
            <w:rFonts w:ascii="Arial Nova" w:hAnsi="Arial Nova" w:eastAsia="Arial Nova" w:cs="Arial Nova"/>
            <w:color w:val="0D0D0D" w:themeColor="text1" w:themeTint="F2" w:themeShade="FF"/>
            <w:sz w:val="22"/>
            <w:szCs w:val="22"/>
          </w:rPr>
          <w:fldChar w:fldCharType="separate"/>
        </w:r>
        <w:r w:rsidRPr="40C41E35" w:rsidR="40C41E35">
          <w:rPr>
            <w:rStyle w:val="PageNumber"/>
            <w:rFonts w:ascii="Arial Nova" w:hAnsi="Arial Nova" w:eastAsia="Arial Nova" w:cs="Arial Nova"/>
            <w:noProof/>
            <w:color w:val="0D0D0D" w:themeColor="text1" w:themeTint="F2" w:themeShade="FF"/>
            <w:sz w:val="22"/>
            <w:szCs w:val="22"/>
          </w:rPr>
          <w:t>1</w:t>
        </w:r>
        <w:r w:rsidRPr="40C41E35">
          <w:rPr>
            <w:rStyle w:val="PageNumber"/>
            <w:rFonts w:ascii="Arial Nova" w:hAnsi="Arial Nova" w:eastAsia="Arial Nova" w:cs="Arial Nova"/>
            <w:noProof/>
            <w:color w:val="0D0D0D" w:themeColor="text1" w:themeTint="F2" w:themeShade="FF"/>
            <w:sz w:val="22"/>
            <w:szCs w:val="22"/>
          </w:rPr>
          <w:fldChar w:fldCharType="end"/>
        </w:r>
      </w:sdtContent>
      <w:sdtEndPr>
        <w:rPr>
          <w:rStyle w:val="PageNumber"/>
          <w:rFonts w:ascii="Arial Nova" w:hAnsi="Arial Nova" w:eastAsia="Arial Nova" w:cs="Arial Nova"/>
          <w:color w:val="0D0D0D" w:themeColor="text1" w:themeTint="F2" w:themeShade="FF"/>
          <w:sz w:val="22"/>
          <w:szCs w:val="22"/>
        </w:rPr>
      </w:sdtEndPr>
    </w:sdt>
    <w:r w:rsidRPr="40C41E35" w:rsidR="40C41E35">
      <w:rPr>
        <w:rStyle w:val="PageNumber"/>
        <w:rFonts w:ascii="Arial Nova" w:hAnsi="Arial Nova" w:eastAsia="Arial Nova" w:cs="Arial Nova"/>
        <w:color w:val="0D0D0D" w:themeColor="text1" w:themeTint="F2" w:themeShade="FF"/>
        <w:sz w:val="22"/>
        <w:szCs w:val="22"/>
      </w:rPr>
      <w:t xml:space="preserve"> </w:t>
    </w:r>
    <w:r w:rsidRPr="40C41E35" w:rsidR="40C41E35">
      <w:rPr>
        <w:rFonts w:ascii="Arial Nova" w:hAnsi="Arial Nova" w:eastAsia="Arial Nova" w:cs="Arial Nova"/>
        <w:sz w:val="22"/>
        <w:szCs w:val="22"/>
      </w:rPr>
      <w:t>Automating Analysis for OBSC Functional Assay</w:t>
    </w:r>
  </w:p>
  <w:p w:rsidR="004D1A9D" w:rsidP="004B43DC" w:rsidRDefault="004D1A9D" w14:paraId="0FD8EE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E7A61"/>
    <w:multiLevelType w:val="hybridMultilevel"/>
    <w:tmpl w:val="5DC612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 w15:restartNumberingAfterBreak="0">
    <w:nsid w:val="4DA27D7D"/>
    <w:multiLevelType w:val="hybridMultilevel"/>
    <w:tmpl w:val="08E6B5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4E5B4658"/>
    <w:multiLevelType w:val="hybridMultilevel"/>
    <w:tmpl w:val="CBD0AA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3" w15:restartNumberingAfterBreak="0">
    <w:nsid w:val="4F165230"/>
    <w:multiLevelType w:val="hybridMultilevel"/>
    <w:tmpl w:val="A4C6C7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4" w15:restartNumberingAfterBreak="0">
    <w:nsid w:val="557E1721"/>
    <w:multiLevelType w:val="multilevel"/>
    <w:tmpl w:val="F46A3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3D834B2"/>
    <w:multiLevelType w:val="hybridMultilevel"/>
    <w:tmpl w:val="A38E021A"/>
    <w:lvl w:ilvl="0" w:tplc="C8FC0F48">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7764006"/>
    <w:multiLevelType w:val="hybridMultilevel"/>
    <w:tmpl w:val="E4E4A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92572"/>
    <w:multiLevelType w:val="hybridMultilevel"/>
    <w:tmpl w:val="5F467E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cs="Wingdings"/>
      </w:rPr>
    </w:lvl>
  </w:abstractNum>
  <w:num w:numId="1" w16cid:durableId="690686761">
    <w:abstractNumId w:val="5"/>
  </w:num>
  <w:num w:numId="2" w16cid:durableId="1226602022">
    <w:abstractNumId w:val="6"/>
  </w:num>
  <w:num w:numId="3" w16cid:durableId="975834991">
    <w:abstractNumId w:val="3"/>
  </w:num>
  <w:num w:numId="4" w16cid:durableId="1114590421">
    <w:abstractNumId w:val="1"/>
  </w:num>
  <w:num w:numId="5" w16cid:durableId="1212425453">
    <w:abstractNumId w:val="2"/>
  </w:num>
  <w:num w:numId="6" w16cid:durableId="791902832">
    <w:abstractNumId w:val="7"/>
  </w:num>
  <w:num w:numId="7" w16cid:durableId="66268091">
    <w:abstractNumId w:val="4"/>
  </w:num>
  <w:num w:numId="8" w16cid:durableId="133348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40"/>
    <w:rsid w:val="00043573"/>
    <w:rsid w:val="00047C0D"/>
    <w:rsid w:val="000C1C21"/>
    <w:rsid w:val="000C3B44"/>
    <w:rsid w:val="00124E40"/>
    <w:rsid w:val="001B0856"/>
    <w:rsid w:val="001D307B"/>
    <w:rsid w:val="00206FC4"/>
    <w:rsid w:val="002A6D25"/>
    <w:rsid w:val="002D141B"/>
    <w:rsid w:val="002E0437"/>
    <w:rsid w:val="003024EF"/>
    <w:rsid w:val="0030370B"/>
    <w:rsid w:val="003253BE"/>
    <w:rsid w:val="003508BC"/>
    <w:rsid w:val="00356DBB"/>
    <w:rsid w:val="0039595C"/>
    <w:rsid w:val="003A6828"/>
    <w:rsid w:val="00436CAF"/>
    <w:rsid w:val="004A7734"/>
    <w:rsid w:val="004B43DC"/>
    <w:rsid w:val="004D1A9D"/>
    <w:rsid w:val="00522E12"/>
    <w:rsid w:val="00535DA2"/>
    <w:rsid w:val="005D392D"/>
    <w:rsid w:val="005E62BC"/>
    <w:rsid w:val="00603E09"/>
    <w:rsid w:val="006054F6"/>
    <w:rsid w:val="006D2911"/>
    <w:rsid w:val="00700861"/>
    <w:rsid w:val="00756E32"/>
    <w:rsid w:val="0081236E"/>
    <w:rsid w:val="008F03DA"/>
    <w:rsid w:val="008F2149"/>
    <w:rsid w:val="00962217"/>
    <w:rsid w:val="00972442"/>
    <w:rsid w:val="00975C5A"/>
    <w:rsid w:val="009E3028"/>
    <w:rsid w:val="009F6B82"/>
    <w:rsid w:val="00B42423"/>
    <w:rsid w:val="00BA78DB"/>
    <w:rsid w:val="00CC6D1B"/>
    <w:rsid w:val="00D828B3"/>
    <w:rsid w:val="00DC164F"/>
    <w:rsid w:val="00DC6258"/>
    <w:rsid w:val="00E02690"/>
    <w:rsid w:val="00E14275"/>
    <w:rsid w:val="00E7437D"/>
    <w:rsid w:val="0E2E2090"/>
    <w:rsid w:val="11ECAE53"/>
    <w:rsid w:val="244675C4"/>
    <w:rsid w:val="3B4EE940"/>
    <w:rsid w:val="40C41E35"/>
    <w:rsid w:val="42B0B0FC"/>
    <w:rsid w:val="6339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F1998D"/>
  <w15:chartTrackingRefBased/>
  <w15:docId w15:val="{6806E816-021E-5845-9191-41F36A1C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43DC"/>
    <w:rPr>
      <w:rFonts w:ascii="Merriweather" w:hAnsi="Merriweather"/>
    </w:rPr>
  </w:style>
  <w:style w:type="paragraph" w:styleId="Heading1">
    <w:name w:val="heading 1"/>
    <w:basedOn w:val="Heading2"/>
    <w:next w:val="Normal"/>
    <w:link w:val="Heading1Char"/>
    <w:uiPriority w:val="9"/>
    <w:qFormat/>
    <w:rsid w:val="00436CAF"/>
    <w:pPr>
      <w:outlineLvl w:val="0"/>
    </w:pPr>
    <w:rPr>
      <w:sz w:val="36"/>
      <w:szCs w:val="36"/>
    </w:rPr>
  </w:style>
  <w:style w:type="paragraph" w:styleId="Heading2">
    <w:name w:val="heading 2"/>
    <w:basedOn w:val="Normal"/>
    <w:next w:val="Normal"/>
    <w:link w:val="Heading2Char"/>
    <w:uiPriority w:val="9"/>
    <w:unhideWhenUsed/>
    <w:qFormat/>
    <w:rsid w:val="00436CAF"/>
    <w:pPr>
      <w:outlineLvl w:val="1"/>
    </w:pPr>
    <w:rPr>
      <w:rFonts w:ascii="Helvetica" w:hAnsi="Helvetica"/>
      <w:b/>
      <w:bCs/>
      <w:sz w:val="32"/>
      <w:szCs w:val="28"/>
    </w:rPr>
  </w:style>
  <w:style w:type="paragraph" w:styleId="Heading3">
    <w:name w:val="heading 3"/>
    <w:basedOn w:val="Heading2"/>
    <w:next w:val="Normal"/>
    <w:link w:val="Heading3Char"/>
    <w:uiPriority w:val="9"/>
    <w:unhideWhenUsed/>
    <w:qFormat/>
    <w:rsid w:val="00436CAF"/>
    <w:pPr>
      <w:outlineLvl w:val="2"/>
    </w:pPr>
    <w:rPr>
      <w:iCs/>
      <w:sz w:val="28"/>
    </w:rPr>
  </w:style>
  <w:style w:type="paragraph" w:styleId="Heading4">
    <w:name w:val="heading 4"/>
    <w:basedOn w:val="Normal"/>
    <w:next w:val="Normal"/>
    <w:link w:val="Heading4Char"/>
    <w:uiPriority w:val="9"/>
    <w:semiHidden/>
    <w:unhideWhenUsed/>
    <w:qFormat/>
    <w:rsid w:val="00124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E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E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E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E4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36CAF"/>
    <w:rPr>
      <w:rFonts w:ascii="Helvetica" w:hAnsi="Helvetica"/>
      <w:b/>
      <w:bCs/>
      <w:sz w:val="36"/>
      <w:szCs w:val="36"/>
    </w:rPr>
  </w:style>
  <w:style w:type="character" w:styleId="Heading2Char" w:customStyle="1">
    <w:name w:val="Heading 2 Char"/>
    <w:basedOn w:val="DefaultParagraphFont"/>
    <w:link w:val="Heading2"/>
    <w:uiPriority w:val="9"/>
    <w:rsid w:val="00436CAF"/>
    <w:rPr>
      <w:rFonts w:ascii="Helvetica" w:hAnsi="Helvetica"/>
      <w:b/>
      <w:bCs/>
      <w:sz w:val="32"/>
      <w:szCs w:val="28"/>
    </w:rPr>
  </w:style>
  <w:style w:type="character" w:styleId="Heading3Char" w:customStyle="1">
    <w:name w:val="Heading 3 Char"/>
    <w:basedOn w:val="DefaultParagraphFont"/>
    <w:link w:val="Heading3"/>
    <w:uiPriority w:val="9"/>
    <w:rsid w:val="00436CAF"/>
    <w:rPr>
      <w:rFonts w:ascii="Helvetica" w:hAnsi="Helvetica"/>
      <w:b/>
      <w:bCs/>
      <w:iCs/>
      <w:sz w:val="28"/>
      <w:szCs w:val="28"/>
    </w:rPr>
  </w:style>
  <w:style w:type="character" w:styleId="Heading4Char" w:customStyle="1">
    <w:name w:val="Heading 4 Char"/>
    <w:basedOn w:val="DefaultParagraphFont"/>
    <w:link w:val="Heading4"/>
    <w:uiPriority w:val="9"/>
    <w:semiHidden/>
    <w:rsid w:val="00124E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24E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4E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4E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4E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4E40"/>
    <w:rPr>
      <w:rFonts w:eastAsiaTheme="majorEastAsia" w:cstheme="majorBidi"/>
      <w:color w:val="272727" w:themeColor="text1" w:themeTint="D8"/>
    </w:rPr>
  </w:style>
  <w:style w:type="paragraph" w:styleId="Title">
    <w:name w:val="Title"/>
    <w:basedOn w:val="Normal"/>
    <w:next w:val="Normal"/>
    <w:link w:val="TitleChar"/>
    <w:uiPriority w:val="10"/>
    <w:qFormat/>
    <w:rsid w:val="004B43DC"/>
    <w:pPr>
      <w:spacing w:after="80"/>
      <w:contextualSpacing/>
      <w:jc w:val="center"/>
    </w:pPr>
    <w:rPr>
      <w:rFonts w:eastAsiaTheme="majorEastAsia" w:cstheme="majorBidi"/>
      <w:b/>
      <w:bCs/>
      <w:spacing w:val="-10"/>
      <w:kern w:val="28"/>
      <w:sz w:val="40"/>
      <w:szCs w:val="40"/>
      <w:lang w:val="en"/>
    </w:rPr>
  </w:style>
  <w:style w:type="character" w:styleId="TitleChar" w:customStyle="1">
    <w:name w:val="Title Char"/>
    <w:basedOn w:val="DefaultParagraphFont"/>
    <w:link w:val="Title"/>
    <w:uiPriority w:val="10"/>
    <w:rsid w:val="004B43DC"/>
    <w:rPr>
      <w:rFonts w:ascii="Merriweather" w:hAnsi="Merriweather" w:eastAsiaTheme="majorEastAsia" w:cstheme="majorBidi"/>
      <w:b/>
      <w:bCs/>
      <w:spacing w:val="-10"/>
      <w:kern w:val="28"/>
      <w:sz w:val="40"/>
      <w:szCs w:val="40"/>
      <w:lang w:val="en"/>
    </w:rPr>
  </w:style>
  <w:style w:type="paragraph" w:styleId="Subtitle">
    <w:name w:val="Subtitle"/>
    <w:basedOn w:val="Normal"/>
    <w:next w:val="Normal"/>
    <w:link w:val="SubtitleChar"/>
    <w:uiPriority w:val="11"/>
    <w:qFormat/>
    <w:rsid w:val="00124E4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4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E4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24E40"/>
    <w:rPr>
      <w:i/>
      <w:iCs/>
      <w:color w:val="404040" w:themeColor="text1" w:themeTint="BF"/>
    </w:rPr>
  </w:style>
  <w:style w:type="paragraph" w:styleId="ListParagraph">
    <w:name w:val="List Paragraph"/>
    <w:basedOn w:val="Normal"/>
    <w:uiPriority w:val="34"/>
    <w:qFormat/>
    <w:rsid w:val="00124E40"/>
    <w:pPr>
      <w:ind w:left="720"/>
      <w:contextualSpacing/>
    </w:pPr>
  </w:style>
  <w:style w:type="character" w:styleId="IntenseEmphasis">
    <w:name w:val="Intense Emphasis"/>
    <w:basedOn w:val="DefaultParagraphFont"/>
    <w:uiPriority w:val="21"/>
    <w:qFormat/>
    <w:rsid w:val="00124E40"/>
    <w:rPr>
      <w:i/>
      <w:iCs/>
      <w:color w:val="0F4761" w:themeColor="accent1" w:themeShade="BF"/>
    </w:rPr>
  </w:style>
  <w:style w:type="paragraph" w:styleId="IntenseQuote">
    <w:name w:val="Intense Quote"/>
    <w:basedOn w:val="Normal"/>
    <w:next w:val="Normal"/>
    <w:link w:val="IntenseQuoteChar"/>
    <w:uiPriority w:val="30"/>
    <w:qFormat/>
    <w:rsid w:val="00124E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4E40"/>
    <w:rPr>
      <w:i/>
      <w:iCs/>
      <w:color w:val="0F4761" w:themeColor="accent1" w:themeShade="BF"/>
    </w:rPr>
  </w:style>
  <w:style w:type="character" w:styleId="IntenseReference">
    <w:name w:val="Intense Reference"/>
    <w:basedOn w:val="DefaultParagraphFont"/>
    <w:uiPriority w:val="32"/>
    <w:qFormat/>
    <w:rsid w:val="00124E40"/>
    <w:rPr>
      <w:b/>
      <w:bCs/>
      <w:smallCaps/>
      <w:color w:val="0F4761" w:themeColor="accent1" w:themeShade="BF"/>
      <w:spacing w:val="5"/>
    </w:rPr>
  </w:style>
  <w:style w:type="character" w:styleId="CommentReference">
    <w:name w:val="annotation reference"/>
    <w:basedOn w:val="DefaultParagraphFont"/>
    <w:uiPriority w:val="99"/>
    <w:semiHidden/>
    <w:unhideWhenUsed/>
    <w:rsid w:val="00124E40"/>
    <w:rPr>
      <w:sz w:val="16"/>
      <w:szCs w:val="16"/>
    </w:rPr>
  </w:style>
  <w:style w:type="paragraph" w:styleId="Header">
    <w:name w:val="header"/>
    <w:basedOn w:val="Normal"/>
    <w:link w:val="HeaderChar"/>
    <w:uiPriority w:val="99"/>
    <w:unhideWhenUsed/>
    <w:rsid w:val="004D1A9D"/>
    <w:pPr>
      <w:tabs>
        <w:tab w:val="center" w:pos="4680"/>
        <w:tab w:val="right" w:pos="9360"/>
      </w:tabs>
    </w:pPr>
  </w:style>
  <w:style w:type="character" w:styleId="HeaderChar" w:customStyle="1">
    <w:name w:val="Header Char"/>
    <w:basedOn w:val="DefaultParagraphFont"/>
    <w:link w:val="Header"/>
    <w:uiPriority w:val="99"/>
    <w:rsid w:val="004D1A9D"/>
  </w:style>
  <w:style w:type="paragraph" w:styleId="Footer">
    <w:name w:val="footer"/>
    <w:basedOn w:val="Normal"/>
    <w:link w:val="FooterChar"/>
    <w:uiPriority w:val="99"/>
    <w:unhideWhenUsed/>
    <w:rsid w:val="004D1A9D"/>
    <w:pPr>
      <w:tabs>
        <w:tab w:val="center" w:pos="4680"/>
        <w:tab w:val="right" w:pos="9360"/>
      </w:tabs>
    </w:pPr>
  </w:style>
  <w:style w:type="character" w:styleId="FooterChar" w:customStyle="1">
    <w:name w:val="Footer Char"/>
    <w:basedOn w:val="DefaultParagraphFont"/>
    <w:link w:val="Footer"/>
    <w:uiPriority w:val="99"/>
    <w:rsid w:val="004D1A9D"/>
  </w:style>
  <w:style w:type="character" w:styleId="PageNumber">
    <w:name w:val="page number"/>
    <w:basedOn w:val="DefaultParagraphFont"/>
    <w:uiPriority w:val="99"/>
    <w:semiHidden/>
    <w:unhideWhenUsed/>
    <w:rsid w:val="004D1A9D"/>
  </w:style>
  <w:style w:type="character" w:styleId="Hyperlink">
    <w:name w:val="Hyperlink"/>
    <w:basedOn w:val="DefaultParagraphFont"/>
    <w:uiPriority w:val="99"/>
    <w:unhideWhenUsed/>
    <w:rsid w:val="004D1A9D"/>
    <w:rPr>
      <w:color w:val="467886" w:themeColor="hyperlink"/>
      <w:u w:val="single"/>
    </w:rPr>
  </w:style>
  <w:style w:type="character" w:styleId="UnresolvedMention">
    <w:name w:val="Unresolved Mention"/>
    <w:basedOn w:val="DefaultParagraphFont"/>
    <w:uiPriority w:val="99"/>
    <w:semiHidden/>
    <w:unhideWhenUsed/>
    <w:rsid w:val="004D1A9D"/>
    <w:rPr>
      <w:color w:val="605E5C"/>
      <w:shd w:val="clear" w:color="auto" w:fill="E1DFDD"/>
    </w:rPr>
  </w:style>
  <w:style w:type="paragraph" w:styleId="CommentText">
    <w:name w:val="annotation text"/>
    <w:basedOn w:val="Normal"/>
    <w:link w:val="CommentTextChar"/>
    <w:uiPriority w:val="99"/>
    <w:unhideWhenUsed/>
    <w:rsid w:val="004B43DC"/>
    <w:rPr>
      <w:rFonts w:eastAsia="Times New Roman" w:cs="Times New Roman"/>
      <w:kern w:val="0"/>
      <w:sz w:val="20"/>
      <w:szCs w:val="20"/>
      <w:lang w:val="en"/>
      <w14:ligatures w14:val="none"/>
    </w:rPr>
  </w:style>
  <w:style w:type="character" w:styleId="CommentTextChar" w:customStyle="1">
    <w:name w:val="Comment Text Char"/>
    <w:basedOn w:val="DefaultParagraphFont"/>
    <w:link w:val="CommentText"/>
    <w:uiPriority w:val="99"/>
    <w:rsid w:val="004B43DC"/>
    <w:rPr>
      <w:rFonts w:ascii="Merriweather" w:hAnsi="Merriweather" w:eastAsia="Times New Roman" w:cs="Times New Roman"/>
      <w:kern w:val="0"/>
      <w:sz w:val="20"/>
      <w:szCs w:val="20"/>
      <w:lang w:val="en"/>
      <w14:ligatures w14:val="none"/>
    </w:rPr>
  </w:style>
  <w:style w:type="character" w:styleId="Mention">
    <w:name w:val="Mention"/>
    <w:basedOn w:val="DefaultParagraphFont"/>
    <w:uiPriority w:val="99"/>
    <w:unhideWhenUsed/>
    <w:rsid w:val="004B43DC"/>
    <w:rPr>
      <w:color w:val="2B579A"/>
      <w:shd w:val="clear" w:color="auto" w:fill="E1DFDD"/>
    </w:rPr>
  </w:style>
  <w:style w:type="character" w:styleId="SubtleEmphasis">
    <w:name w:val="Subtle Emphasis"/>
    <w:aliases w:val="Figure Legend"/>
    <w:uiPriority w:val="19"/>
    <w:qFormat/>
    <w:rsid w:val="006D2911"/>
    <w:rPr>
      <w:rFonts w:ascii="Helvetica Light" w:hAnsi="Helvetica Light"/>
      <w:sz w:val="20"/>
      <w:szCs w:val="20"/>
      <w:lang w:val="en-US"/>
    </w:rPr>
  </w:style>
  <w:style w:type="paragraph" w:styleId="NormalWeb">
    <w:name w:val="Normal (Web)"/>
    <w:basedOn w:val="Normal"/>
    <w:uiPriority w:val="99"/>
    <w:semiHidden/>
    <w:unhideWhenUsed/>
    <w:rsid w:val="003A6828"/>
    <w:pPr>
      <w:spacing w:before="100" w:beforeAutospacing="1" w:after="100" w:afterAutospacing="1"/>
    </w:pPr>
    <w:rPr>
      <w:rFonts w:ascii="Times New Roman" w:hAnsi="Times New Roman" w:cs="Times New Roman" w:eastAsiaTheme="minorEastAsia"/>
      <w:kern w:val="0"/>
      <w14:ligatures w14:val="none"/>
    </w:rPr>
  </w:style>
  <w:style w:type="character" w:styleId="csl-left-margin" w:customStyle="1">
    <w:name w:val="csl-left-margin"/>
    <w:basedOn w:val="DefaultParagraphFont"/>
    <w:rsid w:val="003A6828"/>
  </w:style>
  <w:style w:type="character" w:styleId="csl-right-inline" w:customStyle="1">
    <w:name w:val="csl-right-inline"/>
    <w:basedOn w:val="DefaultParagraphFont"/>
    <w:rsid w:val="003A6828"/>
  </w:style>
  <w:style w:type="character" w:styleId="FollowedHyperlink">
    <w:name w:val="FollowedHyperlink"/>
    <w:basedOn w:val="DefaultParagraphFont"/>
    <w:uiPriority w:val="99"/>
    <w:semiHidden/>
    <w:unhideWhenUsed/>
    <w:rsid w:val="002D141B"/>
    <w:rPr>
      <w:color w:val="96607D" w:themeColor="followedHyperlink"/>
      <w:u w:val="single"/>
    </w:rPr>
  </w:style>
  <w:style w:type="character" w:styleId="LineNumber">
    <w:name w:val="line number"/>
    <w:basedOn w:val="DefaultParagraphFont"/>
    <w:uiPriority w:val="99"/>
    <w:semiHidden/>
    <w:unhideWhenUsed/>
    <w:rsid w:val="00B42423"/>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629">
      <w:bodyDiv w:val="1"/>
      <w:marLeft w:val="0"/>
      <w:marRight w:val="0"/>
      <w:marTop w:val="0"/>
      <w:marBottom w:val="0"/>
      <w:divBdr>
        <w:top w:val="none" w:sz="0" w:space="0" w:color="auto"/>
        <w:left w:val="none" w:sz="0" w:space="0" w:color="auto"/>
        <w:bottom w:val="none" w:sz="0" w:space="0" w:color="auto"/>
        <w:right w:val="none" w:sz="0" w:space="0" w:color="auto"/>
      </w:divBdr>
    </w:div>
    <w:div w:id="138696654">
      <w:bodyDiv w:val="1"/>
      <w:marLeft w:val="0"/>
      <w:marRight w:val="0"/>
      <w:marTop w:val="0"/>
      <w:marBottom w:val="0"/>
      <w:divBdr>
        <w:top w:val="none" w:sz="0" w:space="0" w:color="auto"/>
        <w:left w:val="none" w:sz="0" w:space="0" w:color="auto"/>
        <w:bottom w:val="none" w:sz="0" w:space="0" w:color="auto"/>
        <w:right w:val="none" w:sz="0" w:space="0" w:color="auto"/>
      </w:divBdr>
    </w:div>
    <w:div w:id="480583732">
      <w:bodyDiv w:val="1"/>
      <w:marLeft w:val="0"/>
      <w:marRight w:val="0"/>
      <w:marTop w:val="0"/>
      <w:marBottom w:val="0"/>
      <w:divBdr>
        <w:top w:val="none" w:sz="0" w:space="0" w:color="auto"/>
        <w:left w:val="none" w:sz="0" w:space="0" w:color="auto"/>
        <w:bottom w:val="none" w:sz="0" w:space="0" w:color="auto"/>
        <w:right w:val="none" w:sz="0" w:space="0" w:color="auto"/>
      </w:divBdr>
    </w:div>
    <w:div w:id="542012773">
      <w:bodyDiv w:val="1"/>
      <w:marLeft w:val="0"/>
      <w:marRight w:val="0"/>
      <w:marTop w:val="0"/>
      <w:marBottom w:val="0"/>
      <w:divBdr>
        <w:top w:val="none" w:sz="0" w:space="0" w:color="auto"/>
        <w:left w:val="none" w:sz="0" w:space="0" w:color="auto"/>
        <w:bottom w:val="none" w:sz="0" w:space="0" w:color="auto"/>
        <w:right w:val="none" w:sz="0" w:space="0" w:color="auto"/>
      </w:divBdr>
    </w:div>
    <w:div w:id="605237120">
      <w:bodyDiv w:val="1"/>
      <w:marLeft w:val="0"/>
      <w:marRight w:val="0"/>
      <w:marTop w:val="0"/>
      <w:marBottom w:val="0"/>
      <w:divBdr>
        <w:top w:val="none" w:sz="0" w:space="0" w:color="auto"/>
        <w:left w:val="none" w:sz="0" w:space="0" w:color="auto"/>
        <w:bottom w:val="none" w:sz="0" w:space="0" w:color="auto"/>
        <w:right w:val="none" w:sz="0" w:space="0" w:color="auto"/>
      </w:divBdr>
    </w:div>
    <w:div w:id="663363409">
      <w:bodyDiv w:val="1"/>
      <w:marLeft w:val="0"/>
      <w:marRight w:val="0"/>
      <w:marTop w:val="0"/>
      <w:marBottom w:val="0"/>
      <w:divBdr>
        <w:top w:val="none" w:sz="0" w:space="0" w:color="auto"/>
        <w:left w:val="none" w:sz="0" w:space="0" w:color="auto"/>
        <w:bottom w:val="none" w:sz="0" w:space="0" w:color="auto"/>
        <w:right w:val="none" w:sz="0" w:space="0" w:color="auto"/>
      </w:divBdr>
    </w:div>
    <w:div w:id="824514646">
      <w:bodyDiv w:val="1"/>
      <w:marLeft w:val="0"/>
      <w:marRight w:val="0"/>
      <w:marTop w:val="0"/>
      <w:marBottom w:val="0"/>
      <w:divBdr>
        <w:top w:val="none" w:sz="0" w:space="0" w:color="auto"/>
        <w:left w:val="none" w:sz="0" w:space="0" w:color="auto"/>
        <w:bottom w:val="none" w:sz="0" w:space="0" w:color="auto"/>
        <w:right w:val="none" w:sz="0" w:space="0" w:color="auto"/>
      </w:divBdr>
    </w:div>
    <w:div w:id="859468838">
      <w:bodyDiv w:val="1"/>
      <w:marLeft w:val="0"/>
      <w:marRight w:val="0"/>
      <w:marTop w:val="0"/>
      <w:marBottom w:val="0"/>
      <w:divBdr>
        <w:top w:val="none" w:sz="0" w:space="0" w:color="auto"/>
        <w:left w:val="none" w:sz="0" w:space="0" w:color="auto"/>
        <w:bottom w:val="none" w:sz="0" w:space="0" w:color="auto"/>
        <w:right w:val="none" w:sz="0" w:space="0" w:color="auto"/>
      </w:divBdr>
    </w:div>
    <w:div w:id="1372192836">
      <w:bodyDiv w:val="1"/>
      <w:marLeft w:val="0"/>
      <w:marRight w:val="0"/>
      <w:marTop w:val="0"/>
      <w:marBottom w:val="0"/>
      <w:divBdr>
        <w:top w:val="none" w:sz="0" w:space="0" w:color="auto"/>
        <w:left w:val="none" w:sz="0" w:space="0" w:color="auto"/>
        <w:bottom w:val="none" w:sz="0" w:space="0" w:color="auto"/>
        <w:right w:val="none" w:sz="0" w:space="0" w:color="auto"/>
      </w:divBdr>
    </w:div>
    <w:div w:id="1830906672">
      <w:bodyDiv w:val="1"/>
      <w:marLeft w:val="0"/>
      <w:marRight w:val="0"/>
      <w:marTop w:val="0"/>
      <w:marBottom w:val="0"/>
      <w:divBdr>
        <w:top w:val="none" w:sz="0" w:space="0" w:color="auto"/>
        <w:left w:val="none" w:sz="0" w:space="0" w:color="auto"/>
        <w:bottom w:val="none" w:sz="0" w:space="0" w:color="auto"/>
        <w:right w:val="none" w:sz="0" w:space="0" w:color="auto"/>
      </w:divBdr>
    </w:div>
    <w:div w:id="1841770447">
      <w:bodyDiv w:val="1"/>
      <w:marLeft w:val="0"/>
      <w:marRight w:val="0"/>
      <w:marTop w:val="0"/>
      <w:marBottom w:val="0"/>
      <w:divBdr>
        <w:top w:val="none" w:sz="0" w:space="0" w:color="auto"/>
        <w:left w:val="none" w:sz="0" w:space="0" w:color="auto"/>
        <w:bottom w:val="none" w:sz="0" w:space="0" w:color="auto"/>
        <w:right w:val="none" w:sz="0" w:space="0" w:color="auto"/>
      </w:divBdr>
    </w:div>
    <w:div w:id="1955670561">
      <w:bodyDiv w:val="1"/>
      <w:marLeft w:val="0"/>
      <w:marRight w:val="0"/>
      <w:marTop w:val="0"/>
      <w:marBottom w:val="0"/>
      <w:divBdr>
        <w:top w:val="none" w:sz="0" w:space="0" w:color="auto"/>
        <w:left w:val="none" w:sz="0" w:space="0" w:color="auto"/>
        <w:bottom w:val="none" w:sz="0" w:space="0" w:color="auto"/>
        <w:right w:val="none" w:sz="0" w:space="0" w:color="auto"/>
      </w:divBdr>
    </w:div>
    <w:div w:id="1978224624">
      <w:bodyDiv w:val="1"/>
      <w:marLeft w:val="0"/>
      <w:marRight w:val="0"/>
      <w:marTop w:val="0"/>
      <w:marBottom w:val="0"/>
      <w:divBdr>
        <w:top w:val="none" w:sz="0" w:space="0" w:color="auto"/>
        <w:left w:val="none" w:sz="0" w:space="0" w:color="auto"/>
        <w:bottom w:val="none" w:sz="0" w:space="0" w:color="auto"/>
        <w:right w:val="none" w:sz="0" w:space="0" w:color="auto"/>
      </w:divBdr>
    </w:div>
    <w:div w:id="20416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602725e9b9e34a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8A9F95-4AFD-BC4C-8366-42C3FDB02A62}">
  <we:reference id="a504f697-cd57-482d-af3c-653ec8236b9b" version="6.0.0.0" store="EXCatalog" storeType="EXCatalog"/>
  <we:alternateReferences>
    <we:reference id="WA200002534" version="6.0.0.0" store="en-US" storeType="OMEX"/>
  </we:alternateReferences>
  <we:properties>
    <we:property name="sciwheel-selectedStyle" value="{&quot;id&quot;:&quot;american-medical-association&quot;,&quot;name&quot;:&quot;AMA (American Medical Association)&quot;}"/>
    <we:property name="sciwheel-csl-items" value="[{&quot;title&quot;:&quot;Nonlinear regression analysis and its applications&quot;,&quot;publisher&quot;:&quot;John Wiley &amp; Sons, Inc.&quot;,&quot;id&quot;:&quot;5249970&quot;,&quot;type&quot;:&quot;book&quot;,&quot;collection-title&quot;:&quot;Wiley series in probability and statistics&quot;,&quot;editor&quot;:[{&quot;family&quot;:&quot;Bates&quot;,&quot;given&quot;:&quot;Douglas M.&quot;},{&quot;family&quot;:&quot;Watts&quot;,&quot;given&quot;:&quot;Donald G.&quot;}],&quot;issued&quot;:{&quot;date-parts&quot;:[[&quot;1988&quot;,&quot;8&quot;,&quot;26&quot;]]},&quot;publisher-place&quot;:&quot;Hoboken, NJ, USA&quot;,&quot;DOI&quot;:&quot;10.1002/9780470316757&quot;,&quot;ISBN&quot;:&quot;9780470316757&quot;,&quot;citation-label&quot;:&quot;5249970&quot;},{&quot;title&quot;:&quot;The Akaike information criterion: Background, derivation, properties, application, interpretation, and refinements&quot;,&quot;page&quot;:&quot;e1460&quot;,&quot;volume&quot;:&quot;11&quot;,&quot;issue&quot;:&quot;3&quot;,&quot;journalAbbreviation&quot;:&quot;WIREs Comp Stat&quot;,&quot;id&quot;:&quot;9346440&quot;,&quot;type&quot;:&quot;article-journal&quot;,&quot;container-title&quot;:&quot;Wiley Interdisciplinary Reviews: Computational Statistics&quot;,&quot;container-title-short&quot;:&quot;WIREs Comp Stat&quot;,&quot;author&quot;:[{&quot;family&quot;:&quot;Cavanaugh&quot;,&quot;given&quot;:&quot;Joseph E.&quot;},{&quot;family&quot;:&quot;Neath&quot;,&quot;given&quot;:&quot;Andrew A.&quot;}],&quot;issued&quot;:{&quot;date-parts&quot;:[[&quot;2019&quot;,&quot;5&quot;]]},&quot;DOI&quot;:&quot;10.1002/wics.1460&quot;,&quot;citation-label&quot;:&quot;9346440&quot;},{&quot;title&quot;:&quot;Guidance for statistical design and analysis of toxicological dose-response experiments, based on a comprehensive literature review.&quot;,&quot;page&quot;:&quot;2741-2761&quot;,&quot;volume&quot;:&quot;97&quot;,&quot;issue&quot;:&quot;10&quot;,&quot;journalAbbreviation&quot;:&quot;Arch. Toxicol.&quot;,&quot;id&quot;:&quot;17409160&quot;,&quot;type&quot;:&quot;article-journal&quot;,&quot;container-title&quot;:&quot;Archives of Toxicology&quot;,&quot;container-title-short&quot;:&quot;Arch. Toxicol.&quot;,&quot;abstract&quot;:&quot;The analysis of dose-response, concentration-response, and time-response relationships is a central component of toxicological research. A major decision with respect to the statistical analysis is whether to consider only the actually measured concentrations or to assume an underlying (parametric) model that allows extrapolation. Recent research suggests the application of modelling approaches for various types of toxicological assays. However, there is a discrepancy between the state of the art in statistical methodological research and published analyses in the toxicological literature. The extent of this gap is quantified in this work using an extensive literature review that considered all dose-response analyses published in three major toxicological journals in 2021. The aspects of the review include biological considerations (type of assay and of exposure), statistical design considerations (number of measured conditions, design, and sample sizes), and statistical analysis considerations (display, analysis goal, statistical testing or modelling method, and alert concentration). Based on the results of this review and the critical assessment of three selected issues in the context of statistical research, concrete guidance for planning, execution, and analysis of dose-response studies from a statistical viewpoint is proposed.© 2023. The Author(s).&quot;,&quot;author&quot;:[{&quot;family&quot;:&quot;Kappenberg&quot;,&quot;given&quot;:&quot;Franziska&quot;},{&quot;family&quot;:&quot;Duda&quot;,&quot;given&quot;:&quot;Julia C&quot;},{&quot;family&quot;:&quot;Schürmeyer&quot;,&quot;given&quot;:&quot;Leonie&quot;},{&quot;family&quot;:&quot;Gül&quot;,&quot;given&quot;:&quot;Onur&quot;},{&quot;family&quot;:&quot;Brecklinghaus&quot;,&quot;given&quot;:&quot;Tim&quot;},{&quot;family&quot;:&quot;Hengstler&quot;,&quot;given&quot;:&quot;Jan G&quot;},{&quot;family&quot;:&quot;Schorning&quot;,&quot;given&quot;:&quot;Kirsten&quot;},{&quot;family&quot;:&quot;Rahnenführer&quot;,&quot;given&quot;:&quot;Jörg&quot;}],&quot;issued&quot;:{&quot;date-parts&quot;:[[&quot;2023&quot;,&quot;10&quot;]]},&quot;DOI&quot;:&quot;10.1007/s00204-023-03561-w&quot;,&quot;PMID&quot;:&quot;37572131&quot;,&quot;PMCID&quot;:&quot;PMC10474994&quot;,&quot;citation-label&quot;:&quot;17409160&quot;},{&quot;genre&quot;:&quot;Computer software&quot;,&quot;title&quot;:&quot;R: A Language and Environment for Statistical Computing&quot;,&quot;publisher&quot;:&quot;R Foundation for Statistical Computing&quot;,&quot;version&quot;:&quot;4.3.1&quot;,&quot;id&quot;:&quot;17268411&quot;,&quot;type&quot;:&quot;book&quot;,&quot;author&quot;:[{&quot;family&quot;:&quot;R Core Team&quot;}],&quot;issued&quot;:{&quot;date-parts&quot;:[[&quot;2021&quot;]]},&quot;publisher-place&quot;:&quot;Vienna, Austria&quot;,&quot;citation-label&quot;:&quot;17268411&quot;},{&quot;title&quot;:&quot;scikit-image: image processing in Python.&quot;,&quot;page&quot;:&quot;e453&quot;,&quot;volume&quot;:&quot;2&quot;,&quot;journalAbbreviation&quot;:&quot;PeerJ&quot;,&quot;id&quot;:&quot;2979090&quot;,&quot;type&quot;:&quot;article-journal&quot;,&quot;container-title&quot;:&quot;PeerJ&quot;,&quot;container-title-short&quot;:&quot;PeerJ&quot;,&quot;abstract&quot;:&quot;scikit-image is an image processing library that implements algorithms and utilities for use in research, education and industry applications. It is released under the liberal Modified BSD open source license, provides a well-documented API in the Python programming language, and is developed by an active, international team of collaborators. In this paper we highlight the advantages of open source to achieve the goals of the scikit-image library, and we showcase several real-world image processing applications that use scikit-image. More information can be found on the project homepage, http://scikit-image.org.&quot;,&quot;author&quot;:[{&quot;family&quot;:&quot;van der Walt&quot;,&quot;given&quot;:&quot;Stéfan&quot;},{&quot;family&quot;:&quot;Schönberger&quot;,&quot;given&quot;:&quot;Johannes L&quot;},{&quot;family&quot;:&quot;Nunez-Iglesias&quot;,&quot;given&quot;:&quot;Juan&quot;},{&quot;family&quot;:&quot;Boulogne&quot;,&quot;given&quot;:&quot;François&quot;},{&quot;family&quot;:&quot;Warner&quot;,&quot;given&quot;:&quot;Joshua D&quot;},{&quot;family&quot;:&quot;Yager&quot;,&quot;given&quot;:&quot;Neil&quot;},{&quot;family&quot;:&quot;Gouillart&quot;,&quot;given&quot;:&quot;Emmanuelle&quot;},{&quot;family&quot;:&quot;Yu&quot;,&quot;given&quot;:&quot;Tony&quot;},{&quot;family&quot;:&quot;scikit-image contributors&quot;}],&quot;issued&quot;:{&quot;date-parts&quot;:[[&quot;2014&quot;,&quot;6&quot;,&quot;19&quot;]]},&quot;DOI&quot;:&quot;10.7717/peerj.453&quot;,&quot;PMID&quot;:&quot;25024921&quot;,&quot;PMCID&quot;:&quot;PMC4081273&quot;,&quot;citation-label&quot;:&quot;2979090&quot;},{&quot;genre&quot;:&quot;Computer software&quot;,&quot;title&quot;:&quot;The OpenCV Library&quot;,&quot;publisher&quot;:&quot;Dr. Dobb's Journal of Software Tools&quot;,&quot;version&quot;:&quot;2&quot;,&quot;id&quot;:&quot;17268399&quot;,&quot;type&quot;:&quot;book&quot;,&quot;author&quot;:[{&quot;family&quot;:&quot;Bradski&quot;,&quot;given&quot;:&quot;G&quot;}],&quot;issued&quot;:{&quot;date-parts&quot;:[[&quot;2000&quot;]]},&quot;citation-label&quot;:&quot;17268399&quot;},{&quot;genre&quot;:&quot;Computer software&quot;,&quot;title&quot;:&quot;Python&quot;,&quot;publisher&quot;:&quot;Python Software Foundation&quot;,&quot;version&quot;:&quot;3.10&quot;,&quot;id&quot;:&quot;17268387&quot;,&quot;type&quot;:&quot;book&quot;,&quot;author&quot;:[{&quot;family&quot;:&quot;Python Language Reference&quot;}],&quot;issued&quot;:{&quot;date-parts&quot;:[[&quot;2021&quot;]]},&quot;citation-label&quot;:&quot;17268387&quot;},{&quot;genre&quot;:&quot;Computer software&quot;,&quot;title&quot;:&quot;Biodock&quot;,&quot;publisher&quot;:&quot;Biodock&quot;,&quot;id&quot;:&quot;17268370&quot;,&quot;type&quot;:&quot;book&quot;,&quot;author&quot;:[{&quot;family&quot;:&quot;AI Software Platform&quot;}],&quot;issued&quot;:{&quot;date-parts&quot;:[[&quot;2024&quot;]]},&quot;citation-label&quot;:&quot;17268370&quot;},{&quot;title&quot;:&quot;Dose-response modeling in high-throughput cancer drug screenings: an end-to-end approach.&quot;,&quot;page&quot;:&quot;643-665&quot;,&quot;volume&quot;:&quot;23&quot;,&quot;issue&quot;:&quot;2&quot;,&quot;journalAbbreviation&quot;:&quot;Biostatistics&quot;,&quot;id&quot;:&quot;10282939&quot;,&quot;type&quot;:&quot;article-journal&quot;,&quot;container-title&quot;:&quot;Biostatistics&quot;,&quot;container-title-short&quot;:&quot;Biostatistics&quot;,&quot;abstract&quot;:&quot;Personalized cancer treatments based on the molecular profile of a patient's tumor are an emerging and exciting class of treatments in oncology. As genomic tumor profiling is becoming more common, targeted treatments for specific molecular alterations are gaining traction. To discover new potential therapeutics that may apply to broad classes of tumors matching some molecular pattern, experimentalists and pharmacologists rely on high-throughput, in vitro screens of many compounds against many different cell lines. We propose a hierarchical Bayesian model of how cancer cell lines respond to drugs in these experiments and develop a method for fitting the model to real-world high-throughput screening data. Through a case study, the model is shown to capture nontrivial associations between molecular features and drug response, such as requiring both wild type TP53 and overexpression of MDM2 to be sensitive to Nutlin-3(a). In quantitative benchmarks, the model outperforms a standard approach in biology, with $\\approx20\\%$ lower predictive error on held out data. When combined with a conditional randomization testing procedure, the model discovers markers of therapeutic response that recapitulate known biology and suggest new avenues for investigation. All code for the article is publicly available at https://github.com/tansey/deep-dose-response.© The Author 2021. Published by Oxford University Press. All rights reserved. For permissions, please e-mail: journals.permissions@oup.com.&quot;,&quot;author&quot;:[{&quot;family&quot;:&quot;Tansey&quot;,&quot;given&quot;:&quot;Wesley&quot;},{&quot;family&quot;:&quot;Li&quot;,&quot;given&quot;:&quot;Kathy&quot;},{&quot;family&quot;:&quot;Zhang&quot;,&quot;given&quot;:&quot;Haoran&quot;},{&quot;family&quot;:&quot;Linderman&quot;,&quot;given&quot;:&quot;Scott W&quot;},{&quot;family&quot;:&quot;Rabadan&quot;,&quot;given&quot;:&quot;Raul&quot;},{&quot;family&quot;:&quot;Blei&quot;,&quot;given&quot;:&quot;David M&quot;},{&quot;family&quot;:&quot;Wiggins&quot;,&quot;given&quot;:&quot;Chris H&quot;}],&quot;issued&quot;:{&quot;date-parts&quot;:[[&quot;2022&quot;,&quot;4&quot;,&quot;13&quot;]]},&quot;DOI&quot;:&quot;10.1093/biostatistics/kxaa047&quot;,&quot;PMID&quot;:&quot;33417699&quot;,&quot;PMCID&quot;:&quot;PMC9007438&quot;,&quot;citation-label&quot;:&quot;10282939&quot;},{&quot;title&quot;:&quot;Automated quantitative dose-response modeling and point of departure determination for large toxicogenomic and high-throughput screening data sets.&quot;,&quot;page&quot;:&quot;412-418&quot;,&quot;volume&quot;:&quot;104&quot;,&quot;issue&quot;:&quot;2&quot;,&quot;journalAbbreviation&quot;:&quot;Toxicol. Sci.&quot;,&quot;id&quot;:&quot;17268339&quot;,&quot;type&quot;:&quot;article-journal&quot;,&quot;container-title&quot;:&quot;Toxicological Sciences&quot;,&quot;container-title-short&quot;:&quot;Toxicol. Sci.&quot;,&quot;abstract&quot;:&quot;Regulatory and homeland security agencies undertake safety and risk assessments to assess the potential hazards of radiation, chemical, biological, and pharmaceutical agents. By law, these assessments must be science-based to ensure public safety and environmental quality. These agencies use dose-response modeling and benchmark dose methods to identify points of departure across single end points elicited by the agent. Regulatory agencies have also begun to examine toxicogenomic data to identify novel biomarkers of exposure and assess potential toxicity. The ToxResponse Modeler streamlines analyses and point of departure (POD) calculations across hundreds of responses (e.g., differential gene expression, changes in metabolite levels) through an automated process capable of large-scale modeling and model selection. The application identifies the best-fit dose-response model utilizing particle swarm optimization and calculates the probabilistic POD. The application analyzed a publicly available 2,3,7,8-tetrachlorodibenzo-p-dioxin dose-response data set of hepatic gene expression data in C57BL/6 mice to identify putative biomarkers. The Gene Ontology mapped these responses to specific functions to differentiate adaptive effects from toxic responses. In principle, safety and risk assessors could use the automated ToxResponse Modeler to analyze any large dose-response data set including outputs from high-throughput screening assays to assist with the ranking and prioritization of compounds that warrant further investigation or development.&quot;,&quot;author&quot;:[{&quot;family&quot;:&quot;Burgoon&quot;,&quot;given&quot;:&quot;Lyle D&quot;},{&quot;family&quot;:&quot;Zacharewski&quot;,&quot;given&quot;:&quot;Timothy R&quot;}],&quot;issued&quot;:{&quot;date-parts&quot;:[[&quot;2008&quot;,&quot;8&quot;]]},&quot;DOI&quot;:&quot;10.1093/toxsci/kfn083&quot;,&quot;PMID&quot;:&quot;18441342&quot;,&quot;citation-label&quot;:&quot;17268339&quot;},{&quot;title&quot;:&quot;Verification and validation of bioinformatics software without a gold standard: a case study of BWA and Bowtie.&quot;,&quot;page&quot;:&quot;S15&quot;,&quot;volume&quot;:&quot;15 Suppl 16&quot;,&quot;issue&quot;:&quot;Suppl 16&quot;,&quot;journalAbbreviation&quot;:&quot;BMC Bioinformatics&quot;,&quot;id&quot;:&quot;4237462&quot;,&quot;type&quot;:&quot;article-journal&quot;,&quot;container-title&quot;:&quot;BMC Bioinformatics&quot;,&quot;container-title-short&quot;:&quot;BMC Bioinformatics&quot;,&quot;abstract&quot;:&quot;BACKGROUND: Bioinformatics software quality assurance is essential in genomic medicine. Systematic verification and validation of bioinformatics software is difficult because it is often not possible to obtain a realistic \&quot;gold standard\&quot; for systematic evaluation. Here we apply a technique that originates from the software testing literature, namely Metamorphic Testing (MT), to systematically test three widely used short-read sequence alignment programs.RESULTS: MT alleviates the problems associated with the lack of gold standard by checking that the results from multiple executions of a program satisfy a set of expected or desirable properties that can be derived from the software specification or user expectations. We tested BWA, Bowtie and Bowtie2 using simulated data and one HapMap dataset. It is interesting to observe that multiple executions of the same aligner using slightly modified input FASTQ sequence file, such as after randomly re-ordering of the reads, may affect alignment results. Furthermore, we found that the list of variant calls can be affected unless strict quality control is applied during variant calling.CONCLUSION: Thorough testing of bioinformatics software is important in delivering clinical genomic medicine. This paper demonstrates a different framework to test a program that involves checking its properties, thus greatly expanding the number and repertoire of test cases we can apply in practice.&quot;,&quot;author&quot;:[{&quot;family&quot;:&quot;Giannoulatou&quot;,&quot;given&quot;:&quot;Eleni&quot;},{&quot;family&quot;:&quot;Park&quot;,&quot;given&quot;:&quot;Shin-Ho&quot;},{&quot;family&quot;:&quot;Humphreys&quot;,&quot;given&quot;:&quot;David T&quot;},{&quot;family&quot;:&quot;Ho&quot;,&quot;given&quot;:&quot;Joshua W K&quot;}],&quot;issued&quot;:{&quot;date-parts&quot;:[[&quot;2014&quot;,&quot;12&quot;,&quot;8&quot;]]},&quot;DOI&quot;:&quot;10.1186/1471-2105-15-S16-S15&quot;,&quot;PMID&quot;:&quot;25521810&quot;,&quot;PMCID&quot;:&quot;PMC4290646&quot;,&quot;citation-label&quot;:&quot;4237462&quot;},{&quot;title&quot;:&quot;External validation of a deep learning algorithm for automated echocardiographic strain measurements.&quot;,&quot;page&quot;:&quot;60-68&quot;,&quot;volume&quot;:&quot;5&quot;,&quot;issue&quot;:&quot;1&quot;,&quot;journalAbbreviation&quot;:&quot;Eur. Heart J. Digit. Health&quot;,&quot;id&quot;:&quot;17268318&quot;,&quot;type&quot;:&quot;article-journal&quot;,&quot;container-title&quot;:&quot;European heart journal. Digital health&quot;,&quot;container-title-short&quot;:&quot;Eur. Heart J. Digit. Health&quot;,&quot;abstract&quot;:&quot;AIMS: Echocardiographic strain imaging reflects myocardial deformation and is a sensitive measure of cardiac function and wall-motion abnormalities. Deep learning (DL) algorithms could automate the interpretation of echocardiographic strain imaging.METHODS AND RESULTS: We developed and trained an automated DL-based algorithm for left ventricular (LV) strain measurements in an internal dataset. Global longitudinal strain (GLS) was validated externally in (i) a real-world Taiwanese cohort of participants with and without heart failure (HF), (ii) a core-lab measured dataset from the multinational prevalence of microvascular dysfunction-HF and preserved ejection fraction (PROMIS-HFpEF) study, and regional strain in (iii) the HMC-QU-MI study of patients with suspected myocardial infarction. Outcomes included measures of agreement [bias, mean absolute difference (MAD), root-mean-squared-error (RMSE), and Pearson's correlation (R)] and area under the curve (AUC) to identify HF and regional wall-motion abnormalities. The DL workflow successfully analysed 3741 (89%) studies in the Taiwanese cohort, 176 (96%) in PROMIS-HFpEF, and 158 (98%) in HMC-QU-MI. Automated GLS showed good agreement with manual measurements (mean ± SD): -18.9 ± 4.5% vs. -18.2 ± 4.4%, respectively, bias 0.68 ± 2.52%, MAD 2.0 ± 1.67, RMSE = 2.61, R = 0.84 in the Taiwanese cohort; and -15.4 ± 4.1% vs. -15.9 ± 3.6%, respectively, bias -0.65 ± 2.71%, MAD 2.19 ± 1.71, RMSE = 2.78, R = 0.76 in PROMIS-HFpEF. In the Taiwanese cohort, automated GLS accurately identified patients with HF (AUC = 0.89 for total HF and AUC = 0.98 for HF with reduced ejection fraction). In HMC-QU-MI, automated regional strain identified regional wall-motion abnormalities with an average AUC = 0.80.CONCLUSION: DL algorithms can interpret echocardiographic strain images with similar accuracy as conventional measurements. These results highlight the potential of DL algorithms to democratize the use of cardiac strain measurements and reduce time-spent and costs for echo labs globally.© The Author(s) 2023. Published by Oxford University Press on behalf of the European Society of Cardiology.&quot;,&quot;author&quot;:[{&quot;family&quot;:&quot;Myhre&quot;,&quot;given&quot;:&quot;Peder L&quot;},{&quot;family&quot;:&quot;Hung&quot;,&quot;given&quot;:&quot;Chung-Lieh&quot;},{&quot;family&quot;:&quot;Frost&quot;,&quot;given&quot;:&quot;Matthew J&quot;},{&quot;family&quot;:&quot;Jiang&quot;,&quot;given&quot;:&quot;Zhubo&quot;},{&quot;family&quot;:&quot;Ouwerkerk&quot;,&quot;given&quot;:&quot;Wouter&quot;},{&quot;family&quot;:&quot;Teramoto&quot;,&quot;given&quot;:&quot;Kanako&quot;},{&quot;family&quot;:&quot;Svedlund&quot;,&quot;given&quot;:&quot;Sara&quot;},{&quot;family&quot;:&quot;Saraste&quot;,&quot;given&quot;:&quot;Antti&quot;},{&quot;family&quot;:&quot;Hage&quot;,&quot;given&quot;:&quot;Camilla&quot;},{&quot;family&quot;:&quot;Tan&quot;,&quot;given&quot;:&quot;Ru-San&quot;},{&quot;family&quot;:&quot;Beussink-Nelson&quot;,&quot;given&quot;:&quot;Lauren&quot;},{&quot;family&quot;:&quot;Fermer&quot;,&quot;given&quot;:&quot;Maria L&quot;},{&quot;family&quot;:&quot;Gan&quot;,&quot;given&quot;:&quot;Li-Ming&quot;},{&quot;family&quot;:&quot;Hummel&quot;,&quot;given&quot;:&quot;Yoran M&quot;},{&quot;family&quot;:&quot;Lund&quot;,&quot;given&quot;:&quot;Lars H&quot;},{&quot;family&quot;:&quot;Shah&quot;,&quot;given&quot;:&quot;Sanjiv J&quot;},{&quot;family&quot;:&quot;Lam&quot;,&quot;given&quot;:&quot;Carolyn S P&quot;},{&quot;family&quot;:&quot;Tromp&quot;,&quot;given&quot;:&quot;Jasper&quot;}],&quot;issued&quot;:{&quot;date-parts&quot;:[[&quot;2024&quot;,&quot;1&quot;]]},&quot;DOI&quot;:&quot;10.1093/ehjdh/ztad072&quot;,&quot;PMID&quot;:&quot;38264705&quot;,&quot;PMCID&quot;:&quot;PMC10802824&quot;,&quot;citation-label&quot;:&quot;17268318&quot;},{&quot;title&quot;:&quot;Advancements and challenges in machine learning: A comprehensive review of models, libraries, applications, and algorithms&quot;,&quot;page&quot;:&quot;1789&quot;,&quot;volume&quot;:&quot;12&quot;,&quot;issue&quot;:&quot;8&quot;,&quot;journalAbbreviation&quot;:&quot;Electronics&quot;,&quot;id&quot;:&quot;16584832&quot;,&quot;type&quot;:&quot;article-journal&quot;,&quot;container-title&quot;:&quot;Electronics&quot;,&quot;container-title-short&quot;:&quot;Electronics&quot;,&quot;abstract&quot;:&quot;In the current world of the Internet of Things, cyberspace, mobile devices, businesses, social media platforms, healthcare systems, etc., there is a lot of data online today. Machine learning (ML) is something we need to understand to do smart analyses of these data and make smart, automated applications that use them. There are many different kinds of machine learning algorithms. The most well-known ones are supervised, unsupervised, semi-supervised, and reinforcement learning. This article goes over all the different kinds of machine-learning problems and the machine-learning algorithms that are used to solve them. The main thing this study adds is a better understanding of the theory behind many machine learning methods and how they can be used in the real world, such as in energy, healthcare, finance, autonomous driving, e-commerce, and many more fields. This article is meant to be a go-to resource for academic researchers, data scientists, and machine learning engineers when it comes to making decisions about a wide range of data and methods to start extracting information from the data and figuring out what kind of machine learning algorithm will work best for their problem and what results they can expect. Additionally, this article presents the major challenges in building machine learning models and explores the research gaps in this area. In this article, we also provided a brief overview of data protection laws and their provisions in different countries.&quot;,&quot;author&quot;:[{&quot;family&quot;:&quot;Tufail&quot;,&quot;given&quot;:&quot;Shahid&quot;},{&quot;family&quot;:&quot;Riggs&quot;,&quot;given&quot;:&quot;Hugo&quot;},{&quot;family&quot;:&quot;Tariq&quot;,&quot;given&quot;:&quot;Mohd&quot;},{&quot;family&quot;:&quot;Sarwat&quot;,&quot;given&quot;:&quot;Arif I.&quot;}],&quot;issued&quot;:{&quot;date-parts&quot;:[[&quot;2023&quot;,&quot;4&quot;,&quot;10&quot;]]},&quot;DOI&quot;:&quot;10.3390/electronics12081789&quot;,&quot;citation-label&quot;:&quot;16584832&quot;},{&quot;title&quot;:&quot;The challenges of machine learning: A critical review&quot;,&quot;page&quot;:&quot;416&quot;,&quot;volume&quot;:&quot;13&quot;,&quot;issue&quot;:&quot;2&quot;,&quot;journalAbbreviation&quot;:&quot;Electronics&quot;,&quot;id&quot;:&quot;17264749&quot;,&quot;type&quot;:&quot;article-journal&quot;,&quot;container-title&quot;:&quot;Electronics&quot;,&quot;container-title-short&quot;:&quot;Electronics&quot;,&quot;abstract&quot;:&quot;The concept of learning has multiple interpretations, ranging from acquiring knowledge or skills to constructing meaning and social development. Machine Learning (ML) is considered a branch of Artificial Intelligence (AI) and develops algorithms that can learn from data and generalize their judgment to new observations by exploiting primarily statistical methods. The new millennium has seen the proliferation of Artificial Neural Networks (ANNs), a formalism able to reach extraordinary achievements in complex problems such as computer vision and natural language recognition. In particular, designers claim that this formalism has a strong resemblance to the way the biological neurons operate. This work argues that although ML has a mathematical/statistical foundation, it cannot be strictly regarded as a science, at least from a methodological perspective. The main reason is that ML algorithms have notable prediction power although they cannot necessarily provide a causal explanation about the achieved predictions. For example, an ANN could be trained on a large dataset of consumer financial information to predict creditworthiness. The model takes into account various factors like income, credit history, debt, spending patterns, and more. It then outputs a credit score or a decision on credit approval. However, the complex and multi-layered nature of the neural network makes it almost impossible to understand which specific factors or combinations of factors the model is using to arrive at its decision. This lack of transparency can be problematic, especially if the model denies credit and the applicant wants to know the specific reasons for the denial. The model’s “black box” nature means it cannot provide a clear explanation or breakdown of how it weighed the various factors in its decision-making process. Secondly, this work rejects the belief that a machine can simply learn from data, either in supervised or unsupervised mode, just by applying statistical methods. The process of learning is much more complex, as it requires the full comprehension of a learned ability or skill. In this sense, further ML advancements, such as reinforcement learning and imitation learning denote encouraging similarities to similar cognitive skills used in human learning.&quot;,&quot;author&quot;:[{&quot;family&quot;:&quot;Barbierato&quot;,&quot;given&quot;:&quot;Enrico&quot;},{&quot;family&quot;:&quot;Gatti&quot;,&quot;given&quot;:&quot;Alice&quot;}],&quot;issued&quot;:{&quot;date-parts&quot;:[[&quot;2024&quot;,&quot;1&quot;,&quot;19&quot;]]},&quot;DOI&quot;:&quot;10.3390/electronics13020416&quot;,&quot;citation-label&quot;:&quot;17264749&quot;},{&quot;title&quot;:&quot;ImageJ2: ImageJ for the next generation of scientific image data.&quot;,&quot;page&quot;:&quot;529&quot;,&quot;volume&quot;:&quot;18&quot;,&quot;issue&quot;:&quot;1&quot;,&quot;journalAbbreviation&quot;:&quot;BMC Bioinformatics&quot;,&quot;id&quot;:&quot;4544555&quot;,&quot;type&quot;:&quot;article-journal&quot;,&quot;container-title&quot;:&quot;BMC Bioinformatics&quot;,&quot;container-title-short&quot;:&quot;BMC Bioinformatics&quot;,&quot;abstract&quot;:&quot;BACKGROUND: ImageJ is an image analysis program extensively used in the biological sciences and beyond. Due to its ease of use, recordable macro language, and extensible plug-in architecture, ImageJ enjoys contributions from non-programmers, amateur programmers, and professional developers alike. Enabling such a diversity of contributors has resulted in a large community that spans the biological and physical sciences. However, a rapidly growing user base, diverging plugin suites, and technical limitations have revealed a clear need for a concerted software engineering effort to support emerging imaging paradigms, to ensure the software's ability to handle the requirements of modern science.RESULTS: We rewrote the entire ImageJ codebase, engineering a redesigned plugin mechanism intended to facilitate extensibility at every level, with the goal of creating a more powerful tool that continues to serve the existing community while addressing a wider range of scientific requirements. This next-generation ImageJ, called \&quot;ImageJ2\&quot; in places where the distinction matters, provides a host of new functionality. It separates concerns, fully decoupling the data model from the user interface. It emphasizes integration with external applications to maximize interoperability. Its robust new plugin framework allows everything from image formats, to scripting languages, to visualization to be extended by the community. The redesigned data model supports arbitrarily large, N-dimensional datasets, which are increasingly common in modern image acquisition. Despite the scope of these changes, backwards compatibility is maintained such that this new functionality can be seamlessly integrated with the classic ImageJ interface, allowing users and developers to migrate to these new methods at their own pace.CONCLUSIONS: Scientific imaging benefits from open-source programs that advance new method development and deployment to a diverse audience. ImageJ has continuously evolved with this idea in mind; however, new and emerging scientific requirements have posed corresponding challenges for ImageJ's development. The described improvements provide a framework engineered for flexibility, intended to support these requirements as well as accommodate future needs. Future efforts will focus on implementing new algorithms in this framework and expanding collaborations with other popular scientific software suites.&quot;,&quot;author&quot;:[{&quot;family&quot;:&quot;Rueden&quot;,&quot;given&quot;:&quot;Curtis T&quot;},{&quot;family&quot;:&quot;Schindelin&quot;,&quot;given&quot;:&quot;Johannes&quot;},{&quot;family&quot;:&quot;Hiner&quot;,&quot;given&quot;:&quot;Mark C&quot;},{&quot;family&quot;:&quot;DeZonia&quot;,&quot;given&quot;:&quot;Barry E&quot;},{&quot;family&quot;:&quot;Walter&quot;,&quot;given&quot;:&quot;Alison E&quot;},{&quot;family&quot;:&quot;Arena&quot;,&quot;given&quot;:&quot;Ellen T&quot;},{&quot;family&quot;:&quot;Eliceiri&quot;,&quot;given&quot;:&quot;Kevin W&quot;}],&quot;issued&quot;:{&quot;date-parts&quot;:[[&quot;2017&quot;,&quot;11&quot;,&quot;29&quot;]]},&quot;DOI&quot;:&quot;10.1186/s12859-017-1934-z&quot;,&quot;PMID&quot;:&quot;29187165&quot;,&quot;PMCID&quot;:&quot;PMC5708080&quot;,&quot;citation-label&quot;:&quot;4544555&quot;},{&quot;title&quot;:&quot;Reproducibility of dynamic contrast-enhanced MR imaging. Part II. Comparison of intra- and interobserver variability with manual region of interest placement versus semiautomatic lesion segmentation and histogram analysis.&quot;,&quot;page&quot;:&quot;812-821&quot;,&quot;volume&quot;:&quot;266&quot;,&quot;issue&quot;:&quot;3&quot;,&quot;journalAbbreviation&quot;:&quot;Radiology&quot;,&quot;id&quot;:&quot;1299337&quot;,&quot;type&quot;:&quot;article-journal&quot;,&quot;container-title&quot;:&quot;Radiology&quot;,&quot;container-title-short&quot;:&quot;Radiology&quot;,&quot;abstract&quot;:&quot;PURPOSE: To compare the inter- and intraobserver variability with manual region of interest (ROI) placement versus that with software-assisted semiautomatic lesion segmentation and histogram analysis with respect to quantitative dynamic contrast material-enhanced (DCE) MR imaging determinations of the volume transfer constant (K(trans)).\n\n\nMATERIALS AND METHODS: The study was approved by the institutional review board and compliant with HIPAA. The requirement to obtain informed consent was waived. Fifteen DCE MR imaging studies of the female pelvis defined the study group. Uterine fibroids were used as a perfusion model. Three varying types of lesion measurements were performed by five readers on each study by using DCE MR imaging perfusion analysis software with manual ROI placement and a semiautomatic lesion segmentation and histogram analysis solution. Intra- and interreader variability of measurements of K(trans) with the different measurement types was calculated.\n\n\nRESULTS: The overall interobserver variability of K(trans) with manual ROI placement (mean, 28.5% ± 9.3) was reduced by 42.5% when the semiautomatic, software-assisted lesion measurement method was used (16.4% ± 6.2). Whole-lesion measurement showed the lowest interobserver variability with both measurement methods (20.1% ± 4.3 with the manual method vs 10.8% ± 2.6 with the semiautomatic method). The overall intrareader variability with the manual ROI method (7.6% ± 10.6) was not significantly different from that with the semiautomatic method (7.3% ± 10.8), but the intraclass correlation coefficient for intrareader reproducibility improved from 0.86 overall with the manual method to 0.99 with the semiautomatic method.\n\n\nCONCLUSION: A semiautomatic lesion segmentation and histogram analysis approach can provide a significant reduction in interobserver variability for DCE MR imaging measurements of K(trans) when compared with manual ROI methods, whereas intraobserver reproducibility is improved to some extent.&quot;,&quot;author&quot;:[{&quot;family&quot;:&quot;Heye&quot;,&quot;given&quot;:&quot;Tobias&quot;},{&quot;family&quot;:&quot;Merkle&quot;,&quot;given&quot;:&quot;Elmar M&quot;},{&quot;family&quot;:&quot;Reiner&quot;,&quot;given&quot;:&quot;Caecilia S&quot;},{&quot;family&quot;:&quot;Davenport&quot;,&quot;given&quot;:&quot;Matthew S&quot;},{&quot;family&quot;:&quot;Horvath&quot;,&quot;given&quot;:&quot;Jeffrey J&quot;},{&quot;family&quot;:&quot;Feuerlein&quot;,&quot;given&quot;:&quot;Sebastian&quot;},{&quot;family&quot;:&quot;Breault&quot;,&quot;given&quot;:&quot;Steven R&quot;},{&quot;family&quot;:&quot;Gall&quot;,&quot;given&quot;:&quot;Peter&quot;},{&quot;family&quot;:&quot;Bashir&quot;,&quot;given&quot;:&quot;Mustafa R&quot;},{&quot;family&quot;:&quot;Dale&quot;,&quot;given&quot;:&quot;Brian M&quot;},{&quot;family&quot;:&quot;Kiraly&quot;,&quot;given&quot;:&quot;Atilla P&quot;},{&quot;family&quot;:&quot;Boll&quot;,&quot;given&quot;:&quot;Daniel T&quot;}],&quot;issued&quot;:{&quot;date-parts&quot;:[[&quot;2013&quot;,&quot;3&quot;]]},&quot;DOI&quot;:&quot;10.1148/radiol.12120255&quot;,&quot;PMID&quot;:&quot;23220891&quot;,&quot;citation-label&quot;:&quot;1299337&quot;},{&quot;title&quot;:&quot;Automatic measurement of sister chromatid exchange frequency.&quot;,&quot;page&quot;:&quot;741-753&quot;,&quot;volume&quot;:&quot;25&quot;,&quot;issue&quot;:&quot;7&quot;,&quot;journalAbbreviation&quot;:&quot;J. Histochem. Cytochem.&quot;,&quot;id&quot;:&quot;2070191&quot;,&quot;type&quot;:&quot;article-journal&quot;,&quot;container-title&quot;:&quot;The Journal of Histochemistry and Cytochemistry&quot;,&quot;container-title-short&quot;:&quot;J. Histochem. Cytochem.&quot;,&quot;abstract&quot;:&quot;An automatic system for detecting and counting sister chromatid exchanges in human chromosomes has been developed. Metaphase chromosomes from lymphocytes which had incorporated 5-bromodeoxyuridine for two replication cycles were treated with the dye 33258 Hoechst and photodegraded so that the sister chromatids exhibited differential Giemsa staining. A computer-controlled television-microscope system was used to acquire digitized metaphase spread images by direct scanning of microscope slides. Individual objects in the images were identified by a thresholding procedure. The probability that each object was a single, separate chromosome was estimated from size and shape measurements. An analysis of the spatial relationships of the dark-chromatid regions of each object yielded a set of possible exchange locations and estimated probabilities that such locations corresponded to sister chromatid exchanges. A normalized estimate of the sister chromatid exchange frequency was obtained by summing the joint probabilities that a location contained an exchange within a single, separate chromosome over the set of chromosomes from one or more cells and dividing by the expected value of the total chromosome area analyzed. Comparison with manual scoring of exchanges showed satisfactory agreement up to levels of approximately 30 sister chromatid exchanges/cell, or slightly more than twice control levels. The processing time for this automated sister chromatid exchange detection system was comparable to that of manual scoring.&quot;,&quot;author&quot;:[{&quot;family&quot;:&quot;Zack&quot;,&quot;given&quot;:&quot;G W&quot;},{&quot;family&quot;:&quot;Rogers&quot;,&quot;given&quot;:&quot;W E&quot;},{&quot;family&quot;:&quot;Latt&quot;,&quot;given&quot;:&quot;S A&quot;}],&quot;issued&quot;:{&quot;date-parts&quot;:[[&quot;1977&quot;,&quot;7&quot;]]},&quot;DOI&quot;:&quot;10.1177/25.7.70454&quot;,&quot;PMID&quot;:&quot;70454&quot;,&quot;citation-label&quot;:&quot;2070191&quot;},{&quot;title&quot;:&quot;An equation to describe dose responses where there is stimulation of growth at low doses&quot;,&quot;page&quot;:&quot;93-96&quot;,&quot;volume&quot;:&quot;29&quot;,&quot;issue&quot;:&quot;2&quot;,&quot;journalAbbreviation&quot;:&quot;Weed Res.&quot;,&quot;id&quot;:&quot;16674916&quot;,&quot;type&quot;:&quot;article-journal&quot;,&quot;container-title&quot;:&quot;Weed research&quot;,&quot;container-title-short&quot;:&quot;Weed Res.&quot;,&quot;author&quot;:[{&quot;family&quot;:&quot;Brain&quot;,&quot;given&quot;:&quot;P&quot;},{&quot;family&quot;:&quot;Cousens&quot;,&quot;given&quot;:&quot;R&quot;}],&quot;issued&quot;:{&quot;date-parts&quot;:[[&quot;1989&quot;,&quot;4&quot;]]},&quot;DOI&quot;:&quot;10.1111/j.1365-3180.1989.tb00845.x&quot;,&quot;citation-label&quot;:&quot;16674916&quot;},{&quot;title&quot;:&quot;Bioassay Analysis using R&quot;,&quot;volume&quot;:&quot;12&quot;,&quot;issue&quot;:&quot;5&quot;,&quot;journalAbbreviation&quot;:&quot;J. Stat. Softw.&quot;,&quot;id&quot;:&quot;1471701&quot;,&quot;type&quot;:&quot;article-journal&quot;,&quot;container-title&quot;:&quot;Journal of Statistical Software&quot;,&quot;container-title-short&quot;:&quot;J. Stat. Softw.&quot;,&quot;author&quot;:[{&quot;family&quot;:&quot;Ritz&quot;,&quot;given&quot;:&quot;Christian&quot;},{&quot;family&quot;:&quot;Streibig&quot;,&quot;given&quot;:&quot;Jens C.&quot;}],&quot;issued&quot;:{&quot;date-parts&quot;:[[&quot;2005&quot;]]},&quot;DOI&quot;:&quot;10.18637/jss.v012.i05&quot;,&quot;citation-label&quot;:&quot;1471701&quot;},{&quot;title&quot;:&quot;Improved empirical models describing hormesis.&quot;,&quot;page&quot;:&quot;3166-3172&quot;,&quot;volume&quot;:&quot;24&quot;,&quot;issue&quot;:&quot;12&quot;,&quot;journalAbbreviation&quot;:&quot;Environ. Toxicol. Chem.&quot;,&quot;id&quot;:&quot;7214320&quot;,&quot;type&quot;:&quot;article-journal&quot;,&quot;container-title&quot;:&quot;Environmental Toxicology and Chemistry&quot;,&quot;container-title-short&quot;:&quot;Environ. Toxicol. Chem.&quot;,&quot;abstract&quot;:&quot;During the past two decades, the phenomenon of hormesis has gained increased recognition. To promote research in hormesis, a sound statistical quantification of important parameters, such as the level and significance of the increase in response and the range of concentration where it occurs, is strongly needed. Here, we present an improved statistical model to describe hormetic dose-response curves and test for the presence of hormesis. Using the delta method and freely available software, any percentage effect dose or concentration can be derived with its associated standard errors. Likewise, the maximal response can be extracted and the growth stimulation calculated. The new model was tested on macrophyte data from multiple-species experiments and on laboratory data of Lemna minor. For the 51 curves tested, significant hormesis was detected in 18 curves, and for another 17 curves, the hormesis model described that data better than the logistic model did. The increase in response ranged from 5 to 109%. The growth stimulation occurred at an average dose somewhere between zero and concentrations corresponding to approximately 20 to 25% of the median effective concentration (EC50). Testing the same data with the hormesis model proposed by Brain and Cousens in 1989, we found no significant hormesis. Consequently, the new model is shown to be far more robust than previous models, both in terms of variation in data and in terms of describing hormetic effects ranging from small effects of a 10% increase in response up to effects of an almost 100% increase in response.&quot;,&quot;author&quot;:[{&quot;family&quot;:&quot;Cedergreen&quot;,&quot;given&quot;:&quot;Nina&quot;},{&quot;family&quot;:&quot;Ritz&quot;,&quot;given&quot;:&quot;Christian&quot;},{&quot;family&quot;:&quot;Streibig&quot;,&quot;given&quot;:&quot;Jens Carl&quot;}],&quot;issued&quot;:{&quot;date-parts&quot;:[[&quot;2005&quot;,&quot;12&quot;]]},&quot;PMID&quot;:&quot;16445100&quot;,&quot;citation-label&quot;:&quot;7214320&quot;},{&quot;title&quot;:&quot;Modeling Biphasic, Non-Sigmoidal Dose-Response Relationships: Comparison of Brain-Cousens and Cedergreen Models for a Biochemical Dataset.&quot;,&quot;journalAbbreviation&quot;:&quot;arXiv&quot;,&quot;id&quot;:&quot;16584946&quot;,&quot;type&quot;:&quot;article-journal&quot;,&quot;container-title&quot;:&quot;arXiv&quot;,&quot;container-title-short&quot;:&quot;arXiv&quot;,&quot;abstract&quot;:&quot;Biphasic, non-sigmoidal dose-response relationships are frequently observed in biochemistry and pharmacology, but they are not always analyzed with appropriate statistical methods. Here, we examine curve fitting methods for \&quot;hormetic\&quot; dose-response relationships where low and high doses of an effector produce opposite responses. We provide the full dataset used for modeling, and we provide the code for analyzing the dataset in SAS using two established mathematical models of hormesis, the Brain-Cousens model and the Cedergreen model. We show how to obtain and interpret curve parameters such as the ED50 that arise from modeling, and we discuss how curve parameters might change in a predictable manner when the conditions of the dose-response assay are altered. In addition to modeling the raw dataset that we provide, we also model the dataset after applying common normalization techniques, and we indicate how this affects the parameters that are associated with the fit curves. The Brain-Cousens and Cedergreen models that we used for curve fitting were similarly effective at capturing quantitative information about the biphasic dose-response relationships.&quot;,&quot;author&quot;:[{&quot;family&quot;:&quot;Abbaraju&quot;,&quot;given&quot;:&quot;Venkat D&quot;},{&quot;family&quot;:&quot;Robinson&quot;,&quot;given&quot;:&quot;Tamaraty L&quot;},{&quot;family&quot;:&quot;Weiser&quot;,&quot;given&quot;:&quot;Brian P&quot;}],&quot;issued&quot;:{&quot;date-parts&quot;:[[&quot;2023&quot;,&quot;8&quot;,&quot;16&quot;]]},&quot;DOI&quot;:&quot;10.48550/arxiv.2308.08618&quot;,&quot;PMID&quot;:&quot;37645052&quot;,&quot;PMCID&quot;:&quot;PMC10462167&quot;,&quot;citation-label&quot;:&quot;16584946&quot;},{&quot;title&quot;:&quot;Dose-response analysis using R.&quot;,&quot;page&quot;:&quot;e0146021&quot;,&quot;volume&quot;:&quot;10&quot;,&quot;issue&quot;:&quot;12&quot;,&quot;journalAbbreviation&quot;:&quot;PLoS ONE&quot;,&quot;id&quot;:&quot;4482675&quot;,&quot;type&quot;:&quot;article-journal&quot;,&quot;container-title&quot;:&quot;Plos One&quot;,&quot;container-title-short&quot;:&quot;PLoS ONE&quot;,&quot;abstract&quot;:&quot;Dose-response analysis can be carried out using multi-purpose commercial statistical software, but except for a few special cases the analysis easily becomes cumbersome as relevant, non-standard output requires manual programming. The extension package drc for the statistical environment R provides a flexible and versatile infrastructure for dose-response analyses in general. The present version of the package, reflecting extensions and modifications over the last decade, provides a user-friendly interface to specify the model assumptions about the dose-response relationship and comes with a number of extractors for summarizing fitted models and carrying out inference on derived parameters. The aim of the present paper is to provide an overview of state-of-the-art dose-response analysis, both in terms of general concepts that have evolved and matured over the years and by means of concrete examples.&quot;,&quot;author&quot;:[{&quot;family&quot;:&quot;Ritz&quot;,&quot;given&quot;:&quot;Christian&quot;},{&quot;family&quot;:&quot;Baty&quot;,&quot;given&quot;:&quot;Florent&quot;},{&quot;family&quot;:&quot;Streibig&quot;,&quot;given&quot;:&quot;Jens C&quot;},{&quot;family&quot;:&quot;Gerhard&quot;,&quot;given&quot;:&quot;Daniel&quot;}],&quot;issued&quot;:{&quot;date-parts&quot;:[[&quot;2015&quot;,&quot;12&quot;,&quot;30&quot;]]},&quot;DOI&quot;:&quot;10.1371/journal.pone.0146021&quot;,&quot;PMID&quot;:&quot;26717316&quot;,&quot;PMCID&quot;:&quot;PMC4696819&quot;,&quot;citation-label&quot;:&quot;4482675&quot;},{&quot;title&quot;:&quot;Using DeepLabCut for 3D markerless pose estimation across species and behaviors.&quot;,&quot;page&quot;:&quot;2152-2176&quot;,&quot;volume&quot;:&quot;14&quot;,&quot;issue&quot;:&quot;7&quot;,&quot;journalAbbreviation&quot;:&quot;Nat. Protoc.&quot;,&quot;id&quot;:&quot;7154864&quot;,&quot;type&quot;:&quot;article-journal&quot;,&quot;container-title&quot;:&quot;Nature Protocols&quot;,&quot;container-title-short&quot;:&quot;Nat. Protoc.&quot;,&quot;abstract&quot;:&quot;Noninvasive behavioral tracking of animals during experiments is critical to many scientific pursuits. Extracting the poses of animals without using markers is often essential to measuring behavioral effects in biomechanics, genetics, ethology, and neuroscience. However, extracting detailed poses without markers in dynamically changing backgrounds has been challenging. We recently introduced an open-source toolbox called DeepLabCut that builds on a state-of-the-art human pose-estimation algorithm to allow a user to train a deep neural network with limited training data to precisely track user-defined features that match human labeling accuracy. Here, we provide an updated toolbox, developed as a Python package, that includes new features such as graphical user interfaces (GUIs), performance improvements, and active-learning-based network refinement. We provide a step-by-step procedure for using DeepLabCut that guides the user in creating a tailored, reusable analysis pipeline with a graphical processing unit (GPU) in 1-12 h (depending on frame size). Additionally, we provide Docker environments and Jupyter Notebooks that can be run on cloud resources such as Google Colaboratory.&quot;,&quot;author&quot;:[{&quot;family&quot;:&quot;Nath&quot;,&quot;given&quot;:&quot;Tanmay&quot;},{&quot;family&quot;:&quot;Mathis&quot;,&quot;given&quot;:&quot;Alexander&quot;},{&quot;family&quot;:&quot;Chen&quot;,&quot;given&quot;:&quot;An Chi&quot;},{&quot;family&quot;:&quot;Patel&quot;,&quot;given&quot;:&quot;Amir&quot;},{&quot;family&quot;:&quot;Bethge&quot;,&quot;given&quot;:&quot;Matthias&quot;},{&quot;family&quot;:&quot;Mathis&quot;,&quot;given&quot;:&quot;Mackenzie Weygandt&quot;}],&quot;issued&quot;:{&quot;date-parts&quot;:[[&quot;2019&quot;,&quot;7&quot;]]},&quot;DOI&quot;:&quot;10.1038/s41596-019-0176-0&quot;,&quot;PMID&quot;:&quot;31227823&quot;,&quot;citation-label&quot;:&quot;7154864&quot;},{&quot;title&quot;:&quot;CellProfiler: image analysis software for identifying and quantifying cell phenotypes.&quot;,&quot;page&quot;:&quot;R100&quot;,&quot;volume&quot;:&quot;7&quot;,&quot;issue&quot;:&quot;10&quot;,&quot;journalAbbreviation&quot;:&quot;Genome Biol.&quot;,&quot;id&quot;:&quot;172434&quot;,&quot;type&quot;:&quot;article-journal&quot;,&quot;container-title&quot;:&quot;Genome Biology&quot;,&quot;container-title-short&quot;:&quot;Genome Biol.&quot;,&quot;abstract&quot;:&quot;Biologists can now prepare and image thousands of samples per day using automation, enabling chemical screens and functional genomics (for example, using RNA interference). Here we describe the first free, open-source system designed for flexible, high-throughput cell image analysis, CellProfiler. CellProfiler can address a variety of biological questions quantitatively, including standard assays (for example, cell count, size, per-cell protein levels) and complex morphological assays (for example, cell/organelle shape or subcellular patterns of DNA or protein staining).&quot;,&quot;author&quot;:[{&quot;family&quot;:&quot;Carpenter&quot;,&quot;given&quot;:&quot;Anne E&quot;},{&quot;family&quot;:&quot;Jones&quot;,&quot;given&quot;:&quot;Thouis R&quot;},{&quot;family&quot;:&quot;Lamprecht&quot;,&quot;given&quot;:&quot;Michael R&quot;},{&quot;family&quot;:&quot;Clarke&quot;,&quot;given&quot;:&quot;Colin&quot;},{&quot;family&quot;:&quot;Kang&quot;,&quot;given&quot;:&quot;In Han&quot;},{&quot;family&quot;:&quot;Friman&quot;,&quot;given&quot;:&quot;Ola&quot;},{&quot;family&quot;:&quot;Guertin&quot;,&quot;given&quot;:&quot;David A&quot;},{&quot;family&quot;:&quot;Chang&quot;,&quot;given&quot;:&quot;Joo Han&quot;},{&quot;family&quot;:&quot;Lindquist&quot;,&quot;given&quot;:&quot;Robert A&quot;},{&quot;family&quot;:&quot;Moffat&quot;,&quot;given&quot;:&quot;Jason&quot;},{&quot;family&quot;:&quot;Golland&quot;,&quot;given&quot;:&quot;Polina&quot;},{&quot;family&quot;:&quot;Sabatini&quot;,&quot;given&quot;:&quot;David M&quot;}],&quot;issued&quot;:{&quot;date-parts&quot;:[[&quot;2006&quot;,&quot;10&quot;,&quot;31&quot;]]},&quot;DOI&quot;:&quot;10.1186/gb-2006-7-10-r100&quot;,&quot;PMID&quot;:&quot;17076895&quot;,&quot;PMCID&quot;:&quot;PMC1794559&quot;,&quot;citation-label&quot;:&quot;172434&quot;},{&quot;title&quot;:&quot;Automated neuron tracking inside moving and deforming C. elegans using deep learning and targeted augmentation.&quot;,&quot;page&quot;:&quot;142-149&quot;,&quot;volume&quot;:&quot;21&quot;,&quot;issue&quot;:&quot;1&quot;,&quot;journalAbbreviation&quot;:&quot;Nat. Methods&quot;,&quot;id&quot;:&quot;15740190&quot;,&quot;type&quot;:&quot;article-journal&quot;,&quot;container-title&quot;:&quot;Nature Methods&quot;,&quot;container-title-short&quot;:&quot;Nat. Methods&quot;,&quot;abstract&quot;:&quot;Reading out neuronal activity from three-dimensional (3D) functional imaging requires segmenting and tracking individual neurons. This is challenging in behaving animals if the brain moves and deforms. The traditional approach is to train a convolutional neural network with ground-truth (GT) annotations of images representing different brain postures. For 3D images, this is very labor intensive. We introduce 'targeted augmentation', a method to automatically synthesize artificial annotations from a few manual annotations. Our method ('Targettrack') learns the internal deformations of the brain to synthesize annotations for new postures by deforming GT annotations. This reduces the need for manual annotation and proofreading. A graphical user interface allows the application of the method end-to-end. We demonstrate Targettrack on recordings where neurons are labeled as key points or 3D volumes. Analyzing freely moving animals exposed to odor pulses, we uncover rich patterns in interneuron dynamics, including switching neuronal entrainment on and off.© 2023. The Author(s), under exclusive licence to Springer Nature America, Inc.&quot;,&quot;author&quot;:[{&quot;family&quot;:&quot;Park&quot;,&quot;given&quot;:&quot;Core Francisco&quot;},{&quot;family&quot;:&quot;Barzegar-Keshteli&quot;,&quot;given&quot;:&quot;Mahsa&quot;},{&quot;family&quot;:&quot;Korchagina&quot;,&quot;given&quot;:&quot;Kseniia&quot;},{&quot;family&quot;:&quot;Delrocq&quot;,&quot;given&quot;:&quot;Ariane&quot;},{&quot;family&quot;:&quot;Susoy&quot;,&quot;given&quot;:&quot;Vladislav&quot;},{&quot;family&quot;:&quot;Jones&quot;,&quot;given&quot;:&quot;Corinne L&quot;},{&quot;family&quot;:&quot;Samuel&quot;,&quot;given&quot;:&quot;Aravinthan D T&quot;},{&quot;family&quot;:&quot;Rahi&quot;,&quot;given&quot;:&quot;Sahand Jamal&quot;}],&quot;issued&quot;:{&quot;date-parts&quot;:[[&quot;2024&quot;,&quot;1&quot;]]},&quot;DOI&quot;:&quot;10.1038/s41592-023-02096-3&quot;,&quot;PMID&quot;:&quot;38052988&quot;,&quot;citation-label&quot;:&quot;15740190&quot;},{&quot;title&quot;:&quot;Analyzing Fluorescence microscopy images with ImageJ&quot;,&quot;id&quot;:&quot;15412176&quot;,&quot;type&quot;:&quot;book&quot;,&quot;author&quot;:[{&quot;family&quot;:&quot;Bankhead&quot;,&quot;given&quot;:&quot;Peter&quot;}],&quot;issued&quot;:{&quot;date-parts&quot;:[[&quot;2014&quot;]]},&quot;citation-label&quot;:&quot;15412176&quot;},{&quot;title&quot;:&quot;Statistical methods for assessing agreement between two methods of clinical measurement.&quot;,&quot;page&quot;:&quot;307-310&quot;,&quot;volume&quot;:&quot;1&quot;,&quot;issue&quot;:&quot;8476&quot;,&quot;journalAbbreviation&quot;:&quot;Lancet&quot;,&quot;id&quot;:&quot;586174&quot;,&quot;type&quot;:&quot;article-journal&quot;,&quot;container-title&quot;:&quot;The Lancet&quot;,&quot;container-title-short&quot;:&quot;Lancet&quot;,&quot;abstract&quot;:&quot;In clinical measurement comparison of a new measurement technique with an established one is often needed to see whether they agree sufficiently for the new to replace the old. Such investigations are often analysed inappropriately, notably by using correlation coefficients. The use of correlation is misleading. An alternative approach, based on graphical techniques and simple calculations, is described, together with the relation between this analysis and the assessment of repeatability.&quot;,&quot;author&quot;:[{&quot;family&quot;:&quot;Bland&quot;,&quot;given&quot;:&quot;J M&quot;},{&quot;family&quot;:&quot;Altman&quot;,&quot;given&quot;:&quot;D G&quot;}],&quot;issued&quot;:{&quot;date-parts&quot;:[[&quot;1986&quot;,&quot;2&quot;,&quot;8&quot;]]},&quot;DOI&quot;:&quot;10.1016/S0140-6736(86)90837-8&quot;,&quot;PMID&quot;:&quot;2868172&quot;,&quot;citation-label&quot;:&quot;586174&quot;},{&quot;title&quot;:&quot;A living ex vivo platform for functional, personalized brain cancer diagnosis.&quot;,&quot;page&quot;:&quot;101042&quot;,&quot;volume&quot;:&quot;4&quot;,&quot;issue&quot;:&quot;6&quot;,&quot;journalAbbreviation&quot;:&quot;Cell Rep. Med.&quot;,&quot;id&quot;:&quot;14884747&quot;,&quot;type&quot;:&quot;article-journal&quot;,&quot;container-title&quot;:&quot;Cell reports. Medicine&quot;,&quot;container-title-short&quot;:&quot;Cell Rep. Med.&quot;,&quot;abstract&quot;:&quot;Functional precision medicine platforms are emerging as promising strategies to improve pre-clinical drug testing and guide clinical decisions. We have developed an organotypic brain slice culture (OBSC)-based platform and multi-parametric algorithm that enable rapid engraftment, treatment, and analysis of uncultured patient brain tumor tissue and patient-derived cell lines. The platform has supported engraftment of every patient tumor tested to this point: high- and low-grade adult and pediatric tumor tissue rapidly establishes on OBSCs among endogenous astrocytes and microglia while maintaining the tumor's original DNA profile. Our algorithm calculates dose-response relationships of both tumor kill and OBSC toxicity, generating summarized drug sensitivity scores on the basis of therapeutic window and allowing us to normalize response profiles across a panel of U.S. Food and Drug Administration (FDA)-approved and exploratory agents. Summarized patient tumor scores after OBSC treatment show positive associations to clinical outcomes, suggesting that the OBSC platform can provide rapid, accurate, functional testing to ultimately guide patient care.Copyright © 2023 The Author(s). Published by Elsevier Inc. All rights reserved.&quot;,&quot;author&quot;:[{&quot;family&quot;:&quot;Mann&quot;,&quot;given&quot;:&quot;Breanna&quot;},{&quot;family&quot;:&quot;Zhang&quot;,&quot;given&quot;:&quot;Xiaopei&quot;},{&quot;family&quot;:&quot;Bell&quot;,&quot;given&quot;:&quot;Noah&quot;},{&quot;family&quot;:&quot;Adefolaju&quot;,&quot;given&quot;:&quot;Adebimpe&quot;},{&quot;family&quot;:&quot;Thang&quot;,&quot;given&quot;:&quot;Morrent&quot;},{&quot;family&quot;:&quot;Dasari&quot;,&quot;given&quot;:&quot;Rajaneekar&quot;},{&quot;family&quot;:&quot;Kanchi&quot;,&quot;given&quot;:&quot;Krishna&quot;},{&quot;family&quot;:&quot;Valdivia&quot;,&quot;given&quot;:&quot;Alain&quot;},{&quot;family&quot;:&quot;Yang&quot;,&quot;given&quot;:&quot;Yang&quot;},{&quot;family&quot;:&quot;Buckley&quot;,&quot;given&quot;:&quot;Andrew&quot;},{&quot;family&quot;:&quot;Lettry&quot;,&quot;given&quot;:&quot;Vivien&quot;},{&quot;family&quot;:&quot;Quinsey&quot;,&quot;given&quot;:&quot;Carolyn&quot;},{&quot;family&quot;:&quot;Rauf&quot;,&quot;given&quot;:&quot;Yasmeen&quot;},{&quot;family&quot;:&quot;Kram&quot;,&quot;given&quot;:&quot;David&quot;},{&quot;family&quot;:&quot;Cassidy&quot;,&quot;given&quot;:&quot;Noah&quot;},{&quot;family&quot;:&quot;Vaziri&quot;,&quot;given&quot;:&quot;Cyrus&quot;},{&quot;family&quot;:&quot;Corcoran&quot;,&quot;given&quot;:&quot;David L&quot;},{&quot;family&quot;:&quot;Rego&quot;,&quot;given&quot;:&quot;Stephen&quot;},{&quot;family&quot;:&quot;Jiang&quot;,&quot;given&quot;:&quot;Yuchao&quot;},{&quot;family&quot;:&quot;Graves&quot;,&quot;given&quot;:&quot;Lee M&quot;},{&quot;family&quot;:&quot;Dunn&quot;,&quot;given&quot;:&quot;Denise&quot;},{&quot;family&quot;:&quot;Floyd&quot;,&quot;given&quot;:&quot;Scott&quot;},{&quot;family&quot;:&quot;Baldwin&quot;,&quot;given&quot;:&quot;Albert&quot;},{&quot;family&quot;:&quot;Hingtgen&quot;,&quot;given&quot;:&quot;Shawn&quot;},{&quot;family&quot;:&quot;Satterlee&quot;,&quot;given&quot;:&quot;Andrew B&quot;}],&quot;issued&quot;:{&quot;date-parts&quot;:[[&quot;2023&quot;,&quot;6&quot;,&quot;20&quot;]]},&quot;DOI&quot;:&quot;10.1016/j.xcrm.2023.101042&quot;,&quot;PMID&quot;:&quot;37192626&quot;,&quot;PMCID&quot;:&quot;PMC10313921&quot;,&quot;citation-label&quot;:&quot;14884747&quot;},{&quot;title&quot;:&quot;Neurite-J: an image-J plug-in for axonal growth analysis in organotypic cultures.&quot;,&quot;page&quot;:&quot;26-39&quot;,&quot;volume&quot;:&quot;236&quot;,&quot;journalAbbreviation&quot;:&quot;J. Neurosci. Methods&quot;,&quot;id&quot;:&quot;4716761&quot;,&quot;type&quot;:&quot;article-journal&quot;,&quot;container-title&quot;:&quot;Journal of Neuroscience Methods&quot;,&quot;container-title-short&quot;:&quot;J. Neurosci. Methods&quot;,&quot;abstract&quot;:&quot;BACKGROUND: Previous studies in our lab proposed a method of dorsal root ganglia (DRG) and spinal cord slice (SC) organotypic 3D cultures to study motor and sensory axonal regeneration. Although these models are useful to test how different factors affect axonal growth, manual sample analysis can be inaccurate and time-consuming. Thus, we designed and set-up a plug-in to quantify axonal growth in 3D organotypic cultures.NEW METHOD: DRG and SC were cultured in a 3D collagen matrix. Explants were maintained in culture medium (control condition) or in culture medium supplemented with neurotrophins. Neurites were immunolabeled against RT-97 and pictures were obtained using an epifluorescence microscope. To quantify axonal growth we adapted the Sholl method of concentric rings to our cultures and the algorithm was implemented as an ImageJ plug-in.COMPARISON WITH EXISTING METHOD(S): Our method and plug-in was compared with standard Sholl method demonstrating better accuracy. In comparison with Neurite-J, manual measures of axonal growth in organotypic cultures require more time and provide fewer data than our proposed method.RESULTS: Neurite-J gives a reliable quantitative analysis of neurite growth, providing counts of neurite number and neurite area at different distances from the explant. Moreover, this plug-in follows lineal and semi-logarithmic analysis of the Sholl method, yielding a numerical value of neurite outgrowth useful for comparing different experimental conditions.CONCLUSION: Neurite-J provides a quantification method of neurite arbors in 3D organotypic cultures that gives the researcher an easy, fast and reliable tool to study axonal growth.Copyright © 2014 Elsevier B.V. All rights reserved.&quot;,&quot;author&quot;:[{&quot;family&quot;:&quot;Torres-Espín&quot;,&quot;given&quot;:&quot;A&quot;},{&quot;family&quot;:&quot;Santos&quot;,&quot;given&quot;:&quot;D&quot;},{&quot;family&quot;:&quot;González-Pérez&quot;,&quot;given&quot;:&quot;F&quot;},{&quot;family&quot;:&quot;del Valle&quot;,&quot;given&quot;:&quot;J&quot;},{&quot;family&quot;:&quot;Navarro&quot;,&quot;given&quot;:&quot;X&quot;}],&quot;issued&quot;:{&quot;date-parts&quot;:[[&quot;2014&quot;,&quot;10&quot;,&quot;30&quot;]]},&quot;DOI&quot;:&quot;10.1016/j.jneumeth.2014.08.005&quot;,&quot;PMID&quot;:&quot;25124852&quot;,&quot;citation-label&quot;:&quot;4716761&quot;},{&quot;title&quot;:&quot;NeuriteTracer: a novel ImageJ plugin for automated quantification of neurite outgrowth.&quot;,&quot;page&quot;:&quot;134-139&quot;,&quot;volume&quot;:&quot;168&quot;,&quot;issue&quot;:&quot;1&quot;,&quot;journalAbbreviation&quot;:&quot;J. Neurosci. Methods&quot;,&quot;id&quot;:&quot;2389403&quot;,&quot;type&quot;:&quot;article-journal&quot;,&quot;container-title&quot;:&quot;Journal of Neuroscience Methods&quot;,&quot;container-title-short&quot;:&quot;J. Neurosci. Methods&quot;,&quot;abstract&quot;:&quot;In vitro assays to measure neuronal growth are a fundamental tool used by many neurobiologists studying neuronal development and regeneration. The quantification of these assays requires accurate measurements of neurite length and neuronal cell numbers in neuronal cultures. Generally, these measurements are obtained through labor-intensive manual or semi-manual tracing of images. To automate these measurements, we have written NeuriteTracer, a neurite tracing plugin for the freely available image-processing program ImageJ. The plugin analyzes fluorescence microscopy images of neurites and nuclei of dissociated cultured neurons. Given user-defined thresholds, the plugin counts neuronal nuclei, and traces and measures neurite length. We find that NeuriteTracer accurately measures neurite outgrowth from cerebellar, DRG and hippocampal neurons. Values obtained by NeuriteTracer correlate strongly with those obtained by semi-manual tracing with NeuronJ and by using a sophisticated analysis package, MetaXpress. We reveal the utility of NeuriteTracer by demonstrating its ability to detect the neurite outgrowth promoting capacity of the rho kinase inhibitor Y-27632. Our plugin is an attractive alternative to existing tracing tools because it is fully automated and ready for use within a freely accessible imaging program.&quot;,&quot;author&quot;:[{&quot;family&quot;:&quot;Pool&quot;,&quot;given&quot;:&quot;Madeline&quot;},{&quot;family&quot;:&quot;Thiemann&quot;,&quot;given&quot;:&quot;Joachim&quot;},{&quot;family&quot;:&quot;Bar-Or&quot;,&quot;given&quot;:&quot;Amit&quot;},{&quot;family&quot;:&quot;Fournier&quot;,&quot;given&quot;:&quot;Alyson E&quot;}],&quot;issued&quot;:{&quot;date-parts&quot;:[[&quot;2008&quot;,&quot;2&quot;,&quot;15&quot;]]},&quot;DOI&quot;:&quot;10.1016/j.jneumeth.2007.08.029&quot;,&quot;PMID&quot;:&quot;17936365&quot;,&quot;citation-label&quot;:&quot;2389403&quot;},{&quot;title&quot;:&quot;MyoSight-semi-automated image analysis of skeletal muscle cross sections.&quot;,&quot;page&quot;:&quot;33&quot;,&quot;volume&quot;:&quot;10&quot;,&quot;issue&quot;:&quot;1&quot;,&quot;journalAbbreviation&quot;:&quot;Skelet. Muscle&quot;,&quot;id&quot;:&quot;10026569&quot;,&quot;type&quot;:&quot;article-journal&quot;,&quot;container-title&quot;:&quot;Skeletal muscle [electronic resource]&quot;,&quot;container-title-short&quot;:&quot;Skelet. Muscle&quot;,&quot;abstract&quot;:&quot;BACKGROUND: Manual analysis of cross-sectional area, fiber-type distribution, and total and centralized nuclei in skeletal muscle cross sections is tedious and time consuming, necessitating an accurate, automated method of analysis. While several excellent programs are available, our analyses of skeletal muscle disease models suggest the need for additional features and flexibility to adequately describe disease pathology. We introduce a new semi-automated analysis program, MyoSight, which is designed to facilitate image analysis of skeletal muscle cross sections and provide additional flexibility in the analyses.RESULTS: We describe staining and imaging methods that generate high-quality images of immunofluorescent-labelled cross sections from mouse skeletal muscle. Using these methods, we can analyze up to 5 different fluorophores in a single image, allowing simultaneous analyses of perinuclei, central nuclei, fiber size, and fiber-type distribution. MyoSight displays high reproducibility among users, and the data generated are in close agreement with data obtained from manual analyses of cross-sectional area (CSA), fiber number, fiber-type distribution, and number and localization of myonuclei. Furthermore, MyoSight clearly delineates changes in these parameters in muscle sections from a mouse model of Duchenne muscular dystrophy (mdx).CONCLUSIONS: MyoSight is a new program based on an algorithm that can be optimized by the user to obtain highly accurate fiber size, fiber-type identification, and perinuclei and central nuclei per fiber measurements. MyoSight combines features available separately in other programs, is user friendly, and provides visual outputs that allow the user to confirm the accuracy of the analyses and correct any inaccuracies. We present MyoSight as a new program to facilitate the analyses of fiber type and CSA changes arising from injury, disease, exercise, and therapeutic interventions.&quot;,&quot;author&quot;:[{&quot;family&quot;:&quot;Babcock&quot;,&quot;given&quot;:&quot;Lyle W&quot;},{&quot;family&quot;:&quot;Hanna&quot;,&quot;given&quot;:&quot;Amy D&quot;},{&quot;family&quot;:&quot;Agha&quot;,&quot;given&quot;:&quot;Nadia H&quot;},{&quot;family&quot;:&quot;Hamilton&quot;,&quot;given&quot;:&quot;Susan L&quot;}],&quot;issued&quot;:{&quot;date-parts&quot;:[[&quot;2020&quot;,&quot;11&quot;,&quot;16&quot;]]},&quot;DOI&quot;:&quot;10.1186/s13395-020-00250-5&quot;,&quot;PMID&quot;:&quot;33198807&quot;,&quot;PMCID&quot;:&quot;PMC7667765&quot;,&quot;citation-label&quot;:&quot;10026569&quot;},{&quot;title&quot;:&quot;A method for objectively quantifying propidium iodide exclusion in organotypic hippocampal slice cultures.&quot;,&quot;page&quot;:&quot;1-5&quot;,&quot;volume&quot;:&quot;269&quot;,&quot;journalAbbreviation&quot;:&quot;J. Neurosci. Methods&quot;,&quot;id&quot;:&quot;4906669&quot;,&quot;type&quot;:&quot;article-journal&quot;,&quot;container-title&quot;:&quot;Journal of Neuroscience Methods&quot;,&quot;container-title-short&quot;:&quot;J. Neurosci. Methods&quot;,&quot;abstract&quot;:&quot;BACKGROUND: Organotypic hippocampal slice cultures (OHSCs) are an attractive in vitro model to examine mechanisms of neuronal injury, because the normal hippocampal architecture, function and cellular diversity are mostly preserved. The effects of exposure to excitotoxins such as N-methyl-d-aspartate (NMDA) on cell viability can be determined by propidium iodide (PI) staining.NEW METHOD: We describe a simple method to objectively quantify cell death in NMDA exposed slice cultures using PI that provides a standardized means of quantifying cell death in hippocampal subfields without the need to induce maximal cell death in each slice. The method employs separation of subfields using simple landmarks and densitometric quantification of PI intensity in 10 template-oriented counting fields.RESULTS: We show that exposure to increasing concentrations of NMDA results in a dose-dependent increase in PI uptake. Additionally, our method facilitates the comparison of cell death in different hippocampal subfields, such as dentate gyrus, CA1 and CA3. Our results show marked differences of PI uptake in the hippocampal regions with the CA1 area being most sensitive to NMDA-induced injury.COMPARISON WITH EXISTING METHOD(S): The method provides a standardized format for quantifying PI exclusion in OHSCs that can be applied to cultures of differing shapes and sizes, permits comparisons between hippocampal subfields and does not require induction of maximal cell death.CONCLUSION: The method of quantifying PI uptake described herein allows for an objective, quantitative and reproducible analysis and comparison of cell death in distinct regions of OHSCs.Copyright © 2016 Elsevier B.V. All rights reserved.&quot;,&quot;author&quot;:[{&quot;family&quot;:&quot;Happ&quot;,&quot;given&quot;:&quot;Denise F&quot;},{&quot;family&quot;:&quot;Tasker&quot;,&quot;given&quot;:&quot;R Andrew&quot;}],&quot;issued&quot;:{&quot;date-parts&quot;:[[&quot;2016&quot;,&quot;8&quot;,&quot;30&quot;]]},&quot;DOI&quot;:&quot;10.1016/j.jneumeth.2016.05.006&quot;,&quot;PMID&quot;:&quot;27179931&quot;,&quot;citation-label&quot;:&quot;490666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17A7DA6DD20468774DF9918E64FC7" ma:contentTypeVersion="22" ma:contentTypeDescription="Create a new document." ma:contentTypeScope="" ma:versionID="c06c6875e9d1732c072b419496a16ca5">
  <xsd:schema xmlns:xsd="http://www.w3.org/2001/XMLSchema" xmlns:xs="http://www.w3.org/2001/XMLSchema" xmlns:p="http://schemas.microsoft.com/office/2006/metadata/properties" xmlns:ns2="2b0bba31-5765-4663-b31c-7c07b216dc90" xmlns:ns3="2d186d4c-578c-40f9-a5cc-194235f75110" targetNamespace="http://schemas.microsoft.com/office/2006/metadata/properties" ma:root="true" ma:fieldsID="99b4ac5276d816f14a2f3005befa281f" ns2:_="" ns3:_="">
    <xsd:import namespace="2b0bba31-5765-4663-b31c-7c07b216dc90"/>
    <xsd:import namespace="2d186d4c-578c-40f9-a5cc-194235f751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bba31-5765-4663-b31c-7c07b216d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86d4c-578c-40f9-a5cc-194235f751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90a1aba-a34f-4e6f-abfc-64dba460465d}" ma:internalName="TaxCatchAll" ma:showField="CatchAllData" ma:web="2d186d4c-578c-40f9-a5cc-194235f75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bba31-5765-4663-b31c-7c07b216dc90">
      <Terms xmlns="http://schemas.microsoft.com/office/infopath/2007/PartnerControls"/>
    </lcf76f155ced4ddcb4097134ff3c332f>
    <TaxCatchAll xmlns="2d186d4c-578c-40f9-a5cc-194235f751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69F36-1E3A-40C7-A43A-8DCC43DA0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bba31-5765-4663-b31c-7c07b216dc90"/>
    <ds:schemaRef ds:uri="2d186d4c-578c-40f9-a5cc-194235f75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F14E-D3DA-4071-AECD-0AF69FE5418A}">
  <ds:schemaRefs>
    <ds:schemaRef ds:uri="http://schemas.microsoft.com/office/2006/metadata/properties"/>
    <ds:schemaRef ds:uri="http://schemas.microsoft.com/office/infopath/2007/PartnerControls"/>
    <ds:schemaRef ds:uri="2b0bba31-5765-4663-b31c-7c07b216dc90"/>
    <ds:schemaRef ds:uri="2d186d4c-578c-40f9-a5cc-194235f75110"/>
  </ds:schemaRefs>
</ds:datastoreItem>
</file>

<file path=customXml/itemProps3.xml><?xml version="1.0" encoding="utf-8"?>
<ds:datastoreItem xmlns:ds="http://schemas.openxmlformats.org/officeDocument/2006/customXml" ds:itemID="{958723E3-C5BE-4EEA-BDA8-33772EE2EB2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Bell, Noah Fallang</dc:creator>
  <keywords/>
  <dc:description/>
  <lastModifiedBy>Bell, Noah Fallang</lastModifiedBy>
  <revision>6</revision>
  <dcterms:created xsi:type="dcterms:W3CDTF">2025-02-11T20:54:00.0000000Z</dcterms:created>
  <dcterms:modified xsi:type="dcterms:W3CDTF">2025-02-25T14:23:58.7924122Z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0x010100ED817A7DA6DD20468774DF9918E64FC7</vt:lpwstr>
  </property>
  <property fmtid="{D5CDD505-2E9C-101B-9397-08002B2CF9AE}" pid="3" name="MediaServiceImageTags">
    <vt:lpwstr/>
  </property>
</Properties>
</file>