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D7B8E77" w14:textId="77777777" w:rsidR="00B866C5" w:rsidRDefault="00B866C5" w:rsidP="00B866C5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 w:rsidRPr="00F74B4C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Supplemental Figure 1. Detailed timelines for each of the three Microtumor and OBSC assays</w:t>
      </w:r>
      <w:r w:rsidRPr="00F74B4C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 xml:space="preserve"> (</w:t>
      </w:r>
      <w:r w:rsidRPr="00F74B4C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A</w:t>
      </w:r>
      <w:r w:rsidRPr="00F74B4C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 xml:space="preserve">) The assay for measuring the survival of established tumor lines involves measuring an </w:t>
      </w:r>
      <w:proofErr w:type="spellStart"/>
      <w:r w:rsidRPr="00F74B4C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Mcherry</w:t>
      </w:r>
      <w:proofErr w:type="spellEnd"/>
      <w:r w:rsidRPr="00F74B4C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 xml:space="preserve"> signal on Day 1.  (</w:t>
      </w:r>
      <w:r w:rsidRPr="00F74B4C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B</w:t>
      </w:r>
      <w:r w:rsidRPr="00F74B4C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Patient Tumor are transfected just before being seeded, so the signal cannot be measured on Day 1.  Each microtumor is seeded with an equal volume of tumor tissue. (</w:t>
      </w:r>
      <w:r w:rsidRPr="00F74B4C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C</w:t>
      </w:r>
      <w:r w:rsidRPr="00F74B4C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The OBSC toxicity assay relies on a Propidium Iodide (P.I.) signal of cell death, and thus the creation of a positive control group is necessary. </w:t>
      </w:r>
    </w:p>
    <w:p w14:paraId="3FA2932C" w14:textId="253881E6" w:rsidR="007E3B76" w:rsidRDefault="00AF048B">
      <w:r>
        <w:rPr>
          <w:noProof/>
        </w:rPr>
        <w:drawing>
          <wp:inline distT="0" distB="0" distL="0" distR="0" wp14:anchorId="03DC1FA3" wp14:editId="51D20B78">
            <wp:extent cx="5943600" cy="5342164"/>
            <wp:effectExtent l="0" t="0" r="0" b="5080"/>
            <wp:docPr id="1268229063" name="Picture 1" descr="A screenshot of a medical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29063" name="Picture 1" descr="A screenshot of a medical chart&#10;&#10;AI-generated content may be incorrect.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8E154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3CBC32AB" w14:textId="73B4D268" w:rsidR="00175451" w:rsidRPr="005678E2" w:rsidRDefault="00175451" w:rsidP="00175451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2. </w:t>
      </w:r>
      <w:proofErr w:type="spellStart"/>
      <w:r w:rsidRPr="009F40D0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ShinyApp</w:t>
      </w:r>
      <w:proofErr w:type="spellEnd"/>
      <w:r w:rsidRPr="009F40D0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 used to expedite the recording of experimental </w:t>
      </w:r>
      <w:proofErr w:type="gramStart"/>
      <w:r w:rsidRPr="009F40D0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metadata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  (</w:t>
      </w:r>
      <w:proofErr w:type="gramEnd"/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left-hand side of the screen features a scrollable form which allows users to specify treatment, tumor, doses, etc. for a given experiment.  Many fields allow users to select from drop-down lists to increase efficiency and consistency.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Metadata Render panel allows users to preview the csv output and download it. 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Metadata Explainer provides instructions on how to input metadata correctly.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0748C204" w14:textId="395B63E9" w:rsidR="00175451" w:rsidRDefault="00175451">
      <w:r>
        <w:rPr>
          <w:noProof/>
        </w:rPr>
        <w:drawing>
          <wp:inline distT="0" distB="0" distL="0" distR="0" wp14:anchorId="0214B3EB" wp14:editId="7276C78B">
            <wp:extent cx="5943600" cy="5049430"/>
            <wp:effectExtent l="0" t="0" r="0" b="5715"/>
            <wp:docPr id="429783763" name="Picture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83763" name="Picture 2" descr="A screenshot of a computer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4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3C7B5" w14:textId="77777777" w:rsidR="00186082" w:rsidRDefault="00186082">
      <w:pPr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</w:pPr>
      <w:r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br w:type="page"/>
      </w:r>
    </w:p>
    <w:p w14:paraId="6A9D9827" w14:textId="38E955F7" w:rsidR="00F81C35" w:rsidRDefault="00F81C35" w:rsidP="00F81C35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lastRenderedPageBreak/>
        <w:t xml:space="preserve">Supplemental Figure 3.  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Investigating automation’s impact in cases where microtumor survival measurements differed. (</w:t>
      </w: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A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A Bland-Altman graph comparing Manual and Automated Image Analysis, highlighting the four microtumor experiments that accounted for all differences greater than 50% (</w:t>
      </w: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B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A Dose-Response plot for PT21450 vs. Temozolomide 04/25/2022.  Automated results either maintained or increased consistency within dose groups.  A general shift downward across the non-control groups indicates that an improved measurement of negative control micro-tumors improved all other results. (</w:t>
      </w: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C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The Dose-Response plot for MS21 vs. Trametinib 02/17/2022 also shows improved consistency at every dose group.  Some microtumors that had been manually measured as very high were found to be comparable to other replicates after Automation. (</w:t>
      </w: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D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The Dose-Response Plot for MS21 vs. Gemcitabine 03/31/2022.  Although automation reduces consistency at 1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:lang w:val="el-GR"/>
          <w14:ligatures w14:val="none"/>
        </w:rPr>
        <w:t xml:space="preserve"> μ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M, this measurement is because that micro-tumor had an extremely dim Day 1 signal, resulting in a high normalized measurement.  Thus, automation produced an accurate measurement of this microtumor’s growth rate, and the result would be filtered out in subsequent outlier removal. (</w:t>
      </w: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E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The Bland-Altman for OBSC toxicity experiments, with the other experiment that featured disagreements, OBSC vs. Temozolomide 04/04/2022, highlighted in pink. (</w:t>
      </w:r>
      <w:r w:rsidRPr="00D448F2">
        <w:rPr>
          <w:rFonts w:ascii="Arial" w:eastAsia="Times New Roman" w:hAnsi="Arial" w:cs="Arial"/>
          <w:b/>
          <w:bCs/>
          <w:color w:val="000000"/>
          <w:kern w:val="0"/>
          <w:sz w:val="22"/>
          <w:szCs w:val="22"/>
          <w14:ligatures w14:val="none"/>
        </w:rPr>
        <w:t>F</w:t>
      </w:r>
      <w:r w:rsidRPr="00D448F2"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  <w:t>) This experiment also displays a pattern of survival measurements being increased across all doses, indicating that an improvement in control measurements improved overall experimental results. </w:t>
      </w:r>
    </w:p>
    <w:p w14:paraId="531869BF" w14:textId="7F566508" w:rsidR="00F81C35" w:rsidRDefault="00F81C35">
      <w:r>
        <w:rPr>
          <w:noProof/>
        </w:rPr>
        <w:lastRenderedPageBreak/>
        <w:drawing>
          <wp:inline distT="0" distB="0" distL="0" distR="0" wp14:anchorId="306EE023" wp14:editId="184A38EE">
            <wp:extent cx="5943600" cy="5766707"/>
            <wp:effectExtent l="0" t="0" r="0" b="0"/>
            <wp:docPr id="14428159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815931" name="Picture 144281593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36E2B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6DAE68C0" w14:textId="426168EF" w:rsidR="00C05D66" w:rsidRDefault="00C05D66" w:rsidP="00C05D66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4. </w:t>
      </w:r>
      <w:r w:rsidRPr="002C62D6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Comparisons of manual and automated survival measurements across all experiment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s</w:t>
      </w:r>
      <w:r w:rsidRPr="002C62D6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088644EA" w14:textId="20564601" w:rsidR="00186082" w:rsidRPr="00186082" w:rsidRDefault="00C05D66">
      <w:pPr>
        <w:rPr>
          <w:rStyle w:val="normaltextrun"/>
        </w:rPr>
      </w:pPr>
      <w:r>
        <w:rPr>
          <w:noProof/>
        </w:rPr>
        <w:drawing>
          <wp:inline distT="0" distB="0" distL="0" distR="0" wp14:anchorId="20A43311" wp14:editId="4B83BF2F">
            <wp:extent cx="5943600" cy="7694839"/>
            <wp:effectExtent l="0" t="0" r="0" b="1905"/>
            <wp:docPr id="12997817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781769" name="Picture 129978176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6082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447A3252" w14:textId="54A63D30" w:rsidR="00926794" w:rsidRDefault="00926794" w:rsidP="00926794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5.  Decreasing Model Examples.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 xml:space="preserve">An example of each 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decreasing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 xml:space="preserve"> model type in our pipeline being selected as the best fit model for a given experiment.  The selected model is shown in pink, with the other models included for comparison.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exponential decay model fitted to U373KO vs Lomustine 02072022.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Log-Logistic model fitted to MS21 vs Cisplatin 02172022.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first parameterization of the Weibull model fitted to MS21 vs Cisplatin 02212022.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second parameterization of the Weibull model fitted to PT210468 vs TR107 09082021.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41373558" w14:textId="1446A78D" w:rsidR="00C05D66" w:rsidRDefault="00926794">
      <w:r>
        <w:rPr>
          <w:noProof/>
        </w:rPr>
        <w:drawing>
          <wp:inline distT="0" distB="0" distL="0" distR="0" wp14:anchorId="759680BF" wp14:editId="2035D046">
            <wp:extent cx="5943600" cy="3745523"/>
            <wp:effectExtent l="0" t="0" r="0" b="1270"/>
            <wp:docPr id="1383654165" name="Picture 5" descr="A group of graphs showing different types of dat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654165" name="Picture 5" descr="A group of graphs showing different types of data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E83F7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13169574" w14:textId="28C85195" w:rsidR="00A861F6" w:rsidRDefault="00A861F6" w:rsidP="00A861F6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6.  </w:t>
      </w:r>
      <w:r w:rsidRPr="00DE6E16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Growth Model Experiments.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 xml:space="preserve"> An example of each 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growth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model type in our pipeline being selected as the best fit model for a given experiment.  The selected model is shown in pink, with the other models included for comparison.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standard Brain-Cousens model fitted to U373KO vs TR107 02242022.  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Reparametrized Brain-Cousens model fitted to PT210508 vs Vincristine 09302022. Note that the standard parameterization was not fit successfully to this data. 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Cedergreen-Ritz-Streibig 4a model fitted to MS21 vs Lomustine 03312022. 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Cedergreen-Ritz-Streibig 4a model fitted to LN229 vs Lomustine 02142022, a Plateau experiment.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E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Cedergreen-Ritz-Streibig 4c model fitted to PT210450 vs Temozolomide 04252022.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F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Cedergreen-Ritz-Streibig 5b model fitted to MS21 vs Etoposide 03312022.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59B1BFC4" w14:textId="37D03122" w:rsidR="00A861F6" w:rsidRDefault="00A861F6">
      <w:r>
        <w:rPr>
          <w:noProof/>
        </w:rPr>
        <w:drawing>
          <wp:inline distT="0" distB="0" distL="0" distR="0" wp14:anchorId="48F9C436" wp14:editId="5DB5BD8E">
            <wp:extent cx="5943600" cy="5536746"/>
            <wp:effectExtent l="0" t="0" r="0" b="635"/>
            <wp:docPr id="7364371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437176" name="Picture 73643717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3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C552A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70E7C03E" w14:textId="04497579" w:rsidR="00D907CE" w:rsidRDefault="00D907CE" w:rsidP="00D907CE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7.  </w:t>
      </w:r>
      <w:r w:rsidRPr="00DE6E16"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Additional details about model fitting.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An illustration of how linear interpolation (black) is used to generate an initial guess for the Exponential Decay model (blue, dashed) leading to successful model fitting (pink)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The distribution of models selected across the experiments analyzed in this paper.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1D701BD0" w14:textId="2E606420" w:rsidR="00D907CE" w:rsidRDefault="00D907CE">
      <w:r>
        <w:rPr>
          <w:noProof/>
        </w:rPr>
        <w:drawing>
          <wp:inline distT="0" distB="0" distL="0" distR="0" wp14:anchorId="42EDF172" wp14:editId="40B0E7B4">
            <wp:extent cx="5943600" cy="2034268"/>
            <wp:effectExtent l="0" t="0" r="0" b="0"/>
            <wp:docPr id="1118733331" name="Picture 7" descr="A graph and diagram of a mod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733331" name="Picture 7" descr="A graph and diagram of a mode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854E2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06DFD340" w14:textId="6CCBD431" w:rsidR="00547C50" w:rsidRDefault="00547C50" w:rsidP="00547C50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8.  DSS Comparison – DIPG vs. Etoposide.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Comparing Manual and Automated results for DIPG vs Etoposide, where automation increased the DSS by 41 points.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 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image analysis and dose-response data.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image analysis data and dose-response model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DSS parameters and score, with pink and light.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DSS parameters and score.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15C37803" w14:textId="62369F09" w:rsidR="00547C50" w:rsidRDefault="00547C50">
      <w:r>
        <w:rPr>
          <w:noProof/>
        </w:rPr>
        <w:drawing>
          <wp:inline distT="0" distB="0" distL="0" distR="0" wp14:anchorId="647FFD26" wp14:editId="38982ADB">
            <wp:extent cx="5943600" cy="4003553"/>
            <wp:effectExtent l="0" t="0" r="0" b="0"/>
            <wp:docPr id="1412509839" name="Picture 8" descr="A graph of a line of a bi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509839" name="Picture 8" descr="A graph of a line of a bir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F3B0B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502107DF" w14:textId="08FD5053" w:rsidR="000449A2" w:rsidRDefault="000449A2" w:rsidP="000449A2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9. DSS Comparison – LN229 vs. Etoposide.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Comparing Manual and Automated results for LN229 vs Etoposide, where automation increased the DSS by 13 points.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 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image analysis and dose-response data.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image analysis data and dose-response model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DSS parameters and score.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DSS parameters and score.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46875051" w14:textId="505568A3" w:rsidR="000449A2" w:rsidRDefault="000449A2">
      <w:r>
        <w:rPr>
          <w:noProof/>
        </w:rPr>
        <w:drawing>
          <wp:inline distT="0" distB="0" distL="0" distR="0" wp14:anchorId="779C0768" wp14:editId="14310BA3">
            <wp:extent cx="5943600" cy="4003553"/>
            <wp:effectExtent l="0" t="0" r="0" b="0"/>
            <wp:docPr id="209117824" name="Picture 9" descr="A graph of a patient's reac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17824" name="Picture 9" descr="A graph of a patient's reaction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BE68A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74589001" w14:textId="72890C5B" w:rsidR="00A926FF" w:rsidRDefault="00A926FF" w:rsidP="00A926FF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10.  DSS Comparison – MS21 vs. Cisplatin.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Comparing Manual and Automated results for MS21 vs Cisplatin, where automation increased the DSS by 2 points.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 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image analysis and dose-response data.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image analysis data and dose-response model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DSS parameters and score.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DSS parameters and score.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24A98483" w14:textId="5A6D2490" w:rsidR="000449A2" w:rsidRDefault="00A926FF">
      <w:r>
        <w:rPr>
          <w:noProof/>
        </w:rPr>
        <w:drawing>
          <wp:inline distT="0" distB="0" distL="0" distR="0" wp14:anchorId="282087C6" wp14:editId="334FB720">
            <wp:extent cx="5943600" cy="4003553"/>
            <wp:effectExtent l="0" t="0" r="0" b="0"/>
            <wp:docPr id="115545534" name="Picture 10" descr="A graph of a line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45534" name="Picture 10" descr="A graph of a line graph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FCF6E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315F3FD4" w14:textId="73B7E9C3" w:rsidR="00BB2401" w:rsidRDefault="00BB2401" w:rsidP="00BB2401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11. DSS Comparison – PT210468 vs. TR107.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Comparing Manual and Automated results for PT210468 vs TR107, where automation decreased the DSS by -5 points.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 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image analysis and dose-response data.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image analysis data and dose-response model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DSS parameters and score.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DSS parameters and score.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79F2FB66" w14:textId="02E1133E" w:rsidR="00A926FF" w:rsidRDefault="00BB2401">
      <w:r>
        <w:rPr>
          <w:noProof/>
        </w:rPr>
        <w:drawing>
          <wp:inline distT="0" distB="0" distL="0" distR="0" wp14:anchorId="0FABEA66" wp14:editId="627EBE19">
            <wp:extent cx="5943600" cy="4003553"/>
            <wp:effectExtent l="0" t="0" r="0" b="0"/>
            <wp:docPr id="1803424604" name="Picture 11" descr="A graph of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424604" name="Picture 11" descr="A graph of a line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A59E9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602CE2FC" w14:textId="351596E3" w:rsidR="006015A2" w:rsidRDefault="006015A2" w:rsidP="006015A2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12.  DSS Comparison – PT220029 vs. Radiation.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Comparing Manual and Automated results for PT220029 vs Radiation, where automation decreased the DSS by -17 points.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 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image analysis and dose-response data.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image analysis data and dose-response model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DSS parameters and score.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DSS parameters and score.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4B5392A0" w14:textId="32F0EBFE" w:rsidR="006015A2" w:rsidRDefault="006015A2">
      <w:r>
        <w:rPr>
          <w:noProof/>
        </w:rPr>
        <w:drawing>
          <wp:inline distT="0" distB="0" distL="0" distR="0" wp14:anchorId="5F9A4CEF" wp14:editId="0CD50072">
            <wp:extent cx="5943600" cy="4003553"/>
            <wp:effectExtent l="0" t="0" r="0" b="0"/>
            <wp:docPr id="300289865" name="Picture 12" descr="A graph of a patient's pul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289865" name="Picture 12" descr="A graph of a patient's pulse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15F9D" w14:textId="77777777" w:rsidR="00186082" w:rsidRDefault="00186082">
      <w:pP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br w:type="page"/>
      </w:r>
    </w:p>
    <w:p w14:paraId="21B4ABDF" w14:textId="7767F225" w:rsidR="009F3012" w:rsidRDefault="009F3012" w:rsidP="009F3012">
      <w:pPr>
        <w:shd w:val="clear" w:color="auto" w:fill="FFFFFF"/>
        <w:spacing w:before="240" w:after="72"/>
        <w:jc w:val="both"/>
        <w:outlineLvl w:val="2"/>
        <w:rPr>
          <w:rFonts w:ascii="Arial" w:eastAsia="Times New Roman" w:hAnsi="Arial" w:cs="Arial"/>
          <w:color w:val="000000"/>
          <w:kern w:val="0"/>
          <w:sz w:val="22"/>
          <w:szCs w:val="22"/>
          <w14:ligatures w14:val="none"/>
        </w:rPr>
      </w:pP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lastRenderedPageBreak/>
        <w:t xml:space="preserve">Supplemental Figure 13.  DSS Comparison – PT210508 vs. Trametinib.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Comparing Manual and Automated results for PT210508 vs Trametinib, where automation decreased the DSS by -29 points.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 xml:space="preserve">  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A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image analysis and dose-response data.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B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image analysis data and dose-response model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C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Manual DSS parameters and score. (</w:t>
      </w:r>
      <w:r>
        <w:rPr>
          <w:rStyle w:val="normaltextrun"/>
          <w:rFonts w:ascii="Arial Nova" w:hAnsi="Arial Nova"/>
          <w:b/>
          <w:bCs/>
          <w:color w:val="000000"/>
          <w:sz w:val="22"/>
          <w:szCs w:val="22"/>
          <w:shd w:val="clear" w:color="auto" w:fill="FFFFFF"/>
        </w:rPr>
        <w:t>D</w:t>
      </w:r>
      <w:r>
        <w:rPr>
          <w:rStyle w:val="normaltextrun"/>
          <w:rFonts w:ascii="Arial Nova" w:hAnsi="Arial Nova"/>
          <w:color w:val="000000"/>
          <w:sz w:val="22"/>
          <w:szCs w:val="22"/>
          <w:shd w:val="clear" w:color="auto" w:fill="FFFFFF"/>
        </w:rPr>
        <w:t>) Automated DSS parameters and score.</w:t>
      </w:r>
      <w:r>
        <w:rPr>
          <w:rStyle w:val="eop"/>
          <w:rFonts w:ascii="Arial Nova" w:hAnsi="Arial Nova"/>
          <w:color w:val="000000"/>
          <w:sz w:val="22"/>
          <w:szCs w:val="22"/>
          <w:shd w:val="clear" w:color="auto" w:fill="FFFFFF"/>
        </w:rPr>
        <w:t> </w:t>
      </w:r>
    </w:p>
    <w:p w14:paraId="27F84515" w14:textId="05867924" w:rsidR="006015A2" w:rsidRDefault="009F3012">
      <w:r>
        <w:rPr>
          <w:noProof/>
        </w:rPr>
        <w:drawing>
          <wp:inline distT="0" distB="0" distL="0" distR="0" wp14:anchorId="12E20AEF" wp14:editId="3A7DF2B6">
            <wp:extent cx="5943600" cy="4003553"/>
            <wp:effectExtent l="0" t="0" r="0" b="0"/>
            <wp:docPr id="606391693" name="Picture 13" descr="A graph of a patient's do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391693" name="Picture 13" descr="A graph of a patient's dose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015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erriweather">
    <w:panose1 w:val="00000500000000000000"/>
    <w:charset w:val="4D"/>
    <w:family w:val="auto"/>
    <w:pitch w:val="variable"/>
    <w:sig w:usb0="20000207" w:usb1="00000002" w:usb2="00000000" w:usb3="00000000" w:csb0="00000197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ova">
    <w:panose1 w:val="020B0504020202020204"/>
    <w:charset w:val="00"/>
    <w:family w:val="swiss"/>
    <w:pitch w:val="variable"/>
    <w:sig w:usb0="0000028F" w:usb1="00000002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7E9E"/>
    <w:rsid w:val="000449A2"/>
    <w:rsid w:val="00175451"/>
    <w:rsid w:val="00186082"/>
    <w:rsid w:val="003F1C5C"/>
    <w:rsid w:val="004F5991"/>
    <w:rsid w:val="0051332B"/>
    <w:rsid w:val="00547C50"/>
    <w:rsid w:val="005750FE"/>
    <w:rsid w:val="006015A2"/>
    <w:rsid w:val="0064400F"/>
    <w:rsid w:val="0075726A"/>
    <w:rsid w:val="007E3B76"/>
    <w:rsid w:val="007F0F18"/>
    <w:rsid w:val="00926794"/>
    <w:rsid w:val="009F3012"/>
    <w:rsid w:val="00A12405"/>
    <w:rsid w:val="00A861F6"/>
    <w:rsid w:val="00A926FF"/>
    <w:rsid w:val="00AA26CE"/>
    <w:rsid w:val="00AF048B"/>
    <w:rsid w:val="00B3069B"/>
    <w:rsid w:val="00B866C5"/>
    <w:rsid w:val="00BB2401"/>
    <w:rsid w:val="00C05D66"/>
    <w:rsid w:val="00D907CE"/>
    <w:rsid w:val="00E46C67"/>
    <w:rsid w:val="00F47E9E"/>
    <w:rsid w:val="00F81C35"/>
    <w:rsid w:val="00FD6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CB51963"/>
  <w15:chartTrackingRefBased/>
  <w15:docId w15:val="{03538DFF-7A0B-1E45-96FC-345886A1C6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66C5"/>
    <w:rPr>
      <w:rFonts w:ascii="Merriweather" w:eastAsiaTheme="minorHAnsi" w:hAnsi="Merriweather"/>
    </w:rPr>
  </w:style>
  <w:style w:type="paragraph" w:styleId="Heading1">
    <w:name w:val="heading 1"/>
    <w:basedOn w:val="Normal"/>
    <w:next w:val="Normal"/>
    <w:link w:val="Heading1Char"/>
    <w:uiPriority w:val="9"/>
    <w:qFormat/>
    <w:rsid w:val="00F47E9E"/>
    <w:pPr>
      <w:keepNext/>
      <w:keepLines/>
      <w:spacing w:before="360" w:after="80" w:line="480" w:lineRule="auto"/>
      <w:jc w:val="both"/>
      <w:outlineLvl w:val="0"/>
    </w:pPr>
    <w:rPr>
      <w:rFonts w:asciiTheme="majorHAnsi" w:eastAsiaTheme="majorEastAsia" w:hAnsiTheme="majorHAnsi" w:cstheme="majorBidi"/>
      <w:color w:val="0F4761" w:themeColor="accent1" w:themeShade="BF"/>
      <w:kern w:val="0"/>
      <w:sz w:val="40"/>
      <w:szCs w:val="40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47E9E"/>
    <w:pPr>
      <w:keepNext/>
      <w:keepLines/>
      <w:spacing w:before="160" w:after="80" w:line="480" w:lineRule="auto"/>
      <w:jc w:val="both"/>
      <w:outlineLvl w:val="1"/>
    </w:pPr>
    <w:rPr>
      <w:rFonts w:asciiTheme="majorHAnsi" w:eastAsiaTheme="majorEastAsia" w:hAnsiTheme="majorHAnsi" w:cstheme="majorBidi"/>
      <w:color w:val="0F4761" w:themeColor="accent1" w:themeShade="BF"/>
      <w:kern w:val="0"/>
      <w:sz w:val="32"/>
      <w:szCs w:val="32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47E9E"/>
    <w:pPr>
      <w:keepNext/>
      <w:keepLines/>
      <w:spacing w:before="160" w:after="80" w:line="480" w:lineRule="auto"/>
      <w:jc w:val="both"/>
      <w:outlineLvl w:val="2"/>
    </w:pPr>
    <w:rPr>
      <w:rFonts w:asciiTheme="minorHAnsi" w:eastAsiaTheme="majorEastAsia" w:hAnsiTheme="minorHAnsi" w:cstheme="majorBidi"/>
      <w:color w:val="0F4761" w:themeColor="accent1" w:themeShade="BF"/>
      <w:kern w:val="0"/>
      <w:sz w:val="28"/>
      <w:szCs w:val="28"/>
      <w14:ligatures w14:val="none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47E9E"/>
    <w:pPr>
      <w:keepNext/>
      <w:keepLines/>
      <w:spacing w:before="80" w:after="40" w:line="480" w:lineRule="auto"/>
      <w:jc w:val="both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0"/>
      <w:sz w:val="22"/>
      <w14:ligatures w14:val="none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47E9E"/>
    <w:pPr>
      <w:keepNext/>
      <w:keepLines/>
      <w:spacing w:before="80" w:after="40" w:line="480" w:lineRule="auto"/>
      <w:jc w:val="both"/>
      <w:outlineLvl w:val="4"/>
    </w:pPr>
    <w:rPr>
      <w:rFonts w:asciiTheme="minorHAnsi" w:eastAsiaTheme="majorEastAsia" w:hAnsiTheme="minorHAnsi" w:cstheme="majorBidi"/>
      <w:color w:val="0F4761" w:themeColor="accent1" w:themeShade="BF"/>
      <w:kern w:val="0"/>
      <w:sz w:val="22"/>
      <w14:ligatures w14:val="none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47E9E"/>
    <w:pPr>
      <w:keepNext/>
      <w:keepLines/>
      <w:spacing w:before="40" w:line="480" w:lineRule="auto"/>
      <w:jc w:val="both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0"/>
      <w:sz w:val="22"/>
      <w14:ligatures w14:val="none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47E9E"/>
    <w:pPr>
      <w:keepNext/>
      <w:keepLines/>
      <w:spacing w:before="40" w:line="480" w:lineRule="auto"/>
      <w:jc w:val="both"/>
      <w:outlineLvl w:val="6"/>
    </w:pPr>
    <w:rPr>
      <w:rFonts w:asciiTheme="minorHAnsi" w:eastAsiaTheme="majorEastAsia" w:hAnsiTheme="minorHAnsi" w:cstheme="majorBidi"/>
      <w:color w:val="595959" w:themeColor="text1" w:themeTint="A6"/>
      <w:kern w:val="0"/>
      <w:sz w:val="22"/>
      <w14:ligatures w14:val="none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47E9E"/>
    <w:pPr>
      <w:keepNext/>
      <w:keepLines/>
      <w:spacing w:line="480" w:lineRule="auto"/>
      <w:jc w:val="both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0"/>
      <w:sz w:val="22"/>
      <w14:ligatures w14:val="none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47E9E"/>
    <w:pPr>
      <w:keepNext/>
      <w:keepLines/>
      <w:spacing w:line="480" w:lineRule="auto"/>
      <w:jc w:val="both"/>
      <w:outlineLvl w:val="8"/>
    </w:pPr>
    <w:rPr>
      <w:rFonts w:asciiTheme="minorHAnsi" w:eastAsiaTheme="majorEastAsia" w:hAnsiTheme="minorHAnsi" w:cstheme="majorBidi"/>
      <w:color w:val="272727" w:themeColor="text1" w:themeTint="D8"/>
      <w:kern w:val="0"/>
      <w:sz w:val="22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47E9E"/>
    <w:rPr>
      <w:rFonts w:asciiTheme="majorHAnsi" w:eastAsiaTheme="majorEastAsia" w:hAnsiTheme="majorHAnsi" w:cstheme="majorBidi"/>
      <w:color w:val="0F4761" w:themeColor="accent1" w:themeShade="BF"/>
      <w:kern w:val="0"/>
      <w:sz w:val="40"/>
      <w:szCs w:val="40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47E9E"/>
    <w:rPr>
      <w:rFonts w:asciiTheme="majorHAnsi" w:eastAsiaTheme="majorEastAsia" w:hAnsiTheme="majorHAnsi" w:cstheme="majorBidi"/>
      <w:color w:val="0F4761" w:themeColor="accent1" w:themeShade="BF"/>
      <w:kern w:val="0"/>
      <w:sz w:val="32"/>
      <w:szCs w:val="32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47E9E"/>
    <w:rPr>
      <w:rFonts w:eastAsiaTheme="majorEastAsia" w:cstheme="majorBidi"/>
      <w:color w:val="0F4761" w:themeColor="accent1" w:themeShade="BF"/>
      <w:kern w:val="0"/>
      <w:sz w:val="28"/>
      <w:szCs w:val="28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47E9E"/>
    <w:rPr>
      <w:rFonts w:eastAsiaTheme="majorEastAsia" w:cstheme="majorBidi"/>
      <w:i/>
      <w:iCs/>
      <w:color w:val="0F4761" w:themeColor="accent1" w:themeShade="BF"/>
      <w:kern w:val="0"/>
      <w:sz w:val="22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47E9E"/>
    <w:rPr>
      <w:rFonts w:eastAsiaTheme="majorEastAsia" w:cstheme="majorBidi"/>
      <w:color w:val="0F4761" w:themeColor="accent1" w:themeShade="BF"/>
      <w:kern w:val="0"/>
      <w:sz w:val="22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47E9E"/>
    <w:rPr>
      <w:rFonts w:eastAsiaTheme="majorEastAsia" w:cstheme="majorBidi"/>
      <w:i/>
      <w:iCs/>
      <w:color w:val="595959" w:themeColor="text1" w:themeTint="A6"/>
      <w:kern w:val="0"/>
      <w:sz w:val="22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47E9E"/>
    <w:rPr>
      <w:rFonts w:eastAsiaTheme="majorEastAsia" w:cstheme="majorBidi"/>
      <w:color w:val="595959" w:themeColor="text1" w:themeTint="A6"/>
      <w:kern w:val="0"/>
      <w:sz w:val="22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47E9E"/>
    <w:rPr>
      <w:rFonts w:eastAsiaTheme="majorEastAsia" w:cstheme="majorBidi"/>
      <w:i/>
      <w:iCs/>
      <w:color w:val="272727" w:themeColor="text1" w:themeTint="D8"/>
      <w:kern w:val="0"/>
      <w:sz w:val="22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47E9E"/>
    <w:rPr>
      <w:rFonts w:eastAsiaTheme="majorEastAsia" w:cstheme="majorBidi"/>
      <w:color w:val="272727" w:themeColor="text1" w:themeTint="D8"/>
      <w:kern w:val="0"/>
      <w:sz w:val="22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rsid w:val="00F47E9E"/>
    <w:pPr>
      <w:spacing w:after="80"/>
      <w:contextualSpacing/>
      <w:jc w:val="both"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character" w:customStyle="1" w:styleId="TitleChar">
    <w:name w:val="Title Char"/>
    <w:basedOn w:val="DefaultParagraphFont"/>
    <w:link w:val="Title"/>
    <w:uiPriority w:val="10"/>
    <w:rsid w:val="00F47E9E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F47E9E"/>
    <w:pPr>
      <w:numPr>
        <w:ilvl w:val="1"/>
      </w:numPr>
      <w:spacing w:after="160" w:line="480" w:lineRule="auto"/>
      <w:jc w:val="both"/>
    </w:pPr>
    <w:rPr>
      <w:rFonts w:asciiTheme="minorHAnsi" w:eastAsiaTheme="majorEastAsia" w:hAnsiTheme="minorHAnsi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character" w:customStyle="1" w:styleId="SubtitleChar">
    <w:name w:val="Subtitle Char"/>
    <w:basedOn w:val="DefaultParagraphFont"/>
    <w:link w:val="Subtitle"/>
    <w:uiPriority w:val="11"/>
    <w:rsid w:val="00F47E9E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Quote">
    <w:name w:val="Quote"/>
    <w:basedOn w:val="Normal"/>
    <w:next w:val="Normal"/>
    <w:link w:val="QuoteChar"/>
    <w:uiPriority w:val="29"/>
    <w:qFormat/>
    <w:rsid w:val="00F47E9E"/>
    <w:pPr>
      <w:spacing w:before="160" w:after="160" w:line="480" w:lineRule="auto"/>
      <w:jc w:val="center"/>
    </w:pPr>
    <w:rPr>
      <w:rFonts w:ascii="Arial" w:eastAsia="Times New Roman" w:hAnsi="Arial" w:cs="Times New Roman"/>
      <w:i/>
      <w:iCs/>
      <w:color w:val="404040" w:themeColor="text1" w:themeTint="BF"/>
      <w:kern w:val="0"/>
      <w:sz w:val="22"/>
      <w14:ligatures w14:val="none"/>
    </w:rPr>
  </w:style>
  <w:style w:type="character" w:customStyle="1" w:styleId="QuoteChar">
    <w:name w:val="Quote Char"/>
    <w:basedOn w:val="DefaultParagraphFont"/>
    <w:link w:val="Quote"/>
    <w:uiPriority w:val="29"/>
    <w:rsid w:val="00F47E9E"/>
    <w:rPr>
      <w:rFonts w:ascii="Arial" w:hAnsi="Arial" w:cs="Times New Roman"/>
      <w:i/>
      <w:iCs/>
      <w:color w:val="404040" w:themeColor="text1" w:themeTint="BF"/>
      <w:kern w:val="0"/>
      <w:sz w:val="22"/>
      <w14:ligatures w14:val="none"/>
    </w:rPr>
  </w:style>
  <w:style w:type="paragraph" w:styleId="ListParagraph">
    <w:name w:val="List Paragraph"/>
    <w:basedOn w:val="Normal"/>
    <w:uiPriority w:val="34"/>
    <w:qFormat/>
    <w:rsid w:val="00F47E9E"/>
    <w:pPr>
      <w:spacing w:line="480" w:lineRule="auto"/>
      <w:ind w:left="720"/>
      <w:contextualSpacing/>
      <w:jc w:val="both"/>
    </w:pPr>
    <w:rPr>
      <w:rFonts w:ascii="Arial" w:eastAsia="Times New Roman" w:hAnsi="Arial" w:cs="Times New Roman"/>
      <w:kern w:val="0"/>
      <w:sz w:val="22"/>
      <w14:ligatures w14:val="none"/>
    </w:rPr>
  </w:style>
  <w:style w:type="character" w:styleId="IntenseEmphasis">
    <w:name w:val="Intense Emphasis"/>
    <w:basedOn w:val="DefaultParagraphFont"/>
    <w:uiPriority w:val="21"/>
    <w:qFormat/>
    <w:rsid w:val="00F47E9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47E9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480" w:lineRule="auto"/>
      <w:ind w:left="864" w:right="864"/>
      <w:jc w:val="center"/>
    </w:pPr>
    <w:rPr>
      <w:rFonts w:ascii="Arial" w:eastAsia="Times New Roman" w:hAnsi="Arial" w:cs="Times New Roman"/>
      <w:i/>
      <w:iCs/>
      <w:color w:val="0F4761" w:themeColor="accent1" w:themeShade="BF"/>
      <w:kern w:val="0"/>
      <w:sz w:val="22"/>
      <w14:ligatures w14:val="none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47E9E"/>
    <w:rPr>
      <w:rFonts w:ascii="Arial" w:hAnsi="Arial" w:cs="Times New Roman"/>
      <w:i/>
      <w:iCs/>
      <w:color w:val="0F4761" w:themeColor="accent1" w:themeShade="BF"/>
      <w:kern w:val="0"/>
      <w:sz w:val="22"/>
      <w14:ligatures w14:val="none"/>
    </w:rPr>
  </w:style>
  <w:style w:type="character" w:styleId="IntenseReference">
    <w:name w:val="Intense Reference"/>
    <w:basedOn w:val="DefaultParagraphFont"/>
    <w:uiPriority w:val="32"/>
    <w:qFormat/>
    <w:rsid w:val="00F47E9E"/>
    <w:rPr>
      <w:b/>
      <w:bCs/>
      <w:smallCaps/>
      <w:color w:val="0F4761" w:themeColor="accent1" w:themeShade="BF"/>
      <w:spacing w:val="5"/>
    </w:rPr>
  </w:style>
  <w:style w:type="character" w:customStyle="1" w:styleId="normaltextrun">
    <w:name w:val="normaltextrun"/>
    <w:basedOn w:val="DefaultParagraphFont"/>
    <w:rsid w:val="00175451"/>
  </w:style>
  <w:style w:type="character" w:customStyle="1" w:styleId="eop">
    <w:name w:val="eop"/>
    <w:basedOn w:val="DefaultParagraphFont"/>
    <w:rsid w:val="001754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19" Type="http://schemas.openxmlformats.org/officeDocument/2006/relationships/customXml" Target="../customXml/item1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817A7DA6DD20468774DF9918E64FC7" ma:contentTypeVersion="23" ma:contentTypeDescription="Create a new document." ma:contentTypeScope="" ma:versionID="743ebf4cf2d9be6c748d8c34e0f63e72">
  <xsd:schema xmlns:xsd="http://www.w3.org/2001/XMLSchema" xmlns:xs="http://www.w3.org/2001/XMLSchema" xmlns:p="http://schemas.microsoft.com/office/2006/metadata/properties" xmlns:ns2="2b0bba31-5765-4663-b31c-7c07b216dc90" xmlns:ns3="2d186d4c-578c-40f9-a5cc-194235f75110" targetNamespace="http://schemas.microsoft.com/office/2006/metadata/properties" ma:root="true" ma:fieldsID="de9f84ca74c8f71490962fc3e3b81f47" ns2:_="" ns3:_="">
    <xsd:import namespace="2b0bba31-5765-4663-b31c-7c07b216dc90"/>
    <xsd:import namespace="2d186d4c-578c-40f9-a5cc-194235f7511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3:TaxCatchAll" minOccurs="0"/>
                <xsd:element ref="ns2:lcf76f155ced4ddcb4097134ff3c332f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0bba31-5765-4663-b31c-7c07b216dc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33fdc6da-32ca-4a2b-983e-32d6a4a8ae6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186d4c-578c-40f9-a5cc-194235f7511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90a1aba-a34f-4e6f-abfc-64dba460465d}" ma:internalName="TaxCatchAll" ma:showField="CatchAllData" ma:web="2d186d4c-578c-40f9-a5cc-194235f7511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b0bba31-5765-4663-b31c-7c07b216dc90">
      <Terms xmlns="http://schemas.microsoft.com/office/infopath/2007/PartnerControls"/>
    </lcf76f155ced4ddcb4097134ff3c332f>
    <TaxCatchAll xmlns="2d186d4c-578c-40f9-a5cc-194235f75110" xsi:nil="true"/>
  </documentManagement>
</p:properties>
</file>

<file path=customXml/itemProps1.xml><?xml version="1.0" encoding="utf-8"?>
<ds:datastoreItem xmlns:ds="http://schemas.openxmlformats.org/officeDocument/2006/customXml" ds:itemID="{0A89456A-D450-4381-9627-D3C974E14C2D}"/>
</file>

<file path=customXml/itemProps2.xml><?xml version="1.0" encoding="utf-8"?>
<ds:datastoreItem xmlns:ds="http://schemas.openxmlformats.org/officeDocument/2006/customXml" ds:itemID="{7BF8D5F0-BCDA-4C1D-B4FC-EB0F47B6FD04}"/>
</file>

<file path=customXml/itemProps3.xml><?xml version="1.0" encoding="utf-8"?>
<ds:datastoreItem xmlns:ds="http://schemas.openxmlformats.org/officeDocument/2006/customXml" ds:itemID="{911B6019-8757-43DB-BE96-FB947A5E759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14</Pages>
  <Words>1002</Words>
  <Characters>5718</Characters>
  <Application>Microsoft Office Word</Application>
  <DocSecurity>0</DocSecurity>
  <Lines>47</Lines>
  <Paragraphs>13</Paragraphs>
  <ScaleCrop>false</ScaleCrop>
  <Company/>
  <LinksUpToDate>false</LinksUpToDate>
  <CharactersWithSpaces>6707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Mann, Breanna Elizabeth</dc:creator>
  <cp:keywords/>
  <dc:description/>
  <cp:lastModifiedBy>Mann, Breanna Elizabeth</cp:lastModifiedBy>
  <cp:revision>16</cp:revision>
  <dcterms:created xsi:type="dcterms:W3CDTF">2025-05-16T13:42:00Z</dcterms:created>
  <dcterms:modified xsi:type="dcterms:W3CDTF">2025-05-16T13:50:00Z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0x010100ED817A7DA6DD20468774DF9918E64FC7</vt:lpwstr>
  </property>
</Properties>
</file>