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8B79E" w14:textId="2CDB9096" w:rsidR="002A28CF" w:rsidRPr="00AE3EFC" w:rsidRDefault="002A28CF" w:rsidP="00AE3EFC">
      <w:pPr>
        <w:spacing w:line="168" w:lineRule="auto"/>
        <w:rPr>
          <w:rFonts w:asciiTheme="majorHAnsi" w:hAnsiTheme="majorHAnsi" w:cs="Times New Roman"/>
          <w:b/>
          <w:bCs/>
          <w:sz w:val="44"/>
          <w:szCs w:val="44"/>
        </w:rPr>
      </w:pPr>
      <w:r w:rsidRPr="00AE3EFC">
        <w:rPr>
          <w:rFonts w:asciiTheme="majorHAnsi" w:hAnsiTheme="majorHAnsi" w:cs="Times New Roman"/>
          <w:b/>
          <w:bCs/>
          <w:sz w:val="44"/>
          <w:szCs w:val="44"/>
        </w:rPr>
        <w:t>Design and Rationale</w:t>
      </w:r>
    </w:p>
    <w:p w14:paraId="2878FA4C" w14:textId="77777777" w:rsidR="002A28CF" w:rsidRPr="00AE3EFC" w:rsidRDefault="002A28CF" w:rsidP="00AE3EFC">
      <w:pPr>
        <w:pBdr>
          <w:top w:val="single" w:sz="4" w:space="1" w:color="auto"/>
          <w:bottom w:val="single" w:sz="4" w:space="1" w:color="auto"/>
        </w:pBdr>
        <w:spacing w:line="240" w:lineRule="auto"/>
        <w:rPr>
          <w:rFonts w:asciiTheme="majorHAnsi" w:hAnsiTheme="majorHAnsi" w:cs="Times New Roman"/>
          <w:i/>
          <w:iCs/>
          <w:sz w:val="44"/>
          <w:szCs w:val="44"/>
        </w:rPr>
      </w:pPr>
      <w:r w:rsidRPr="00AE3EFC">
        <w:rPr>
          <w:rFonts w:asciiTheme="majorHAnsi" w:hAnsiTheme="majorHAnsi" w:cs="Times New Roman"/>
          <w:sz w:val="44"/>
          <w:szCs w:val="44"/>
        </w:rPr>
        <w:t>Investigation of Biomarker Response to SGLT2 Inhibition in Heart Failure</w:t>
      </w:r>
      <w:r w:rsidRPr="00AE3EFC">
        <w:rPr>
          <w:rFonts w:asciiTheme="majorHAnsi" w:hAnsiTheme="majorHAnsi" w:cs="Times New Roman"/>
          <w:b/>
          <w:bCs/>
          <w:sz w:val="44"/>
          <w:szCs w:val="44"/>
        </w:rPr>
        <w:t xml:space="preserve"> </w:t>
      </w:r>
      <w:r w:rsidRPr="00AE3EFC">
        <w:rPr>
          <w:rFonts w:asciiTheme="majorHAnsi" w:hAnsiTheme="majorHAnsi" w:cs="Times New Roman"/>
          <w:i/>
          <w:iCs/>
          <w:sz w:val="44"/>
          <w:szCs w:val="44"/>
        </w:rPr>
        <w:t>(SiN-HF)</w:t>
      </w:r>
    </w:p>
    <w:p w14:paraId="4426FD8A" w14:textId="77777777" w:rsidR="002A28CF" w:rsidRPr="00AE3EFC" w:rsidRDefault="002A28CF" w:rsidP="002A28CF">
      <w:pPr>
        <w:spacing w:line="240" w:lineRule="auto"/>
        <w:rPr>
          <w:rFonts w:asciiTheme="majorHAnsi" w:hAnsiTheme="majorHAnsi" w:cs="Times New Roman"/>
          <w:vertAlign w:val="superscript"/>
        </w:rPr>
      </w:pPr>
      <w:r w:rsidRPr="00AE3EFC">
        <w:rPr>
          <w:rFonts w:asciiTheme="majorHAnsi" w:hAnsiTheme="majorHAnsi" w:cs="Times New Roman"/>
        </w:rPr>
        <w:t>Patrick Savage* MB BCh BAO BSc</w:t>
      </w:r>
      <w:r w:rsidRPr="00AE3EFC">
        <w:rPr>
          <w:rFonts w:asciiTheme="majorHAnsi" w:hAnsiTheme="majorHAnsi" w:cs="Times New Roman"/>
          <w:vertAlign w:val="superscript"/>
        </w:rPr>
        <w:t>1</w:t>
      </w:r>
      <w:r w:rsidRPr="00AE3EFC">
        <w:rPr>
          <w:rFonts w:asciiTheme="majorHAnsi" w:hAnsiTheme="majorHAnsi" w:cs="Times New Roman"/>
        </w:rPr>
        <w:t>, Lana Dixon MD</w:t>
      </w:r>
      <w:r w:rsidRPr="00AE3EFC">
        <w:rPr>
          <w:rFonts w:asciiTheme="majorHAnsi" w:hAnsiTheme="majorHAnsi" w:cs="Times New Roman"/>
          <w:vertAlign w:val="superscript"/>
        </w:rPr>
        <w:t>1</w:t>
      </w:r>
      <w:r w:rsidRPr="00AE3EFC">
        <w:rPr>
          <w:rFonts w:asciiTheme="majorHAnsi" w:hAnsiTheme="majorHAnsi" w:cs="Times New Roman"/>
        </w:rPr>
        <w:t>, David Grieve BSc, PhD</w:t>
      </w:r>
      <w:r w:rsidRPr="00AE3EFC">
        <w:rPr>
          <w:rFonts w:asciiTheme="majorHAnsi" w:hAnsiTheme="majorHAnsi" w:cs="Times New Roman"/>
          <w:vertAlign w:val="superscript"/>
        </w:rPr>
        <w:t>2</w:t>
      </w:r>
      <w:r w:rsidRPr="00AE3EFC">
        <w:rPr>
          <w:rFonts w:asciiTheme="majorHAnsi" w:hAnsiTheme="majorHAnsi" w:cs="Times New Roman"/>
        </w:rPr>
        <w:t>, Chris Watson BSc, PhD</w:t>
      </w:r>
      <w:r w:rsidRPr="00AE3EFC">
        <w:rPr>
          <w:rFonts w:asciiTheme="majorHAnsi" w:hAnsiTheme="majorHAnsi" w:cs="Times New Roman"/>
          <w:vertAlign w:val="superscript"/>
        </w:rPr>
        <w:t>2</w:t>
      </w:r>
    </w:p>
    <w:p w14:paraId="26D97F5C" w14:textId="77777777" w:rsidR="002A28CF" w:rsidRPr="00AE3EFC" w:rsidRDefault="002A28CF" w:rsidP="002A28CF">
      <w:pPr>
        <w:spacing w:line="168" w:lineRule="auto"/>
        <w:rPr>
          <w:rFonts w:asciiTheme="majorHAnsi" w:hAnsiTheme="majorHAnsi" w:cs="Times New Roman"/>
        </w:rPr>
      </w:pPr>
      <w:r w:rsidRPr="00AE3EFC">
        <w:rPr>
          <w:rFonts w:asciiTheme="majorHAnsi" w:hAnsiTheme="majorHAnsi" w:cs="Times New Roman"/>
        </w:rPr>
        <w:t>1.</w:t>
      </w:r>
      <w:r w:rsidRPr="00AE3EFC">
        <w:rPr>
          <w:rFonts w:asciiTheme="majorHAnsi" w:hAnsiTheme="majorHAnsi" w:cs="Times New Roman"/>
        </w:rPr>
        <w:tab/>
        <w:t>Royal Victoria Hospital Cardiology department, Belfast, Northern Ireland.</w:t>
      </w:r>
    </w:p>
    <w:p w14:paraId="00F7B94D" w14:textId="77777777" w:rsidR="002A28CF" w:rsidRPr="00AE3EFC" w:rsidRDefault="002A28CF" w:rsidP="002A28CF">
      <w:pPr>
        <w:spacing w:line="168" w:lineRule="auto"/>
        <w:ind w:left="720" w:hanging="720"/>
        <w:rPr>
          <w:rFonts w:asciiTheme="majorHAnsi" w:hAnsiTheme="majorHAnsi" w:cs="Times New Roman"/>
        </w:rPr>
      </w:pPr>
      <w:r w:rsidRPr="00AE3EFC">
        <w:rPr>
          <w:rFonts w:asciiTheme="majorHAnsi" w:hAnsiTheme="majorHAnsi" w:cs="Times New Roman"/>
        </w:rPr>
        <w:t>2.</w:t>
      </w:r>
      <w:r w:rsidRPr="00AE3EFC">
        <w:rPr>
          <w:rFonts w:asciiTheme="majorHAnsi" w:hAnsiTheme="majorHAnsi" w:cs="Times New Roman"/>
        </w:rPr>
        <w:tab/>
        <w:t>Wellcome-Wolfson Institute for Experimental Medicine, Queen’s University, Belfast, Northern Ireland.</w:t>
      </w:r>
    </w:p>
    <w:p w14:paraId="3A8C8063" w14:textId="77777777" w:rsidR="002A28CF" w:rsidRPr="00AE3EFC" w:rsidRDefault="002A28CF" w:rsidP="002A28CF">
      <w:pPr>
        <w:spacing w:line="168" w:lineRule="auto"/>
        <w:rPr>
          <w:rFonts w:asciiTheme="majorHAnsi" w:hAnsiTheme="majorHAnsi" w:cs="Times New Roman"/>
        </w:rPr>
      </w:pPr>
      <w:r w:rsidRPr="00AE3EFC">
        <w:rPr>
          <w:rFonts w:asciiTheme="majorHAnsi" w:hAnsiTheme="majorHAnsi" w:cs="Times New Roman"/>
        </w:rPr>
        <w:t>*</w:t>
      </w:r>
      <w:r w:rsidRPr="00AE3EFC">
        <w:rPr>
          <w:rFonts w:asciiTheme="majorHAnsi" w:hAnsiTheme="majorHAnsi" w:cs="Times New Roman"/>
          <w:b/>
          <w:bCs/>
          <w:i/>
          <w:iCs/>
        </w:rPr>
        <w:t xml:space="preserve">Corresponding author: </w:t>
      </w:r>
      <w:r w:rsidRPr="00AE3EFC">
        <w:rPr>
          <w:rFonts w:asciiTheme="majorHAnsi" w:hAnsiTheme="majorHAnsi" w:cs="Times New Roman"/>
        </w:rPr>
        <w:t>Patrick Savage - email: psavage05@qub.ac.uk number: 028090850660</w:t>
      </w:r>
    </w:p>
    <w:p w14:paraId="3B261F65" w14:textId="77777777" w:rsidR="002A28CF" w:rsidRPr="00AE3EFC" w:rsidRDefault="002A28CF" w:rsidP="00AE3EFC">
      <w:pPr>
        <w:pBdr>
          <w:top w:val="single" w:sz="4" w:space="1" w:color="auto"/>
          <w:bottom w:val="single" w:sz="4" w:space="1" w:color="auto"/>
        </w:pBdr>
        <w:rPr>
          <w:rFonts w:asciiTheme="majorHAnsi" w:hAnsiTheme="majorHAnsi" w:cs="Times New Roman"/>
        </w:rPr>
      </w:pPr>
      <w:r w:rsidRPr="00AE3EFC">
        <w:rPr>
          <w:rFonts w:asciiTheme="majorHAnsi" w:hAnsiTheme="majorHAnsi" w:cs="Times New Roman"/>
        </w:rPr>
        <w:t>No conflicts of interest to declare</w:t>
      </w:r>
    </w:p>
    <w:p w14:paraId="408F4B4B" w14:textId="77777777" w:rsidR="002A28CF" w:rsidRPr="00AE3EFC" w:rsidRDefault="002A28CF" w:rsidP="00AE3EFC">
      <w:pPr>
        <w:pBdr>
          <w:top w:val="single" w:sz="4" w:space="1" w:color="auto"/>
          <w:bottom w:val="single" w:sz="4" w:space="1" w:color="auto"/>
        </w:pBdr>
        <w:rPr>
          <w:rFonts w:asciiTheme="majorHAnsi" w:hAnsiTheme="majorHAnsi" w:cs="Times New Roman"/>
        </w:rPr>
      </w:pPr>
      <w:r w:rsidRPr="00AE3EFC">
        <w:rPr>
          <w:rFonts w:asciiTheme="majorHAnsi" w:hAnsiTheme="majorHAnsi" w:cs="Times New Roman"/>
        </w:rPr>
        <w:t>The trial is registered as Clinical Trials.gov identifier:</w:t>
      </w:r>
      <w:r w:rsidRPr="00AE3EFC">
        <w:rPr>
          <w:rFonts w:asciiTheme="majorHAnsi" w:hAnsiTheme="majorHAnsi" w:cs="Times New Roman"/>
          <w:b/>
          <w:bCs/>
          <w:i/>
          <w:iCs/>
        </w:rPr>
        <w:t xml:space="preserve"> NCT06140251</w:t>
      </w:r>
      <w:r w:rsidRPr="00AE3EFC">
        <w:rPr>
          <w:rFonts w:asciiTheme="majorHAnsi" w:hAnsiTheme="majorHAnsi" w:cs="Times New Roman"/>
        </w:rPr>
        <w:t>.</w:t>
      </w:r>
    </w:p>
    <w:p w14:paraId="6F3F84FF" w14:textId="7A4E73A1" w:rsidR="00CA40D5" w:rsidRPr="00AE3EFC" w:rsidRDefault="002A28CF" w:rsidP="00AE3EFC">
      <w:pPr>
        <w:pBdr>
          <w:top w:val="single" w:sz="4" w:space="1" w:color="auto"/>
          <w:bottom w:val="single" w:sz="4" w:space="1" w:color="auto"/>
        </w:pBdr>
        <w:rPr>
          <w:rFonts w:asciiTheme="majorHAnsi" w:hAnsiTheme="majorHAnsi" w:cs="Times New Roman"/>
          <w:b/>
          <w:bCs/>
          <w:i/>
          <w:iCs/>
        </w:rPr>
      </w:pPr>
      <w:r w:rsidRPr="00AE3EFC">
        <w:rPr>
          <w:rFonts w:asciiTheme="majorHAnsi" w:hAnsiTheme="majorHAnsi" w:cs="Times New Roman"/>
        </w:rPr>
        <w:t xml:space="preserve">UK Research Ethics and </w:t>
      </w:r>
      <w:r w:rsidRPr="00AE3EFC">
        <w:rPr>
          <w:rFonts w:asciiTheme="majorHAnsi" w:hAnsiTheme="majorHAnsi" w:cs="Times New Roman"/>
          <w:lang w:val="en-US"/>
        </w:rPr>
        <w:t xml:space="preserve">Research Ethics Committees number: </w:t>
      </w:r>
      <w:r w:rsidRPr="00AE3EFC">
        <w:rPr>
          <w:rFonts w:asciiTheme="majorHAnsi" w:hAnsiTheme="majorHAnsi" w:cs="Times New Roman"/>
          <w:b/>
          <w:bCs/>
          <w:i/>
          <w:iCs/>
        </w:rPr>
        <w:t>22/NW/0348</w:t>
      </w:r>
    </w:p>
    <w:p w14:paraId="6BA11E74" w14:textId="77777777" w:rsidR="002A28CF" w:rsidRDefault="002A28CF" w:rsidP="002A28CF">
      <w:pPr>
        <w:rPr>
          <w:rFonts w:ascii="Times New Roman" w:hAnsi="Times New Roman" w:cs="Times New Roman"/>
        </w:rPr>
      </w:pPr>
    </w:p>
    <w:p w14:paraId="4A56D7C1" w14:textId="77777777" w:rsidR="002A28CF" w:rsidRDefault="002A28CF" w:rsidP="002A28CF">
      <w:pPr>
        <w:rPr>
          <w:rFonts w:ascii="Times New Roman" w:hAnsi="Times New Roman" w:cs="Times New Roman"/>
        </w:rPr>
      </w:pPr>
    </w:p>
    <w:p w14:paraId="12E44707" w14:textId="77777777" w:rsidR="002A28CF" w:rsidRDefault="002A28CF" w:rsidP="002A28CF">
      <w:pPr>
        <w:rPr>
          <w:rFonts w:ascii="Times New Roman" w:hAnsi="Times New Roman" w:cs="Times New Roman"/>
        </w:rPr>
      </w:pPr>
    </w:p>
    <w:p w14:paraId="520D66A6" w14:textId="77777777" w:rsidR="002A28CF" w:rsidRDefault="002A28CF" w:rsidP="002A28CF">
      <w:pPr>
        <w:rPr>
          <w:rFonts w:ascii="Times New Roman" w:hAnsi="Times New Roman" w:cs="Times New Roman"/>
        </w:rPr>
      </w:pPr>
    </w:p>
    <w:p w14:paraId="7FED7A4E" w14:textId="77777777" w:rsidR="002A28CF" w:rsidRDefault="002A28CF" w:rsidP="002A28CF">
      <w:pPr>
        <w:rPr>
          <w:rFonts w:ascii="Times New Roman" w:hAnsi="Times New Roman" w:cs="Times New Roman"/>
        </w:rPr>
      </w:pPr>
    </w:p>
    <w:p w14:paraId="647BBF70" w14:textId="77777777" w:rsidR="002A28CF" w:rsidRDefault="002A28CF" w:rsidP="002A28CF">
      <w:pPr>
        <w:rPr>
          <w:rFonts w:ascii="Times New Roman" w:hAnsi="Times New Roman" w:cs="Times New Roman"/>
        </w:rPr>
      </w:pPr>
    </w:p>
    <w:p w14:paraId="1E89ED4B" w14:textId="77777777" w:rsidR="002A28CF" w:rsidRDefault="002A28CF" w:rsidP="002A28CF">
      <w:pPr>
        <w:rPr>
          <w:rFonts w:ascii="Times New Roman" w:hAnsi="Times New Roman" w:cs="Times New Roman"/>
        </w:rPr>
      </w:pPr>
    </w:p>
    <w:p w14:paraId="23BE78DC" w14:textId="77777777" w:rsidR="002A28CF" w:rsidRDefault="002A28CF" w:rsidP="002A28CF">
      <w:pPr>
        <w:rPr>
          <w:rFonts w:ascii="Times New Roman" w:hAnsi="Times New Roman" w:cs="Times New Roman"/>
        </w:rPr>
      </w:pPr>
    </w:p>
    <w:p w14:paraId="7E35B84D" w14:textId="77777777" w:rsidR="002A28CF" w:rsidRDefault="002A28CF" w:rsidP="002A28CF">
      <w:pPr>
        <w:rPr>
          <w:rFonts w:ascii="Times New Roman" w:hAnsi="Times New Roman" w:cs="Times New Roman"/>
        </w:rPr>
      </w:pPr>
    </w:p>
    <w:p w14:paraId="222E56B3" w14:textId="77777777" w:rsidR="002A28CF" w:rsidRDefault="002A28CF" w:rsidP="002A28CF">
      <w:pPr>
        <w:rPr>
          <w:rFonts w:ascii="Times New Roman" w:hAnsi="Times New Roman" w:cs="Times New Roman"/>
        </w:rPr>
      </w:pPr>
    </w:p>
    <w:p w14:paraId="0C9596A9" w14:textId="77777777" w:rsidR="002A28CF" w:rsidRDefault="002A28CF" w:rsidP="002A28CF">
      <w:pPr>
        <w:rPr>
          <w:rFonts w:ascii="Times New Roman" w:hAnsi="Times New Roman" w:cs="Times New Roman"/>
        </w:rPr>
      </w:pPr>
    </w:p>
    <w:p w14:paraId="56BA4034" w14:textId="77777777" w:rsidR="002A28CF" w:rsidRDefault="002A28CF" w:rsidP="002A28CF">
      <w:pPr>
        <w:rPr>
          <w:rFonts w:ascii="Times New Roman" w:hAnsi="Times New Roman" w:cs="Times New Roman"/>
        </w:rPr>
      </w:pPr>
    </w:p>
    <w:p w14:paraId="5ACA739F" w14:textId="77777777" w:rsidR="002A28CF" w:rsidRDefault="002A28CF" w:rsidP="002A28CF">
      <w:pPr>
        <w:rPr>
          <w:rFonts w:ascii="Times New Roman" w:hAnsi="Times New Roman" w:cs="Times New Roman"/>
        </w:rPr>
      </w:pPr>
    </w:p>
    <w:p w14:paraId="79BA5EAE" w14:textId="77777777" w:rsidR="002A28CF" w:rsidRDefault="002A28CF" w:rsidP="002A28CF">
      <w:pPr>
        <w:rPr>
          <w:rFonts w:ascii="Times New Roman" w:hAnsi="Times New Roman" w:cs="Times New Roman"/>
        </w:rPr>
      </w:pPr>
    </w:p>
    <w:p w14:paraId="0DF7D601" w14:textId="77777777" w:rsidR="002A28CF" w:rsidRDefault="002A28CF" w:rsidP="002A28CF">
      <w:pPr>
        <w:rPr>
          <w:rFonts w:ascii="Times New Roman" w:hAnsi="Times New Roman" w:cs="Times New Roman"/>
        </w:rPr>
      </w:pPr>
    </w:p>
    <w:p w14:paraId="73970E46" w14:textId="77777777" w:rsidR="002A28CF" w:rsidRDefault="002A28CF" w:rsidP="002A28CF">
      <w:pPr>
        <w:rPr>
          <w:rFonts w:ascii="Times New Roman" w:hAnsi="Times New Roman" w:cs="Times New Roman"/>
        </w:rPr>
      </w:pPr>
    </w:p>
    <w:p w14:paraId="2420AE28" w14:textId="77777777" w:rsidR="002A28CF" w:rsidRDefault="002A28CF" w:rsidP="002A28CF">
      <w:pPr>
        <w:rPr>
          <w:rFonts w:ascii="Times New Roman" w:hAnsi="Times New Roman" w:cs="Times New Roman"/>
        </w:rPr>
      </w:pPr>
    </w:p>
    <w:p w14:paraId="0C394EAA" w14:textId="77777777" w:rsidR="002A28CF" w:rsidRDefault="002A28CF" w:rsidP="002A28CF">
      <w:pPr>
        <w:rPr>
          <w:rFonts w:ascii="Times New Roman" w:hAnsi="Times New Roman" w:cs="Times New Roman"/>
        </w:rPr>
      </w:pPr>
    </w:p>
    <w:p w14:paraId="3A6D5B08" w14:textId="77777777" w:rsidR="002A28CF" w:rsidRDefault="002A28CF" w:rsidP="002A28CF">
      <w:pPr>
        <w:rPr>
          <w:rFonts w:ascii="Times New Roman" w:hAnsi="Times New Roman" w:cs="Times New Roman"/>
        </w:rPr>
      </w:pPr>
    </w:p>
    <w:p w14:paraId="55E1D2BF" w14:textId="77777777" w:rsidR="002A28CF" w:rsidRDefault="002A28CF" w:rsidP="002A28CF">
      <w:pPr>
        <w:rPr>
          <w:rFonts w:ascii="Times New Roman" w:hAnsi="Times New Roman" w:cs="Times New Roman"/>
        </w:rPr>
      </w:pPr>
    </w:p>
    <w:p w14:paraId="1A4BF40A" w14:textId="2C5078B1" w:rsidR="005259D4" w:rsidRDefault="005259D4" w:rsidP="005259D4">
      <w:pPr>
        <w:jc w:val="center"/>
        <w:rPr>
          <w:rFonts w:asciiTheme="majorHAnsi" w:hAnsiTheme="majorHAnsi" w:cs="Times New Roman"/>
          <w:b/>
          <w:bCs/>
          <w:sz w:val="32"/>
          <w:szCs w:val="32"/>
        </w:rPr>
      </w:pPr>
    </w:p>
    <w:p w14:paraId="660E8257" w14:textId="1947E39F" w:rsidR="00FA6846" w:rsidRPr="00FA6846" w:rsidRDefault="00FA6846" w:rsidP="00FA6846">
      <w:pPr>
        <w:pBdr>
          <w:bottom w:val="single" w:sz="4" w:space="1" w:color="auto"/>
        </w:pBdr>
        <w:rPr>
          <w:rFonts w:asciiTheme="majorHAnsi" w:hAnsiTheme="majorHAnsi" w:cs="Times New Roman"/>
          <w:b/>
          <w:bCs/>
          <w:sz w:val="24"/>
          <w:szCs w:val="24"/>
        </w:rPr>
      </w:pPr>
      <w:r w:rsidRPr="00FA6846">
        <w:rPr>
          <w:rFonts w:asciiTheme="majorHAnsi" w:hAnsiTheme="majorHAnsi" w:cs="Times New Roman"/>
          <w:b/>
          <w:bCs/>
          <w:sz w:val="24"/>
          <w:szCs w:val="24"/>
        </w:rPr>
        <w:lastRenderedPageBreak/>
        <w:t>3.8.1. Contents</w:t>
      </w:r>
    </w:p>
    <w:tbl>
      <w:tblPr>
        <w:tblStyle w:val="TableGrid"/>
        <w:tblW w:w="9634" w:type="dxa"/>
        <w:tblLook w:val="04A0" w:firstRow="1" w:lastRow="0" w:firstColumn="1" w:lastColumn="0" w:noHBand="0" w:noVBand="1"/>
      </w:tblPr>
      <w:tblGrid>
        <w:gridCol w:w="8217"/>
        <w:gridCol w:w="1417"/>
      </w:tblGrid>
      <w:tr w:rsidR="005259D4" w:rsidRPr="00580154" w14:paraId="7183A2F3" w14:textId="77777777" w:rsidTr="00A07FAF">
        <w:tc>
          <w:tcPr>
            <w:tcW w:w="9634" w:type="dxa"/>
            <w:gridSpan w:val="2"/>
            <w:shd w:val="clear" w:color="auto" w:fill="FAE2D5" w:themeFill="accent2" w:themeFillTint="33"/>
            <w:vAlign w:val="center"/>
          </w:tcPr>
          <w:p w14:paraId="5455900A" w14:textId="0E4864B2" w:rsidR="005259D4" w:rsidRPr="005259D4" w:rsidRDefault="005259D4" w:rsidP="005259D4">
            <w:pPr>
              <w:spacing w:before="60" w:after="60"/>
              <w:jc w:val="center"/>
              <w:rPr>
                <w:rFonts w:cstheme="minorHAnsi"/>
                <w:b/>
                <w:sz w:val="32"/>
                <w:szCs w:val="32"/>
              </w:rPr>
            </w:pPr>
            <w:r w:rsidRPr="005259D4">
              <w:rPr>
                <w:rFonts w:cstheme="minorHAnsi"/>
                <w:b/>
                <w:sz w:val="32"/>
                <w:szCs w:val="32"/>
              </w:rPr>
              <w:t>Table of contents</w:t>
            </w:r>
          </w:p>
        </w:tc>
      </w:tr>
      <w:tr w:rsidR="005259D4" w:rsidRPr="00580154" w14:paraId="16DBE612" w14:textId="77777777" w:rsidTr="00352525">
        <w:tc>
          <w:tcPr>
            <w:tcW w:w="8217" w:type="dxa"/>
            <w:vAlign w:val="center"/>
          </w:tcPr>
          <w:p w14:paraId="4E2BFB32" w14:textId="0A4BB6FE" w:rsidR="005259D4" w:rsidRPr="00580154" w:rsidRDefault="005259D4" w:rsidP="008D631D">
            <w:pPr>
              <w:spacing w:before="60" w:after="60"/>
              <w:rPr>
                <w:rFonts w:cstheme="minorHAnsi"/>
                <w:b/>
                <w:szCs w:val="22"/>
              </w:rPr>
            </w:pPr>
          </w:p>
        </w:tc>
        <w:tc>
          <w:tcPr>
            <w:tcW w:w="1417" w:type="dxa"/>
            <w:vAlign w:val="center"/>
          </w:tcPr>
          <w:p w14:paraId="085097CA" w14:textId="77777777" w:rsidR="005259D4" w:rsidRPr="00580154" w:rsidRDefault="005259D4" w:rsidP="008D631D">
            <w:pPr>
              <w:spacing w:before="60" w:after="60"/>
              <w:rPr>
                <w:rFonts w:cstheme="minorHAnsi"/>
                <w:b/>
                <w:szCs w:val="22"/>
              </w:rPr>
            </w:pPr>
            <w:r w:rsidRPr="00580154">
              <w:rPr>
                <w:rFonts w:cstheme="minorHAnsi"/>
                <w:b/>
                <w:szCs w:val="22"/>
              </w:rPr>
              <w:t>Page No.</w:t>
            </w:r>
          </w:p>
        </w:tc>
      </w:tr>
      <w:tr w:rsidR="005259D4" w:rsidRPr="00580154" w14:paraId="15C0602C" w14:textId="77777777" w:rsidTr="00352525">
        <w:tc>
          <w:tcPr>
            <w:tcW w:w="8217" w:type="dxa"/>
            <w:vAlign w:val="center"/>
          </w:tcPr>
          <w:p w14:paraId="0D15F12C" w14:textId="29E69280" w:rsidR="005259D4" w:rsidRPr="00580154" w:rsidRDefault="005259D4" w:rsidP="008D631D">
            <w:pPr>
              <w:spacing w:before="60" w:after="60"/>
              <w:rPr>
                <w:rFonts w:cstheme="minorHAnsi"/>
                <w:szCs w:val="22"/>
              </w:rPr>
            </w:pPr>
            <w:r>
              <w:rPr>
                <w:rFonts w:cstheme="minorHAnsi"/>
                <w:szCs w:val="22"/>
              </w:rPr>
              <w:t>TITLE PAGE</w:t>
            </w:r>
          </w:p>
        </w:tc>
        <w:tc>
          <w:tcPr>
            <w:tcW w:w="1417" w:type="dxa"/>
            <w:vAlign w:val="center"/>
          </w:tcPr>
          <w:p w14:paraId="1DD1D40B" w14:textId="772FCFE5" w:rsidR="005259D4" w:rsidRPr="00580154" w:rsidRDefault="00D03F05" w:rsidP="00D03F05">
            <w:pPr>
              <w:spacing w:before="60" w:after="60"/>
              <w:jc w:val="center"/>
              <w:rPr>
                <w:rFonts w:cstheme="minorHAnsi"/>
                <w:szCs w:val="22"/>
              </w:rPr>
            </w:pPr>
            <w:r>
              <w:rPr>
                <w:rFonts w:cstheme="minorHAnsi"/>
                <w:szCs w:val="22"/>
              </w:rPr>
              <w:t>1</w:t>
            </w:r>
          </w:p>
        </w:tc>
      </w:tr>
      <w:tr w:rsidR="005259D4" w14:paraId="396BDE44" w14:textId="77777777" w:rsidTr="00352525">
        <w:tc>
          <w:tcPr>
            <w:tcW w:w="8217" w:type="dxa"/>
            <w:vAlign w:val="center"/>
          </w:tcPr>
          <w:p w14:paraId="103637FA" w14:textId="313E18AC" w:rsidR="005259D4" w:rsidRPr="00580154" w:rsidRDefault="00625F2B" w:rsidP="008D631D">
            <w:pPr>
              <w:spacing w:before="60" w:after="60"/>
              <w:rPr>
                <w:rFonts w:cstheme="minorHAnsi"/>
                <w:szCs w:val="22"/>
              </w:rPr>
            </w:pPr>
            <w:r>
              <w:rPr>
                <w:rFonts w:cstheme="minorHAnsi"/>
                <w:szCs w:val="22"/>
              </w:rPr>
              <w:t xml:space="preserve">STUDY </w:t>
            </w:r>
            <w:r w:rsidR="005259D4">
              <w:rPr>
                <w:rFonts w:cstheme="minorHAnsi"/>
                <w:szCs w:val="22"/>
              </w:rPr>
              <w:t>SUMMARY PAGE</w:t>
            </w:r>
          </w:p>
        </w:tc>
        <w:tc>
          <w:tcPr>
            <w:tcW w:w="1417" w:type="dxa"/>
            <w:vAlign w:val="center"/>
          </w:tcPr>
          <w:p w14:paraId="0B0E29F2" w14:textId="00478A64" w:rsidR="005259D4" w:rsidRDefault="00D03F05" w:rsidP="00A07FAF">
            <w:pPr>
              <w:spacing w:before="60" w:after="60"/>
              <w:jc w:val="center"/>
              <w:rPr>
                <w:rFonts w:cstheme="minorHAnsi"/>
                <w:szCs w:val="22"/>
              </w:rPr>
            </w:pPr>
            <w:r>
              <w:rPr>
                <w:rFonts w:cstheme="minorHAnsi"/>
                <w:szCs w:val="22"/>
              </w:rPr>
              <w:t>4</w:t>
            </w:r>
          </w:p>
        </w:tc>
      </w:tr>
      <w:tr w:rsidR="005259D4" w14:paraId="62567EC5" w14:textId="77777777" w:rsidTr="00352525">
        <w:tc>
          <w:tcPr>
            <w:tcW w:w="8217" w:type="dxa"/>
            <w:vAlign w:val="center"/>
          </w:tcPr>
          <w:p w14:paraId="7A3A96C3" w14:textId="77777777" w:rsidR="005259D4" w:rsidRDefault="005259D4" w:rsidP="008D631D">
            <w:pPr>
              <w:spacing w:before="60" w:after="60"/>
              <w:rPr>
                <w:rFonts w:cstheme="minorHAnsi"/>
                <w:szCs w:val="22"/>
              </w:rPr>
            </w:pPr>
            <w:r>
              <w:rPr>
                <w:rFonts w:cstheme="minorHAnsi"/>
                <w:szCs w:val="22"/>
              </w:rPr>
              <w:t>STUDY SUPERVISORS</w:t>
            </w:r>
          </w:p>
        </w:tc>
        <w:tc>
          <w:tcPr>
            <w:tcW w:w="1417" w:type="dxa"/>
            <w:vAlign w:val="center"/>
          </w:tcPr>
          <w:p w14:paraId="34B6C2A8" w14:textId="5394DE17" w:rsidR="005259D4" w:rsidRDefault="00D03F05" w:rsidP="00A07FAF">
            <w:pPr>
              <w:spacing w:before="60" w:after="60"/>
              <w:jc w:val="center"/>
              <w:rPr>
                <w:rFonts w:cstheme="minorHAnsi"/>
                <w:szCs w:val="22"/>
              </w:rPr>
            </w:pPr>
            <w:r>
              <w:rPr>
                <w:rFonts w:cstheme="minorHAnsi"/>
                <w:szCs w:val="22"/>
              </w:rPr>
              <w:t>5</w:t>
            </w:r>
          </w:p>
        </w:tc>
      </w:tr>
      <w:tr w:rsidR="00625F2B" w:rsidRPr="00580154" w14:paraId="26003248" w14:textId="77777777" w:rsidTr="00352525">
        <w:tc>
          <w:tcPr>
            <w:tcW w:w="8217" w:type="dxa"/>
            <w:vAlign w:val="center"/>
          </w:tcPr>
          <w:p w14:paraId="2B4A404E" w14:textId="717308D2" w:rsidR="00625F2B" w:rsidRPr="00580154" w:rsidRDefault="00625F2B" w:rsidP="008D631D">
            <w:pPr>
              <w:spacing w:before="60" w:after="60"/>
              <w:rPr>
                <w:rFonts w:cstheme="minorHAnsi"/>
                <w:szCs w:val="22"/>
              </w:rPr>
            </w:pPr>
            <w:r>
              <w:rPr>
                <w:rFonts w:cstheme="minorHAnsi"/>
                <w:szCs w:val="22"/>
              </w:rPr>
              <w:t>ABSTRACT</w:t>
            </w:r>
          </w:p>
        </w:tc>
        <w:tc>
          <w:tcPr>
            <w:tcW w:w="1417" w:type="dxa"/>
            <w:vAlign w:val="center"/>
          </w:tcPr>
          <w:p w14:paraId="5A91CA06" w14:textId="3884950C" w:rsidR="00625F2B" w:rsidRPr="00580154" w:rsidRDefault="00D03F05" w:rsidP="00A07FAF">
            <w:pPr>
              <w:spacing w:before="60" w:after="60"/>
              <w:jc w:val="center"/>
              <w:rPr>
                <w:rFonts w:cstheme="minorHAnsi"/>
                <w:szCs w:val="22"/>
              </w:rPr>
            </w:pPr>
            <w:r>
              <w:rPr>
                <w:rFonts w:cstheme="minorHAnsi"/>
                <w:szCs w:val="22"/>
              </w:rPr>
              <w:t>6</w:t>
            </w:r>
            <w:r w:rsidR="00A07FAF">
              <w:rPr>
                <w:rFonts w:cstheme="minorHAnsi"/>
                <w:szCs w:val="22"/>
              </w:rPr>
              <w:t>, 7</w:t>
            </w:r>
          </w:p>
        </w:tc>
      </w:tr>
      <w:tr w:rsidR="00625F2B" w14:paraId="4090C9D9" w14:textId="77777777" w:rsidTr="00352525">
        <w:tc>
          <w:tcPr>
            <w:tcW w:w="8217" w:type="dxa"/>
            <w:vAlign w:val="center"/>
          </w:tcPr>
          <w:p w14:paraId="7095AF6C" w14:textId="6330BDFD" w:rsidR="00625F2B" w:rsidRDefault="00A07FAF" w:rsidP="008D631D">
            <w:pPr>
              <w:spacing w:before="60" w:after="60"/>
              <w:rPr>
                <w:rFonts w:cstheme="minorHAnsi"/>
                <w:szCs w:val="22"/>
              </w:rPr>
            </w:pPr>
            <w:r w:rsidRPr="00580154">
              <w:rPr>
                <w:rFonts w:cstheme="minorHAnsi"/>
                <w:szCs w:val="22"/>
              </w:rPr>
              <w:t>ROLE OF SPONSOR AND FUNDER</w:t>
            </w:r>
          </w:p>
        </w:tc>
        <w:tc>
          <w:tcPr>
            <w:tcW w:w="1417" w:type="dxa"/>
            <w:vAlign w:val="center"/>
          </w:tcPr>
          <w:p w14:paraId="3977B613" w14:textId="4DE363A0" w:rsidR="00625F2B" w:rsidRDefault="00A07FAF" w:rsidP="00A07FAF">
            <w:pPr>
              <w:spacing w:before="60" w:after="60"/>
              <w:jc w:val="center"/>
              <w:rPr>
                <w:rFonts w:cstheme="minorHAnsi"/>
                <w:szCs w:val="22"/>
              </w:rPr>
            </w:pPr>
            <w:r>
              <w:rPr>
                <w:rFonts w:cstheme="minorHAnsi"/>
                <w:szCs w:val="22"/>
              </w:rPr>
              <w:t>8</w:t>
            </w:r>
          </w:p>
        </w:tc>
      </w:tr>
      <w:tr w:rsidR="00625F2B" w14:paraId="70B08D85" w14:textId="77777777" w:rsidTr="00352525">
        <w:tc>
          <w:tcPr>
            <w:tcW w:w="8217" w:type="dxa"/>
            <w:vAlign w:val="center"/>
          </w:tcPr>
          <w:p w14:paraId="419C27E8" w14:textId="54A43E59" w:rsidR="00625F2B" w:rsidRDefault="00A07FAF" w:rsidP="008D631D">
            <w:pPr>
              <w:spacing w:before="60" w:after="60"/>
              <w:rPr>
                <w:rFonts w:cstheme="minorHAnsi"/>
              </w:rPr>
            </w:pPr>
            <w:r>
              <w:rPr>
                <w:rFonts w:cstheme="minorHAnsi"/>
                <w:szCs w:val="22"/>
              </w:rPr>
              <w:t>KEYWORDS</w:t>
            </w:r>
          </w:p>
        </w:tc>
        <w:tc>
          <w:tcPr>
            <w:tcW w:w="1417" w:type="dxa"/>
            <w:vAlign w:val="center"/>
          </w:tcPr>
          <w:p w14:paraId="1EB3BEEF" w14:textId="2771D71B" w:rsidR="00625F2B" w:rsidRDefault="00A07FAF" w:rsidP="00A07FAF">
            <w:pPr>
              <w:spacing w:before="60" w:after="60"/>
              <w:jc w:val="center"/>
              <w:rPr>
                <w:rFonts w:cstheme="minorHAnsi"/>
              </w:rPr>
            </w:pPr>
            <w:r>
              <w:rPr>
                <w:rFonts w:cstheme="minorHAnsi"/>
              </w:rPr>
              <w:t>9</w:t>
            </w:r>
          </w:p>
        </w:tc>
      </w:tr>
      <w:tr w:rsidR="00625F2B" w14:paraId="0142ECA9" w14:textId="77777777" w:rsidTr="00352525">
        <w:tc>
          <w:tcPr>
            <w:tcW w:w="8217" w:type="dxa"/>
            <w:vAlign w:val="center"/>
          </w:tcPr>
          <w:p w14:paraId="0D9C6699" w14:textId="7B397292" w:rsidR="00625F2B" w:rsidRDefault="00625F2B" w:rsidP="008D631D">
            <w:pPr>
              <w:spacing w:before="60" w:after="60"/>
              <w:rPr>
                <w:rFonts w:cstheme="minorHAnsi"/>
                <w:szCs w:val="22"/>
              </w:rPr>
            </w:pPr>
            <w:r>
              <w:rPr>
                <w:rFonts w:cstheme="minorHAnsi"/>
              </w:rPr>
              <w:t>TABLES</w:t>
            </w:r>
          </w:p>
        </w:tc>
        <w:tc>
          <w:tcPr>
            <w:tcW w:w="1417" w:type="dxa"/>
            <w:vAlign w:val="center"/>
          </w:tcPr>
          <w:p w14:paraId="4418AA1D" w14:textId="34E0C02A" w:rsidR="00625F2B" w:rsidRDefault="00A07FAF" w:rsidP="00A07FAF">
            <w:pPr>
              <w:spacing w:before="60" w:after="60"/>
              <w:jc w:val="center"/>
              <w:rPr>
                <w:rFonts w:cstheme="minorHAnsi"/>
                <w:szCs w:val="22"/>
              </w:rPr>
            </w:pPr>
            <w:r>
              <w:rPr>
                <w:rFonts w:cstheme="minorHAnsi"/>
                <w:szCs w:val="22"/>
              </w:rPr>
              <w:t>10, 11</w:t>
            </w:r>
          </w:p>
        </w:tc>
      </w:tr>
      <w:tr w:rsidR="00625F2B" w14:paraId="39EDC5E9" w14:textId="77777777" w:rsidTr="00352525">
        <w:tc>
          <w:tcPr>
            <w:tcW w:w="8217" w:type="dxa"/>
            <w:vAlign w:val="center"/>
          </w:tcPr>
          <w:p w14:paraId="4206B3CB" w14:textId="5B32DDDB" w:rsidR="00625F2B" w:rsidRPr="00580154" w:rsidRDefault="00625F2B" w:rsidP="008D631D">
            <w:pPr>
              <w:spacing w:before="60" w:after="60"/>
              <w:rPr>
                <w:rFonts w:cstheme="minorHAnsi"/>
              </w:rPr>
            </w:pPr>
            <w:r>
              <w:rPr>
                <w:rFonts w:cstheme="minorHAnsi"/>
              </w:rPr>
              <w:t>FIGURES</w:t>
            </w:r>
          </w:p>
        </w:tc>
        <w:tc>
          <w:tcPr>
            <w:tcW w:w="1417" w:type="dxa"/>
            <w:vAlign w:val="center"/>
          </w:tcPr>
          <w:p w14:paraId="162C3B5B" w14:textId="2C99E41A" w:rsidR="00625F2B" w:rsidRDefault="00A07FAF" w:rsidP="00A07FAF">
            <w:pPr>
              <w:spacing w:before="60" w:after="60"/>
              <w:jc w:val="center"/>
              <w:rPr>
                <w:rFonts w:cstheme="minorHAnsi"/>
              </w:rPr>
            </w:pPr>
            <w:r>
              <w:rPr>
                <w:rFonts w:cstheme="minorHAnsi"/>
              </w:rPr>
              <w:t>11</w:t>
            </w:r>
          </w:p>
        </w:tc>
      </w:tr>
      <w:tr w:rsidR="00A07FAF" w14:paraId="6E369326" w14:textId="77777777" w:rsidTr="00A07FAF">
        <w:tc>
          <w:tcPr>
            <w:tcW w:w="9634" w:type="dxa"/>
            <w:gridSpan w:val="2"/>
            <w:shd w:val="clear" w:color="auto" w:fill="FAE2D5" w:themeFill="accent2" w:themeFillTint="33"/>
            <w:vAlign w:val="center"/>
          </w:tcPr>
          <w:p w14:paraId="04B6A723" w14:textId="7A906464" w:rsidR="00A07FAF" w:rsidRDefault="00A07FAF" w:rsidP="008D631D">
            <w:pPr>
              <w:spacing w:before="60" w:after="60"/>
              <w:rPr>
                <w:rFonts w:cstheme="minorHAnsi"/>
              </w:rPr>
            </w:pPr>
            <w:r w:rsidRPr="00C74B98">
              <w:rPr>
                <w:rFonts w:cstheme="minorHAnsi"/>
                <w:b/>
                <w:bCs/>
                <w:szCs w:val="22"/>
              </w:rPr>
              <w:t>PROTOCOL</w:t>
            </w:r>
          </w:p>
        </w:tc>
      </w:tr>
      <w:tr w:rsidR="00352525" w14:paraId="42D2C821" w14:textId="25D02B24" w:rsidTr="00B31965">
        <w:tc>
          <w:tcPr>
            <w:tcW w:w="9634" w:type="dxa"/>
            <w:gridSpan w:val="2"/>
            <w:shd w:val="clear" w:color="auto" w:fill="FFFFFF" w:themeFill="background1"/>
          </w:tcPr>
          <w:p w14:paraId="171CB184" w14:textId="2CBCA9CE" w:rsidR="00352525" w:rsidRPr="00B31965" w:rsidRDefault="00352525" w:rsidP="00B31965">
            <w:pPr>
              <w:pStyle w:val="ListParagraph"/>
              <w:numPr>
                <w:ilvl w:val="0"/>
                <w:numId w:val="8"/>
              </w:numPr>
              <w:spacing w:before="60" w:after="60"/>
              <w:rPr>
                <w:rFonts w:cstheme="minorHAnsi"/>
                <w:b/>
                <w:bCs/>
                <w:szCs w:val="22"/>
              </w:rPr>
            </w:pPr>
            <w:r w:rsidRPr="00B31965">
              <w:rPr>
                <w:rFonts w:cstheme="minorHAnsi"/>
                <w:b/>
                <w:bCs/>
              </w:rPr>
              <w:t xml:space="preserve">INTRODUCTION </w:t>
            </w:r>
          </w:p>
        </w:tc>
      </w:tr>
      <w:tr w:rsidR="00625F2B" w14:paraId="7E8C5AAE" w14:textId="77777777" w:rsidTr="00352525">
        <w:tc>
          <w:tcPr>
            <w:tcW w:w="8217" w:type="dxa"/>
          </w:tcPr>
          <w:p w14:paraId="51597035" w14:textId="0E77B913" w:rsidR="00625F2B" w:rsidRPr="00B31965" w:rsidRDefault="00842E78" w:rsidP="00B31965">
            <w:pPr>
              <w:spacing w:before="60" w:after="60"/>
              <w:ind w:left="720"/>
              <w:rPr>
                <w:rFonts w:cstheme="minorHAnsi"/>
              </w:rPr>
            </w:pPr>
            <w:r w:rsidRPr="00B31965">
              <w:rPr>
                <w:rFonts w:cstheme="minorHAnsi"/>
              </w:rPr>
              <w:t xml:space="preserve">1.1.      </w:t>
            </w:r>
            <w:r w:rsidR="00625F2B" w:rsidRPr="00B31965">
              <w:rPr>
                <w:rFonts w:cstheme="minorHAnsi"/>
              </w:rPr>
              <w:t>The current unmet need in heart failure</w:t>
            </w:r>
          </w:p>
        </w:tc>
        <w:tc>
          <w:tcPr>
            <w:tcW w:w="1417" w:type="dxa"/>
          </w:tcPr>
          <w:p w14:paraId="6F327A57" w14:textId="6E470D3B" w:rsidR="00B31965" w:rsidRDefault="00B31965" w:rsidP="008D631D">
            <w:pPr>
              <w:spacing w:before="60" w:after="60"/>
              <w:rPr>
                <w:rFonts w:cstheme="minorHAnsi"/>
                <w:szCs w:val="22"/>
              </w:rPr>
            </w:pPr>
            <w:r>
              <w:rPr>
                <w:rFonts w:cstheme="minorHAnsi"/>
                <w:szCs w:val="22"/>
              </w:rPr>
              <w:t>13</w:t>
            </w:r>
          </w:p>
        </w:tc>
      </w:tr>
      <w:tr w:rsidR="00625F2B" w14:paraId="24CBEB79" w14:textId="77777777" w:rsidTr="00352525">
        <w:tc>
          <w:tcPr>
            <w:tcW w:w="8217" w:type="dxa"/>
          </w:tcPr>
          <w:p w14:paraId="697FC7CF" w14:textId="268E1254" w:rsidR="00625F2B" w:rsidRPr="00842E78" w:rsidRDefault="00842E78" w:rsidP="00842E78">
            <w:pPr>
              <w:pStyle w:val="ListParagraph"/>
              <w:numPr>
                <w:ilvl w:val="1"/>
                <w:numId w:val="3"/>
              </w:numPr>
              <w:spacing w:before="60" w:after="60"/>
              <w:rPr>
                <w:rFonts w:cstheme="minorHAnsi"/>
              </w:rPr>
            </w:pPr>
            <w:r>
              <w:rPr>
                <w:rFonts w:cstheme="minorHAnsi"/>
              </w:rPr>
              <w:t xml:space="preserve"> </w:t>
            </w:r>
            <w:r w:rsidR="00625F2B" w:rsidRPr="00842E78">
              <w:rPr>
                <w:rFonts w:cstheme="minorHAnsi"/>
              </w:rPr>
              <w:t>Advent of SGLT2 inhibition</w:t>
            </w:r>
          </w:p>
        </w:tc>
        <w:tc>
          <w:tcPr>
            <w:tcW w:w="1417" w:type="dxa"/>
          </w:tcPr>
          <w:p w14:paraId="6621411D" w14:textId="6B6F4568" w:rsidR="00625F2B" w:rsidRDefault="00B31965" w:rsidP="008D631D">
            <w:pPr>
              <w:spacing w:before="60" w:after="60"/>
              <w:rPr>
                <w:rFonts w:cstheme="minorHAnsi"/>
                <w:szCs w:val="22"/>
              </w:rPr>
            </w:pPr>
            <w:r>
              <w:rPr>
                <w:rFonts w:cstheme="minorHAnsi"/>
                <w:szCs w:val="22"/>
              </w:rPr>
              <w:t>13</w:t>
            </w:r>
          </w:p>
        </w:tc>
      </w:tr>
      <w:tr w:rsidR="00625F2B" w14:paraId="0914C484" w14:textId="77777777" w:rsidTr="00352525">
        <w:tc>
          <w:tcPr>
            <w:tcW w:w="8217" w:type="dxa"/>
          </w:tcPr>
          <w:p w14:paraId="3E15570D" w14:textId="3366BEC1" w:rsidR="00625F2B" w:rsidRPr="00C74B98" w:rsidRDefault="00625F2B" w:rsidP="00842E78">
            <w:pPr>
              <w:pStyle w:val="ListParagraph"/>
              <w:numPr>
                <w:ilvl w:val="1"/>
                <w:numId w:val="3"/>
              </w:numPr>
              <w:spacing w:before="60" w:after="60"/>
              <w:rPr>
                <w:rFonts w:cstheme="minorHAnsi"/>
              </w:rPr>
            </w:pPr>
            <w:r>
              <w:rPr>
                <w:rFonts w:cstheme="minorHAnsi"/>
              </w:rPr>
              <w:t>Current proposed mechanisms</w:t>
            </w:r>
          </w:p>
        </w:tc>
        <w:tc>
          <w:tcPr>
            <w:tcW w:w="1417" w:type="dxa"/>
          </w:tcPr>
          <w:p w14:paraId="53B95C3F" w14:textId="5940AB20" w:rsidR="00625F2B" w:rsidRDefault="00B31965" w:rsidP="008D631D">
            <w:pPr>
              <w:spacing w:before="60" w:after="60"/>
              <w:rPr>
                <w:rFonts w:cstheme="minorHAnsi"/>
                <w:szCs w:val="22"/>
              </w:rPr>
            </w:pPr>
            <w:r>
              <w:rPr>
                <w:rFonts w:cstheme="minorHAnsi"/>
                <w:szCs w:val="22"/>
              </w:rPr>
              <w:t>13, 14</w:t>
            </w:r>
          </w:p>
        </w:tc>
      </w:tr>
      <w:tr w:rsidR="00625F2B" w14:paraId="647DC29D" w14:textId="77777777" w:rsidTr="00352525">
        <w:tc>
          <w:tcPr>
            <w:tcW w:w="8217" w:type="dxa"/>
          </w:tcPr>
          <w:p w14:paraId="7CC3B771" w14:textId="238A6CF4" w:rsidR="00625F2B" w:rsidRPr="00C74B98" w:rsidRDefault="00625F2B" w:rsidP="00842E78">
            <w:pPr>
              <w:pStyle w:val="ListParagraph"/>
              <w:numPr>
                <w:ilvl w:val="1"/>
                <w:numId w:val="3"/>
              </w:numPr>
              <w:spacing w:before="60" w:after="60"/>
              <w:rPr>
                <w:rFonts w:cstheme="minorHAnsi"/>
              </w:rPr>
            </w:pPr>
            <w:r>
              <w:rPr>
                <w:rFonts w:cstheme="minorHAnsi"/>
              </w:rPr>
              <w:t>SGLT2 inhibition and cardiac biomarkers</w:t>
            </w:r>
          </w:p>
        </w:tc>
        <w:tc>
          <w:tcPr>
            <w:tcW w:w="1417" w:type="dxa"/>
          </w:tcPr>
          <w:p w14:paraId="7B6172CB" w14:textId="3BCF93C3" w:rsidR="00625F2B" w:rsidRDefault="00B31965" w:rsidP="008D631D">
            <w:pPr>
              <w:spacing w:before="60" w:after="60"/>
              <w:rPr>
                <w:rFonts w:cstheme="minorHAnsi"/>
                <w:szCs w:val="22"/>
              </w:rPr>
            </w:pPr>
            <w:r>
              <w:rPr>
                <w:rFonts w:cstheme="minorHAnsi"/>
                <w:szCs w:val="22"/>
              </w:rPr>
              <w:t>14, 15</w:t>
            </w:r>
          </w:p>
        </w:tc>
      </w:tr>
      <w:tr w:rsidR="00B31965" w14:paraId="726ED6EC" w14:textId="77777777" w:rsidTr="00B31965">
        <w:tc>
          <w:tcPr>
            <w:tcW w:w="9634" w:type="dxa"/>
            <w:gridSpan w:val="2"/>
            <w:shd w:val="clear" w:color="auto" w:fill="FFFFFF" w:themeFill="background1"/>
          </w:tcPr>
          <w:p w14:paraId="5FEF17BF" w14:textId="0B0A6822" w:rsidR="00B31965" w:rsidRPr="00B31965" w:rsidRDefault="00B31965" w:rsidP="008D631D">
            <w:pPr>
              <w:spacing w:before="60" w:after="60"/>
              <w:rPr>
                <w:rFonts w:cstheme="minorHAnsi"/>
                <w:b/>
                <w:bCs/>
                <w:szCs w:val="22"/>
              </w:rPr>
            </w:pPr>
            <w:r w:rsidRPr="00B31965">
              <w:rPr>
                <w:rFonts w:cstheme="minorHAnsi"/>
                <w:b/>
                <w:bCs/>
                <w:szCs w:val="22"/>
              </w:rPr>
              <w:t>2.0.</w:t>
            </w:r>
            <w:r w:rsidRPr="00B31965">
              <w:rPr>
                <w:rFonts w:cstheme="minorHAnsi"/>
                <w:b/>
                <w:bCs/>
              </w:rPr>
              <w:t xml:space="preserve">       TRIAL DESIGN &amp; METHODS</w:t>
            </w:r>
          </w:p>
        </w:tc>
      </w:tr>
      <w:tr w:rsidR="00625F2B" w14:paraId="42B3B7C6" w14:textId="77777777" w:rsidTr="00352525">
        <w:tc>
          <w:tcPr>
            <w:tcW w:w="8217" w:type="dxa"/>
          </w:tcPr>
          <w:p w14:paraId="21380217" w14:textId="081E72FA" w:rsidR="00625F2B" w:rsidRDefault="00625F2B" w:rsidP="00C25881">
            <w:pPr>
              <w:spacing w:before="60" w:after="60"/>
              <w:ind w:left="720"/>
              <w:rPr>
                <w:rFonts w:cstheme="minorHAnsi"/>
                <w:szCs w:val="22"/>
              </w:rPr>
            </w:pPr>
            <w:r>
              <w:rPr>
                <w:rFonts w:cstheme="minorHAnsi"/>
                <w:szCs w:val="22"/>
              </w:rPr>
              <w:t xml:space="preserve">2.1. </w:t>
            </w:r>
            <w:r w:rsidR="00C25881">
              <w:rPr>
                <w:rFonts w:cstheme="minorHAnsi"/>
                <w:szCs w:val="22"/>
              </w:rPr>
              <w:t xml:space="preserve">      </w:t>
            </w:r>
            <w:r>
              <w:rPr>
                <w:rFonts w:cstheme="minorHAnsi"/>
                <w:szCs w:val="22"/>
              </w:rPr>
              <w:t>Design</w:t>
            </w:r>
          </w:p>
        </w:tc>
        <w:tc>
          <w:tcPr>
            <w:tcW w:w="1417" w:type="dxa"/>
          </w:tcPr>
          <w:p w14:paraId="7CB4E4A0" w14:textId="683B0A60" w:rsidR="00625F2B" w:rsidRDefault="00B31965" w:rsidP="008D631D">
            <w:pPr>
              <w:spacing w:before="60" w:after="60"/>
              <w:rPr>
                <w:rFonts w:cstheme="minorHAnsi"/>
                <w:szCs w:val="22"/>
              </w:rPr>
            </w:pPr>
            <w:r>
              <w:rPr>
                <w:rFonts w:cstheme="minorHAnsi"/>
                <w:szCs w:val="22"/>
              </w:rPr>
              <w:t>15</w:t>
            </w:r>
          </w:p>
        </w:tc>
      </w:tr>
      <w:tr w:rsidR="00625F2B" w14:paraId="17F069FE" w14:textId="77777777" w:rsidTr="00352525">
        <w:tc>
          <w:tcPr>
            <w:tcW w:w="8217" w:type="dxa"/>
          </w:tcPr>
          <w:p w14:paraId="039E0545" w14:textId="5042FAE0" w:rsidR="00625F2B" w:rsidRDefault="00625F2B" w:rsidP="00C74B98">
            <w:pPr>
              <w:spacing w:before="60" w:after="60"/>
              <w:ind w:left="720"/>
              <w:rPr>
                <w:rFonts w:cstheme="minorHAnsi"/>
                <w:szCs w:val="22"/>
              </w:rPr>
            </w:pPr>
            <w:r>
              <w:rPr>
                <w:rFonts w:cstheme="minorHAnsi"/>
                <w:szCs w:val="22"/>
              </w:rPr>
              <w:t xml:space="preserve">2.2. </w:t>
            </w:r>
            <w:r w:rsidR="00C25881">
              <w:rPr>
                <w:rFonts w:cstheme="minorHAnsi"/>
                <w:szCs w:val="22"/>
              </w:rPr>
              <w:t xml:space="preserve">      </w:t>
            </w:r>
            <w:r>
              <w:rPr>
                <w:rFonts w:cstheme="minorHAnsi"/>
                <w:szCs w:val="22"/>
              </w:rPr>
              <w:t>Funding</w:t>
            </w:r>
          </w:p>
        </w:tc>
        <w:tc>
          <w:tcPr>
            <w:tcW w:w="1417" w:type="dxa"/>
          </w:tcPr>
          <w:p w14:paraId="603CCF7A" w14:textId="63CE4BD6" w:rsidR="00625F2B" w:rsidRDefault="00B31965" w:rsidP="008D631D">
            <w:pPr>
              <w:spacing w:before="60" w:after="60"/>
              <w:rPr>
                <w:rFonts w:cstheme="minorHAnsi"/>
                <w:szCs w:val="22"/>
              </w:rPr>
            </w:pPr>
            <w:r>
              <w:rPr>
                <w:rFonts w:cstheme="minorHAnsi"/>
                <w:szCs w:val="22"/>
              </w:rPr>
              <w:t>15</w:t>
            </w:r>
          </w:p>
        </w:tc>
      </w:tr>
      <w:tr w:rsidR="00625F2B" w14:paraId="421105D8" w14:textId="77777777" w:rsidTr="00352525">
        <w:tc>
          <w:tcPr>
            <w:tcW w:w="8217" w:type="dxa"/>
          </w:tcPr>
          <w:p w14:paraId="7D1EF39C" w14:textId="05F51E54" w:rsidR="00625F2B" w:rsidRDefault="00625F2B" w:rsidP="00C74B98">
            <w:pPr>
              <w:spacing w:before="60" w:after="60"/>
              <w:ind w:left="720"/>
              <w:rPr>
                <w:rFonts w:cstheme="minorHAnsi"/>
                <w:szCs w:val="22"/>
              </w:rPr>
            </w:pPr>
            <w:r>
              <w:rPr>
                <w:rFonts w:cstheme="minorHAnsi"/>
                <w:szCs w:val="22"/>
              </w:rPr>
              <w:t xml:space="preserve">2.3. </w:t>
            </w:r>
            <w:r w:rsidR="00C25881">
              <w:rPr>
                <w:rFonts w:cstheme="minorHAnsi"/>
                <w:szCs w:val="22"/>
              </w:rPr>
              <w:t xml:space="preserve">      </w:t>
            </w:r>
            <w:r>
              <w:rPr>
                <w:rFonts w:cstheme="minorHAnsi"/>
                <w:szCs w:val="22"/>
              </w:rPr>
              <w:t>Patient eligibility and enrolment</w:t>
            </w:r>
          </w:p>
        </w:tc>
        <w:tc>
          <w:tcPr>
            <w:tcW w:w="1417" w:type="dxa"/>
          </w:tcPr>
          <w:p w14:paraId="2774ACAC" w14:textId="1C7CE8F7" w:rsidR="00625F2B" w:rsidRDefault="00B31965" w:rsidP="008D631D">
            <w:pPr>
              <w:spacing w:before="60" w:after="60"/>
              <w:rPr>
                <w:rFonts w:cstheme="minorHAnsi"/>
                <w:szCs w:val="22"/>
              </w:rPr>
            </w:pPr>
            <w:r>
              <w:rPr>
                <w:rFonts w:cstheme="minorHAnsi"/>
                <w:szCs w:val="22"/>
              </w:rPr>
              <w:t>15, 16</w:t>
            </w:r>
          </w:p>
        </w:tc>
      </w:tr>
      <w:tr w:rsidR="00625F2B" w14:paraId="5D9EA464" w14:textId="77777777" w:rsidTr="00352525">
        <w:tc>
          <w:tcPr>
            <w:tcW w:w="8217" w:type="dxa"/>
          </w:tcPr>
          <w:p w14:paraId="221A14A0" w14:textId="75C6C5E4" w:rsidR="00625F2B" w:rsidRDefault="00625F2B" w:rsidP="00C74B98">
            <w:pPr>
              <w:spacing w:before="60" w:after="60"/>
              <w:ind w:left="720"/>
              <w:rPr>
                <w:rFonts w:cstheme="minorHAnsi"/>
                <w:szCs w:val="22"/>
              </w:rPr>
            </w:pPr>
            <w:r>
              <w:rPr>
                <w:rFonts w:cstheme="minorHAnsi"/>
                <w:szCs w:val="22"/>
              </w:rPr>
              <w:t xml:space="preserve">2.4. </w:t>
            </w:r>
            <w:r w:rsidR="00C25881">
              <w:rPr>
                <w:rFonts w:cstheme="minorHAnsi"/>
                <w:szCs w:val="22"/>
              </w:rPr>
              <w:t xml:space="preserve">      </w:t>
            </w:r>
            <w:r>
              <w:rPr>
                <w:rFonts w:cstheme="minorHAnsi"/>
                <w:szCs w:val="22"/>
              </w:rPr>
              <w:t>Enrolment and follow-up</w:t>
            </w:r>
          </w:p>
        </w:tc>
        <w:tc>
          <w:tcPr>
            <w:tcW w:w="1417" w:type="dxa"/>
          </w:tcPr>
          <w:p w14:paraId="5D95F9D7" w14:textId="0AB3E569" w:rsidR="00625F2B" w:rsidRDefault="00B31965" w:rsidP="008D631D">
            <w:pPr>
              <w:spacing w:before="60" w:after="60"/>
              <w:rPr>
                <w:rFonts w:cstheme="minorHAnsi"/>
                <w:szCs w:val="22"/>
              </w:rPr>
            </w:pPr>
            <w:r>
              <w:rPr>
                <w:rFonts w:cstheme="minorHAnsi"/>
                <w:szCs w:val="22"/>
              </w:rPr>
              <w:t>16</w:t>
            </w:r>
          </w:p>
        </w:tc>
      </w:tr>
      <w:tr w:rsidR="00625F2B" w14:paraId="25500E04" w14:textId="77777777" w:rsidTr="00352525">
        <w:tc>
          <w:tcPr>
            <w:tcW w:w="8217" w:type="dxa"/>
          </w:tcPr>
          <w:p w14:paraId="2A1570C3" w14:textId="5B331164" w:rsidR="00625F2B" w:rsidRDefault="00625F2B" w:rsidP="00C74B98">
            <w:pPr>
              <w:spacing w:before="60" w:after="60"/>
              <w:ind w:left="720"/>
              <w:rPr>
                <w:rFonts w:cstheme="minorHAnsi"/>
                <w:szCs w:val="22"/>
              </w:rPr>
            </w:pPr>
            <w:r>
              <w:rPr>
                <w:rFonts w:cstheme="minorHAnsi"/>
                <w:szCs w:val="22"/>
              </w:rPr>
              <w:t xml:space="preserve">2.5. </w:t>
            </w:r>
            <w:r w:rsidR="00C25881">
              <w:rPr>
                <w:rFonts w:cstheme="minorHAnsi"/>
                <w:szCs w:val="22"/>
              </w:rPr>
              <w:t xml:space="preserve">      </w:t>
            </w:r>
            <w:r>
              <w:rPr>
                <w:rFonts w:cstheme="minorHAnsi"/>
                <w:szCs w:val="22"/>
              </w:rPr>
              <w:t>Study outcomes</w:t>
            </w:r>
          </w:p>
        </w:tc>
        <w:tc>
          <w:tcPr>
            <w:tcW w:w="1417" w:type="dxa"/>
          </w:tcPr>
          <w:p w14:paraId="1393B9EA" w14:textId="427EA030" w:rsidR="00625F2B" w:rsidRDefault="00B31965" w:rsidP="008D631D">
            <w:pPr>
              <w:spacing w:before="60" w:after="60"/>
              <w:rPr>
                <w:rFonts w:cstheme="minorHAnsi"/>
                <w:szCs w:val="22"/>
              </w:rPr>
            </w:pPr>
            <w:r>
              <w:rPr>
                <w:rFonts w:cstheme="minorHAnsi"/>
                <w:szCs w:val="22"/>
              </w:rPr>
              <w:t>16</w:t>
            </w:r>
          </w:p>
        </w:tc>
      </w:tr>
      <w:tr w:rsidR="00625F2B" w14:paraId="0487D295" w14:textId="77777777" w:rsidTr="00352525">
        <w:tc>
          <w:tcPr>
            <w:tcW w:w="8217" w:type="dxa"/>
          </w:tcPr>
          <w:p w14:paraId="0B367849" w14:textId="6909627A" w:rsidR="00625F2B" w:rsidRDefault="00625F2B" w:rsidP="00C74B98">
            <w:pPr>
              <w:spacing w:before="60" w:after="60"/>
              <w:ind w:left="720"/>
              <w:rPr>
                <w:rFonts w:cstheme="minorHAnsi"/>
                <w:szCs w:val="22"/>
              </w:rPr>
            </w:pPr>
            <w:r>
              <w:rPr>
                <w:rFonts w:cstheme="minorHAnsi"/>
                <w:szCs w:val="22"/>
              </w:rPr>
              <w:t xml:space="preserve">2.6. </w:t>
            </w:r>
            <w:r w:rsidR="00C25881">
              <w:rPr>
                <w:rFonts w:cstheme="minorHAnsi"/>
                <w:szCs w:val="22"/>
              </w:rPr>
              <w:t xml:space="preserve">      </w:t>
            </w:r>
            <w:r>
              <w:rPr>
                <w:rFonts w:cstheme="minorHAnsi"/>
                <w:szCs w:val="22"/>
              </w:rPr>
              <w:t xml:space="preserve">Clinical assessment </w:t>
            </w:r>
          </w:p>
        </w:tc>
        <w:tc>
          <w:tcPr>
            <w:tcW w:w="1417" w:type="dxa"/>
          </w:tcPr>
          <w:p w14:paraId="43B15146" w14:textId="12563991" w:rsidR="00625F2B" w:rsidRDefault="00B31965" w:rsidP="008D631D">
            <w:pPr>
              <w:spacing w:before="60" w:after="60"/>
              <w:rPr>
                <w:rFonts w:cstheme="minorHAnsi"/>
                <w:szCs w:val="22"/>
              </w:rPr>
            </w:pPr>
            <w:r>
              <w:rPr>
                <w:rFonts w:cstheme="minorHAnsi"/>
                <w:szCs w:val="22"/>
              </w:rPr>
              <w:t>16</w:t>
            </w:r>
          </w:p>
        </w:tc>
      </w:tr>
      <w:tr w:rsidR="00625F2B" w14:paraId="74F8CFAC" w14:textId="77777777" w:rsidTr="00352525">
        <w:tc>
          <w:tcPr>
            <w:tcW w:w="8217" w:type="dxa"/>
          </w:tcPr>
          <w:p w14:paraId="69A66409" w14:textId="04F719B1" w:rsidR="00625F2B" w:rsidRDefault="00625F2B" w:rsidP="00C74B98">
            <w:pPr>
              <w:spacing w:before="60" w:after="60"/>
              <w:ind w:left="720"/>
              <w:rPr>
                <w:rFonts w:cstheme="minorHAnsi"/>
                <w:szCs w:val="22"/>
              </w:rPr>
            </w:pPr>
            <w:r>
              <w:rPr>
                <w:rFonts w:cstheme="minorHAnsi"/>
                <w:szCs w:val="22"/>
              </w:rPr>
              <w:t xml:space="preserve">2.7. </w:t>
            </w:r>
            <w:r w:rsidR="00C25881">
              <w:rPr>
                <w:rFonts w:cstheme="minorHAnsi"/>
                <w:szCs w:val="22"/>
              </w:rPr>
              <w:t xml:space="preserve">      </w:t>
            </w:r>
            <w:r>
              <w:rPr>
                <w:rFonts w:cstheme="minorHAnsi"/>
                <w:szCs w:val="22"/>
              </w:rPr>
              <w:t>Biomarker sampling &amp; analysis</w:t>
            </w:r>
          </w:p>
        </w:tc>
        <w:tc>
          <w:tcPr>
            <w:tcW w:w="1417" w:type="dxa"/>
          </w:tcPr>
          <w:p w14:paraId="2F58992B" w14:textId="6D2BF2FF" w:rsidR="00625F2B" w:rsidRDefault="00B31965" w:rsidP="008D631D">
            <w:pPr>
              <w:spacing w:before="60" w:after="60"/>
              <w:rPr>
                <w:rFonts w:cstheme="minorHAnsi"/>
                <w:szCs w:val="22"/>
              </w:rPr>
            </w:pPr>
            <w:r>
              <w:rPr>
                <w:rFonts w:cstheme="minorHAnsi"/>
                <w:szCs w:val="22"/>
              </w:rPr>
              <w:t>16, 17</w:t>
            </w:r>
          </w:p>
        </w:tc>
      </w:tr>
      <w:tr w:rsidR="00625F2B" w14:paraId="34E7603A" w14:textId="77777777" w:rsidTr="00352525">
        <w:tc>
          <w:tcPr>
            <w:tcW w:w="8217" w:type="dxa"/>
          </w:tcPr>
          <w:p w14:paraId="0843FD83" w14:textId="6A566FA2" w:rsidR="00625F2B" w:rsidRDefault="00625F2B" w:rsidP="00C74B98">
            <w:pPr>
              <w:spacing w:before="60" w:after="60"/>
              <w:ind w:left="720"/>
              <w:rPr>
                <w:rFonts w:cstheme="minorHAnsi"/>
                <w:szCs w:val="22"/>
              </w:rPr>
            </w:pPr>
            <w:r>
              <w:rPr>
                <w:rFonts w:cstheme="minorHAnsi"/>
                <w:szCs w:val="22"/>
              </w:rPr>
              <w:t xml:space="preserve">2.8. </w:t>
            </w:r>
            <w:r w:rsidR="00C25881">
              <w:rPr>
                <w:rFonts w:cstheme="minorHAnsi"/>
                <w:szCs w:val="22"/>
              </w:rPr>
              <w:t xml:space="preserve">      </w:t>
            </w:r>
            <w:r>
              <w:rPr>
                <w:rFonts w:cstheme="minorHAnsi"/>
                <w:szCs w:val="22"/>
              </w:rPr>
              <w:t xml:space="preserve">Echocardiography </w:t>
            </w:r>
          </w:p>
        </w:tc>
        <w:tc>
          <w:tcPr>
            <w:tcW w:w="1417" w:type="dxa"/>
          </w:tcPr>
          <w:p w14:paraId="3361402A" w14:textId="66FA6F7B" w:rsidR="00625F2B" w:rsidRDefault="00B31965" w:rsidP="008D631D">
            <w:pPr>
              <w:spacing w:before="60" w:after="60"/>
              <w:rPr>
                <w:rFonts w:cstheme="minorHAnsi"/>
                <w:szCs w:val="22"/>
              </w:rPr>
            </w:pPr>
            <w:r>
              <w:rPr>
                <w:rFonts w:cstheme="minorHAnsi"/>
                <w:szCs w:val="22"/>
              </w:rPr>
              <w:t>17, 18</w:t>
            </w:r>
          </w:p>
        </w:tc>
      </w:tr>
      <w:tr w:rsidR="00625F2B" w14:paraId="79115579" w14:textId="77777777" w:rsidTr="00352525">
        <w:tc>
          <w:tcPr>
            <w:tcW w:w="8217" w:type="dxa"/>
          </w:tcPr>
          <w:p w14:paraId="5F5AC10B" w14:textId="3467EE74" w:rsidR="00625F2B" w:rsidRDefault="00625F2B" w:rsidP="00C74B98">
            <w:pPr>
              <w:spacing w:before="60" w:after="60"/>
              <w:ind w:left="720"/>
              <w:rPr>
                <w:rFonts w:cstheme="minorHAnsi"/>
                <w:szCs w:val="22"/>
              </w:rPr>
            </w:pPr>
            <w:r>
              <w:rPr>
                <w:rFonts w:cstheme="minorHAnsi"/>
                <w:szCs w:val="22"/>
              </w:rPr>
              <w:t xml:space="preserve">2.9. </w:t>
            </w:r>
            <w:r w:rsidR="00C25881">
              <w:rPr>
                <w:rFonts w:cstheme="minorHAnsi"/>
                <w:szCs w:val="22"/>
              </w:rPr>
              <w:t xml:space="preserve">      </w:t>
            </w:r>
            <w:r>
              <w:rPr>
                <w:rFonts w:cstheme="minorHAnsi"/>
                <w:szCs w:val="22"/>
              </w:rPr>
              <w:t>Statistical analysis</w:t>
            </w:r>
          </w:p>
        </w:tc>
        <w:tc>
          <w:tcPr>
            <w:tcW w:w="1417" w:type="dxa"/>
          </w:tcPr>
          <w:p w14:paraId="37ACBE67" w14:textId="027F5DBA" w:rsidR="00625F2B" w:rsidRDefault="00B31965" w:rsidP="008D631D">
            <w:pPr>
              <w:spacing w:before="60" w:after="60"/>
              <w:rPr>
                <w:rFonts w:cstheme="minorHAnsi"/>
                <w:szCs w:val="22"/>
              </w:rPr>
            </w:pPr>
            <w:r>
              <w:rPr>
                <w:rFonts w:cstheme="minorHAnsi"/>
                <w:szCs w:val="22"/>
              </w:rPr>
              <w:t>18</w:t>
            </w:r>
          </w:p>
        </w:tc>
      </w:tr>
      <w:tr w:rsidR="00625F2B" w14:paraId="428E89E1" w14:textId="77777777" w:rsidTr="00352525">
        <w:tc>
          <w:tcPr>
            <w:tcW w:w="8217" w:type="dxa"/>
          </w:tcPr>
          <w:p w14:paraId="3C05CF19" w14:textId="3E48DFB7" w:rsidR="00625F2B" w:rsidRDefault="00625F2B" w:rsidP="00C74B98">
            <w:pPr>
              <w:spacing w:before="60" w:after="60"/>
              <w:ind w:left="720"/>
              <w:rPr>
                <w:rFonts w:cstheme="minorHAnsi"/>
                <w:szCs w:val="22"/>
              </w:rPr>
            </w:pPr>
            <w:r>
              <w:rPr>
                <w:rFonts w:cstheme="minorHAnsi"/>
                <w:szCs w:val="22"/>
              </w:rPr>
              <w:t xml:space="preserve">3.0. </w:t>
            </w:r>
            <w:r w:rsidR="00C25881">
              <w:rPr>
                <w:rFonts w:cstheme="minorHAnsi"/>
                <w:szCs w:val="22"/>
              </w:rPr>
              <w:t xml:space="preserve">      </w:t>
            </w:r>
            <w:r>
              <w:rPr>
                <w:rFonts w:cstheme="minorHAnsi"/>
                <w:szCs w:val="22"/>
              </w:rPr>
              <w:t xml:space="preserve">Power calculation and sample size </w:t>
            </w:r>
          </w:p>
        </w:tc>
        <w:tc>
          <w:tcPr>
            <w:tcW w:w="1417" w:type="dxa"/>
          </w:tcPr>
          <w:p w14:paraId="45E6CE8B" w14:textId="5D41A150" w:rsidR="00625F2B" w:rsidRDefault="00B31965" w:rsidP="008D631D">
            <w:pPr>
              <w:spacing w:before="60" w:after="60"/>
              <w:rPr>
                <w:rFonts w:cstheme="minorHAnsi"/>
                <w:szCs w:val="22"/>
              </w:rPr>
            </w:pPr>
            <w:r>
              <w:rPr>
                <w:rFonts w:cstheme="minorHAnsi"/>
                <w:szCs w:val="22"/>
              </w:rPr>
              <w:t>18</w:t>
            </w:r>
          </w:p>
        </w:tc>
      </w:tr>
      <w:tr w:rsidR="00B31965" w14:paraId="36C1A859" w14:textId="77777777" w:rsidTr="00B31965">
        <w:tc>
          <w:tcPr>
            <w:tcW w:w="8217" w:type="dxa"/>
            <w:shd w:val="clear" w:color="auto" w:fill="FFFFFF" w:themeFill="background1"/>
          </w:tcPr>
          <w:p w14:paraId="759FDFCB" w14:textId="77777777" w:rsidR="00B31965" w:rsidRPr="00B31965" w:rsidRDefault="00B31965" w:rsidP="008D631D">
            <w:pPr>
              <w:spacing w:before="60" w:after="60"/>
              <w:rPr>
                <w:rFonts w:cstheme="minorHAnsi"/>
                <w:b/>
                <w:bCs/>
              </w:rPr>
            </w:pPr>
            <w:r w:rsidRPr="00B31965">
              <w:rPr>
                <w:rFonts w:cstheme="minorHAnsi"/>
                <w:b/>
                <w:bCs/>
                <w:szCs w:val="22"/>
              </w:rPr>
              <w:t>3.0.      DISCUSSION</w:t>
            </w:r>
          </w:p>
        </w:tc>
        <w:tc>
          <w:tcPr>
            <w:tcW w:w="1417" w:type="dxa"/>
            <w:shd w:val="clear" w:color="auto" w:fill="FFFFFF" w:themeFill="background1"/>
          </w:tcPr>
          <w:p w14:paraId="74A34602" w14:textId="3F9C84BB" w:rsidR="00B31965" w:rsidRPr="00B31965" w:rsidRDefault="00B31965" w:rsidP="008D631D">
            <w:pPr>
              <w:spacing w:before="60" w:after="60"/>
              <w:rPr>
                <w:rFonts w:cstheme="minorHAnsi"/>
                <w:szCs w:val="22"/>
              </w:rPr>
            </w:pPr>
            <w:r w:rsidRPr="00B31965">
              <w:rPr>
                <w:rFonts w:cstheme="minorHAnsi"/>
                <w:szCs w:val="22"/>
              </w:rPr>
              <w:t>19, 21</w:t>
            </w:r>
          </w:p>
        </w:tc>
      </w:tr>
      <w:tr w:rsidR="00625F2B" w14:paraId="388289DB" w14:textId="77777777" w:rsidTr="00352525">
        <w:tc>
          <w:tcPr>
            <w:tcW w:w="8217" w:type="dxa"/>
          </w:tcPr>
          <w:p w14:paraId="3E642E48" w14:textId="070E2C1D" w:rsidR="00625F2B" w:rsidRPr="00B31965" w:rsidRDefault="00625F2B" w:rsidP="008D631D">
            <w:pPr>
              <w:spacing w:before="60" w:after="60"/>
              <w:rPr>
                <w:rFonts w:cstheme="minorHAnsi"/>
                <w:b/>
                <w:bCs/>
                <w:szCs w:val="22"/>
              </w:rPr>
            </w:pPr>
            <w:r w:rsidRPr="00B31965">
              <w:rPr>
                <w:rFonts w:cstheme="minorHAnsi"/>
                <w:b/>
                <w:bCs/>
                <w:szCs w:val="22"/>
              </w:rPr>
              <w:t>4.0.      CONCLUSION</w:t>
            </w:r>
          </w:p>
        </w:tc>
        <w:tc>
          <w:tcPr>
            <w:tcW w:w="1417" w:type="dxa"/>
          </w:tcPr>
          <w:p w14:paraId="245052BB" w14:textId="04C2ECA0" w:rsidR="00625F2B" w:rsidRDefault="00B31965" w:rsidP="008D631D">
            <w:pPr>
              <w:spacing w:before="60" w:after="60"/>
              <w:rPr>
                <w:rFonts w:cstheme="minorHAnsi"/>
                <w:szCs w:val="22"/>
              </w:rPr>
            </w:pPr>
            <w:r>
              <w:rPr>
                <w:rFonts w:cstheme="minorHAnsi"/>
                <w:szCs w:val="22"/>
              </w:rPr>
              <w:t>21</w:t>
            </w:r>
          </w:p>
        </w:tc>
      </w:tr>
      <w:tr w:rsidR="00B31965" w14:paraId="3E91C617" w14:textId="77777777" w:rsidTr="00252AEE">
        <w:tc>
          <w:tcPr>
            <w:tcW w:w="9634" w:type="dxa"/>
            <w:gridSpan w:val="2"/>
          </w:tcPr>
          <w:p w14:paraId="3350D1EA" w14:textId="335F1788" w:rsidR="00B31965" w:rsidRDefault="00B31965" w:rsidP="008D631D">
            <w:pPr>
              <w:spacing w:before="60" w:after="60"/>
              <w:rPr>
                <w:rFonts w:cstheme="minorHAnsi"/>
                <w:szCs w:val="22"/>
              </w:rPr>
            </w:pPr>
            <w:r w:rsidRPr="00B31965">
              <w:rPr>
                <w:rFonts w:cstheme="minorHAnsi"/>
                <w:b/>
                <w:bCs/>
                <w:szCs w:val="22"/>
              </w:rPr>
              <w:t>5.0.      ETHICAL AND REGULATORY CONSIDERATIONS</w:t>
            </w:r>
          </w:p>
        </w:tc>
      </w:tr>
      <w:tr w:rsidR="00625F2B" w14:paraId="444DB74B" w14:textId="77777777" w:rsidTr="00352525">
        <w:tc>
          <w:tcPr>
            <w:tcW w:w="8217" w:type="dxa"/>
          </w:tcPr>
          <w:p w14:paraId="79694727" w14:textId="3C838C5B" w:rsidR="00625F2B" w:rsidRDefault="00625F2B" w:rsidP="00FA6846">
            <w:pPr>
              <w:spacing w:before="60" w:after="60"/>
              <w:ind w:left="720"/>
              <w:rPr>
                <w:rFonts w:cstheme="minorHAnsi"/>
                <w:szCs w:val="22"/>
              </w:rPr>
            </w:pPr>
            <w:r>
              <w:rPr>
                <w:rFonts w:cstheme="minorHAnsi"/>
                <w:szCs w:val="22"/>
              </w:rPr>
              <w:t xml:space="preserve">5.1. </w:t>
            </w:r>
            <w:r w:rsidR="00C25881">
              <w:rPr>
                <w:rFonts w:cstheme="minorHAnsi"/>
                <w:szCs w:val="22"/>
              </w:rPr>
              <w:t xml:space="preserve">     </w:t>
            </w:r>
            <w:r>
              <w:rPr>
                <w:rFonts w:cstheme="minorHAnsi"/>
                <w:szCs w:val="22"/>
              </w:rPr>
              <w:t>Assessment and management of clinical risk</w:t>
            </w:r>
          </w:p>
        </w:tc>
        <w:tc>
          <w:tcPr>
            <w:tcW w:w="1417" w:type="dxa"/>
          </w:tcPr>
          <w:p w14:paraId="56DBAB76" w14:textId="2066A1E6" w:rsidR="00625F2B" w:rsidRDefault="00B31965" w:rsidP="008D631D">
            <w:pPr>
              <w:spacing w:before="60" w:after="60"/>
              <w:rPr>
                <w:rFonts w:cstheme="minorHAnsi"/>
                <w:szCs w:val="22"/>
              </w:rPr>
            </w:pPr>
            <w:r>
              <w:rPr>
                <w:rFonts w:cstheme="minorHAnsi"/>
                <w:szCs w:val="22"/>
              </w:rPr>
              <w:t>21</w:t>
            </w:r>
          </w:p>
        </w:tc>
      </w:tr>
      <w:tr w:rsidR="00625F2B" w14:paraId="3AE71463" w14:textId="77777777" w:rsidTr="00352525">
        <w:tc>
          <w:tcPr>
            <w:tcW w:w="8217" w:type="dxa"/>
          </w:tcPr>
          <w:p w14:paraId="747D8186" w14:textId="179BE531" w:rsidR="00625F2B" w:rsidRPr="001B2CEC" w:rsidRDefault="00625F2B" w:rsidP="001B2CEC">
            <w:pPr>
              <w:ind w:firstLine="720"/>
              <w:rPr>
                <w:rFonts w:cstheme="minorHAnsi"/>
                <w:szCs w:val="22"/>
              </w:rPr>
            </w:pPr>
            <w:r>
              <w:rPr>
                <w:rFonts w:cstheme="minorHAnsi"/>
                <w:szCs w:val="22"/>
              </w:rPr>
              <w:lastRenderedPageBreak/>
              <w:t xml:space="preserve">5.2. </w:t>
            </w:r>
            <w:r w:rsidR="00C25881">
              <w:rPr>
                <w:rFonts w:cstheme="minorHAnsi"/>
                <w:szCs w:val="22"/>
              </w:rPr>
              <w:t xml:space="preserve">     </w:t>
            </w:r>
            <w:r w:rsidRPr="00AE3EFC">
              <w:rPr>
                <w:rFonts w:cstheme="minorHAnsi"/>
                <w:szCs w:val="22"/>
              </w:rPr>
              <w:t>Research Ethics Committee (REC) review &amp; reports</w:t>
            </w:r>
          </w:p>
        </w:tc>
        <w:tc>
          <w:tcPr>
            <w:tcW w:w="1417" w:type="dxa"/>
          </w:tcPr>
          <w:p w14:paraId="0DDEE440" w14:textId="51E1371C" w:rsidR="00625F2B" w:rsidRDefault="00B31965" w:rsidP="008D631D">
            <w:pPr>
              <w:spacing w:before="60" w:after="60"/>
              <w:rPr>
                <w:rFonts w:cstheme="minorHAnsi"/>
                <w:szCs w:val="22"/>
              </w:rPr>
            </w:pPr>
            <w:r>
              <w:rPr>
                <w:rFonts w:cstheme="minorHAnsi"/>
                <w:szCs w:val="22"/>
              </w:rPr>
              <w:t>21</w:t>
            </w:r>
          </w:p>
        </w:tc>
      </w:tr>
      <w:tr w:rsidR="00625F2B" w14:paraId="50DCE940" w14:textId="77777777" w:rsidTr="00352525">
        <w:tc>
          <w:tcPr>
            <w:tcW w:w="8217" w:type="dxa"/>
          </w:tcPr>
          <w:p w14:paraId="4E05E917" w14:textId="430A23A2" w:rsidR="00625F2B" w:rsidRDefault="00625F2B" w:rsidP="00C74B98">
            <w:pPr>
              <w:spacing w:before="60" w:after="60"/>
              <w:ind w:left="720"/>
              <w:rPr>
                <w:rFonts w:cstheme="minorHAnsi"/>
                <w:szCs w:val="22"/>
              </w:rPr>
            </w:pPr>
            <w:r>
              <w:rPr>
                <w:rFonts w:cstheme="minorHAnsi"/>
                <w:szCs w:val="22"/>
              </w:rPr>
              <w:t xml:space="preserve">5.3. </w:t>
            </w:r>
            <w:r w:rsidR="00C25881">
              <w:rPr>
                <w:rFonts w:cstheme="minorHAnsi"/>
                <w:szCs w:val="22"/>
              </w:rPr>
              <w:t xml:space="preserve">     </w:t>
            </w:r>
            <w:r>
              <w:rPr>
                <w:rFonts w:cstheme="minorHAnsi"/>
                <w:szCs w:val="22"/>
              </w:rPr>
              <w:t>Regulatory review and compliance</w:t>
            </w:r>
          </w:p>
        </w:tc>
        <w:tc>
          <w:tcPr>
            <w:tcW w:w="1417" w:type="dxa"/>
          </w:tcPr>
          <w:p w14:paraId="53CBEA00" w14:textId="0CA38F4D" w:rsidR="00625F2B" w:rsidRDefault="00B31965" w:rsidP="008D631D">
            <w:pPr>
              <w:spacing w:before="60" w:after="60"/>
              <w:rPr>
                <w:rFonts w:cstheme="minorHAnsi"/>
                <w:szCs w:val="22"/>
              </w:rPr>
            </w:pPr>
            <w:r>
              <w:rPr>
                <w:rFonts w:cstheme="minorHAnsi"/>
                <w:szCs w:val="22"/>
              </w:rPr>
              <w:t>21, 22</w:t>
            </w:r>
          </w:p>
        </w:tc>
      </w:tr>
      <w:tr w:rsidR="00625F2B" w14:paraId="1E388BE4" w14:textId="77777777" w:rsidTr="00352525">
        <w:tc>
          <w:tcPr>
            <w:tcW w:w="8217" w:type="dxa"/>
          </w:tcPr>
          <w:p w14:paraId="31EDE147" w14:textId="0BD7C985" w:rsidR="00625F2B" w:rsidRDefault="00625F2B" w:rsidP="00AE3EFC">
            <w:pPr>
              <w:spacing w:before="60" w:after="60"/>
              <w:ind w:left="720"/>
              <w:rPr>
                <w:rFonts w:cstheme="minorHAnsi"/>
                <w:szCs w:val="22"/>
              </w:rPr>
            </w:pPr>
            <w:r>
              <w:rPr>
                <w:rFonts w:cstheme="minorHAnsi"/>
                <w:szCs w:val="22"/>
              </w:rPr>
              <w:t>5.</w:t>
            </w:r>
            <w:r w:rsidR="002B2A83">
              <w:rPr>
                <w:rFonts w:cstheme="minorHAnsi"/>
                <w:szCs w:val="22"/>
              </w:rPr>
              <w:t>4</w:t>
            </w:r>
            <w:r>
              <w:rPr>
                <w:rFonts w:cstheme="minorHAnsi"/>
                <w:szCs w:val="22"/>
              </w:rPr>
              <w:t xml:space="preserve">. </w:t>
            </w:r>
            <w:r w:rsidR="00C25881">
              <w:rPr>
                <w:rFonts w:cstheme="minorHAnsi"/>
                <w:szCs w:val="22"/>
              </w:rPr>
              <w:t xml:space="preserve">     </w:t>
            </w:r>
            <w:r>
              <w:rPr>
                <w:rFonts w:cstheme="minorHAnsi"/>
                <w:szCs w:val="22"/>
              </w:rPr>
              <w:t>Peer review</w:t>
            </w:r>
          </w:p>
        </w:tc>
        <w:tc>
          <w:tcPr>
            <w:tcW w:w="1417" w:type="dxa"/>
          </w:tcPr>
          <w:p w14:paraId="0DE8274E" w14:textId="6A7CB77F" w:rsidR="00625F2B" w:rsidRDefault="00B31965" w:rsidP="00AE3EFC">
            <w:pPr>
              <w:spacing w:before="60" w:after="60"/>
              <w:rPr>
                <w:rFonts w:cstheme="minorHAnsi"/>
                <w:szCs w:val="22"/>
              </w:rPr>
            </w:pPr>
            <w:r>
              <w:rPr>
                <w:rFonts w:cstheme="minorHAnsi"/>
                <w:szCs w:val="22"/>
              </w:rPr>
              <w:t>22</w:t>
            </w:r>
          </w:p>
        </w:tc>
      </w:tr>
      <w:tr w:rsidR="00625F2B" w14:paraId="62608818" w14:textId="77777777" w:rsidTr="00352525">
        <w:tc>
          <w:tcPr>
            <w:tcW w:w="8217" w:type="dxa"/>
          </w:tcPr>
          <w:p w14:paraId="099A78F3" w14:textId="62C2F423" w:rsidR="00625F2B" w:rsidRDefault="00625F2B" w:rsidP="00AE3EFC">
            <w:pPr>
              <w:spacing w:before="60" w:after="60"/>
              <w:ind w:left="720"/>
              <w:rPr>
                <w:rFonts w:cstheme="minorHAnsi"/>
                <w:szCs w:val="22"/>
              </w:rPr>
            </w:pPr>
            <w:r>
              <w:rPr>
                <w:rFonts w:cstheme="minorHAnsi"/>
                <w:szCs w:val="22"/>
              </w:rPr>
              <w:t>5.</w:t>
            </w:r>
            <w:r w:rsidR="002B2A83">
              <w:rPr>
                <w:rFonts w:cstheme="minorHAnsi"/>
                <w:szCs w:val="22"/>
              </w:rPr>
              <w:t>5</w:t>
            </w:r>
            <w:r>
              <w:rPr>
                <w:rFonts w:cstheme="minorHAnsi"/>
                <w:szCs w:val="22"/>
              </w:rPr>
              <w:t xml:space="preserve">. </w:t>
            </w:r>
            <w:r w:rsidR="00C25881">
              <w:rPr>
                <w:rFonts w:cstheme="minorHAnsi"/>
                <w:szCs w:val="22"/>
              </w:rPr>
              <w:t xml:space="preserve">     </w:t>
            </w:r>
            <w:r>
              <w:rPr>
                <w:rFonts w:cstheme="minorHAnsi"/>
                <w:szCs w:val="22"/>
              </w:rPr>
              <w:t>Patient and public involvement</w:t>
            </w:r>
          </w:p>
        </w:tc>
        <w:tc>
          <w:tcPr>
            <w:tcW w:w="1417" w:type="dxa"/>
          </w:tcPr>
          <w:p w14:paraId="061EB05D" w14:textId="6F386F2C" w:rsidR="00625F2B" w:rsidRDefault="00B31965" w:rsidP="008D631D">
            <w:pPr>
              <w:spacing w:before="60" w:after="60"/>
              <w:rPr>
                <w:rFonts w:cstheme="minorHAnsi"/>
                <w:szCs w:val="22"/>
              </w:rPr>
            </w:pPr>
            <w:r>
              <w:rPr>
                <w:rFonts w:cstheme="minorHAnsi"/>
                <w:szCs w:val="22"/>
              </w:rPr>
              <w:t>22</w:t>
            </w:r>
          </w:p>
        </w:tc>
      </w:tr>
      <w:tr w:rsidR="00625F2B" w14:paraId="6A4129AF" w14:textId="77777777" w:rsidTr="00352525">
        <w:tc>
          <w:tcPr>
            <w:tcW w:w="8217" w:type="dxa"/>
          </w:tcPr>
          <w:p w14:paraId="01A302C7" w14:textId="294039CE" w:rsidR="00625F2B" w:rsidRDefault="00625F2B" w:rsidP="00AE3EFC">
            <w:pPr>
              <w:spacing w:before="60" w:after="60"/>
              <w:ind w:left="720"/>
              <w:rPr>
                <w:rFonts w:cstheme="minorHAnsi"/>
                <w:szCs w:val="22"/>
              </w:rPr>
            </w:pPr>
            <w:r>
              <w:rPr>
                <w:rFonts w:cstheme="minorHAnsi"/>
                <w:szCs w:val="22"/>
              </w:rPr>
              <w:t>5.</w:t>
            </w:r>
            <w:r w:rsidR="002B2A83">
              <w:rPr>
                <w:rFonts w:cstheme="minorHAnsi"/>
                <w:szCs w:val="22"/>
              </w:rPr>
              <w:t>6</w:t>
            </w:r>
            <w:r>
              <w:rPr>
                <w:rFonts w:cstheme="minorHAnsi"/>
                <w:szCs w:val="22"/>
              </w:rPr>
              <w:t xml:space="preserve">. </w:t>
            </w:r>
            <w:r w:rsidR="00C25881">
              <w:rPr>
                <w:rFonts w:cstheme="minorHAnsi"/>
                <w:szCs w:val="22"/>
              </w:rPr>
              <w:t xml:space="preserve">     </w:t>
            </w:r>
            <w:r>
              <w:rPr>
                <w:rFonts w:cstheme="minorHAnsi"/>
                <w:szCs w:val="22"/>
              </w:rPr>
              <w:t>Protocol compliance</w:t>
            </w:r>
          </w:p>
        </w:tc>
        <w:tc>
          <w:tcPr>
            <w:tcW w:w="1417" w:type="dxa"/>
          </w:tcPr>
          <w:p w14:paraId="65AE495C" w14:textId="24A0493E" w:rsidR="00625F2B" w:rsidRDefault="00B31965" w:rsidP="008D631D">
            <w:pPr>
              <w:spacing w:before="60" w:after="60"/>
              <w:rPr>
                <w:rFonts w:cstheme="minorHAnsi"/>
                <w:szCs w:val="22"/>
              </w:rPr>
            </w:pPr>
            <w:r>
              <w:rPr>
                <w:rFonts w:cstheme="minorHAnsi"/>
                <w:szCs w:val="22"/>
              </w:rPr>
              <w:t>22</w:t>
            </w:r>
          </w:p>
        </w:tc>
      </w:tr>
      <w:tr w:rsidR="00625F2B" w14:paraId="4ADF9A08" w14:textId="77777777" w:rsidTr="00352525">
        <w:tc>
          <w:tcPr>
            <w:tcW w:w="8217" w:type="dxa"/>
          </w:tcPr>
          <w:p w14:paraId="60E90D04" w14:textId="4B44DE3E" w:rsidR="00625F2B" w:rsidRDefault="00625F2B" w:rsidP="00AE3EFC">
            <w:pPr>
              <w:spacing w:before="60" w:after="60"/>
              <w:ind w:left="720"/>
              <w:rPr>
                <w:rFonts w:cstheme="minorHAnsi"/>
                <w:szCs w:val="22"/>
              </w:rPr>
            </w:pPr>
            <w:r>
              <w:rPr>
                <w:rFonts w:cstheme="minorHAnsi"/>
                <w:szCs w:val="22"/>
              </w:rPr>
              <w:t>5.</w:t>
            </w:r>
            <w:r w:rsidR="002B2A83">
              <w:rPr>
                <w:rFonts w:cstheme="minorHAnsi"/>
                <w:szCs w:val="22"/>
              </w:rPr>
              <w:t>7</w:t>
            </w:r>
            <w:r>
              <w:rPr>
                <w:rFonts w:cstheme="minorHAnsi"/>
                <w:szCs w:val="22"/>
              </w:rPr>
              <w:t xml:space="preserve">. </w:t>
            </w:r>
            <w:r w:rsidR="00C25881">
              <w:rPr>
                <w:rFonts w:cstheme="minorHAnsi"/>
                <w:szCs w:val="22"/>
              </w:rPr>
              <w:t xml:space="preserve">     </w:t>
            </w:r>
            <w:r>
              <w:rPr>
                <w:rFonts w:cstheme="minorHAnsi"/>
                <w:szCs w:val="22"/>
              </w:rPr>
              <w:t xml:space="preserve">Data protection and confidentiality </w:t>
            </w:r>
          </w:p>
        </w:tc>
        <w:tc>
          <w:tcPr>
            <w:tcW w:w="1417" w:type="dxa"/>
          </w:tcPr>
          <w:p w14:paraId="67A5489D" w14:textId="48002031" w:rsidR="00625F2B" w:rsidRDefault="00B31965" w:rsidP="008D631D">
            <w:pPr>
              <w:spacing w:before="60" w:after="60"/>
              <w:rPr>
                <w:rFonts w:cstheme="minorHAnsi"/>
                <w:szCs w:val="22"/>
              </w:rPr>
            </w:pPr>
            <w:r>
              <w:rPr>
                <w:rFonts w:cstheme="minorHAnsi"/>
                <w:szCs w:val="22"/>
              </w:rPr>
              <w:t>22</w:t>
            </w:r>
          </w:p>
        </w:tc>
      </w:tr>
      <w:tr w:rsidR="00625F2B" w14:paraId="335DA68F" w14:textId="77777777" w:rsidTr="00352525">
        <w:tc>
          <w:tcPr>
            <w:tcW w:w="8217" w:type="dxa"/>
          </w:tcPr>
          <w:p w14:paraId="7F250D6D" w14:textId="51C33D6F" w:rsidR="00625F2B" w:rsidRDefault="00625F2B" w:rsidP="00AE3EFC">
            <w:pPr>
              <w:spacing w:before="60" w:after="60"/>
              <w:ind w:left="720"/>
              <w:rPr>
                <w:rFonts w:cstheme="minorHAnsi"/>
                <w:szCs w:val="22"/>
              </w:rPr>
            </w:pPr>
            <w:r>
              <w:rPr>
                <w:rFonts w:cstheme="minorHAnsi"/>
                <w:szCs w:val="22"/>
              </w:rPr>
              <w:t>5.</w:t>
            </w:r>
            <w:r w:rsidR="002B2A83">
              <w:rPr>
                <w:rFonts w:cstheme="minorHAnsi"/>
                <w:szCs w:val="22"/>
              </w:rPr>
              <w:t>8</w:t>
            </w:r>
            <w:r>
              <w:rPr>
                <w:rFonts w:cstheme="minorHAnsi"/>
                <w:szCs w:val="22"/>
              </w:rPr>
              <w:t xml:space="preserve">. </w:t>
            </w:r>
            <w:r w:rsidR="00C25881">
              <w:rPr>
                <w:rFonts w:cstheme="minorHAnsi"/>
                <w:szCs w:val="22"/>
              </w:rPr>
              <w:t xml:space="preserve">     </w:t>
            </w:r>
            <w:r>
              <w:rPr>
                <w:rFonts w:cstheme="minorHAnsi"/>
                <w:szCs w:val="22"/>
              </w:rPr>
              <w:t xml:space="preserve">Study sponsorship and indemnity </w:t>
            </w:r>
          </w:p>
        </w:tc>
        <w:tc>
          <w:tcPr>
            <w:tcW w:w="1417" w:type="dxa"/>
          </w:tcPr>
          <w:p w14:paraId="4B811DB6" w14:textId="7293DA10" w:rsidR="00625F2B" w:rsidRDefault="00B31965" w:rsidP="008D631D">
            <w:pPr>
              <w:spacing w:before="60" w:after="60"/>
              <w:rPr>
                <w:rFonts w:cstheme="minorHAnsi"/>
                <w:szCs w:val="22"/>
              </w:rPr>
            </w:pPr>
            <w:r>
              <w:rPr>
                <w:rFonts w:cstheme="minorHAnsi"/>
                <w:szCs w:val="22"/>
              </w:rPr>
              <w:t>22</w:t>
            </w:r>
          </w:p>
        </w:tc>
      </w:tr>
      <w:tr w:rsidR="00625F2B" w14:paraId="5765E9E5" w14:textId="77777777" w:rsidTr="00352525">
        <w:tc>
          <w:tcPr>
            <w:tcW w:w="8217" w:type="dxa"/>
          </w:tcPr>
          <w:p w14:paraId="2ACB94D1" w14:textId="54AA2FDB" w:rsidR="00625F2B" w:rsidRDefault="002B2A83" w:rsidP="00AE3EFC">
            <w:pPr>
              <w:spacing w:before="60" w:after="60"/>
              <w:ind w:left="720"/>
              <w:rPr>
                <w:rFonts w:cstheme="minorHAnsi"/>
                <w:szCs w:val="22"/>
              </w:rPr>
            </w:pPr>
            <w:r>
              <w:rPr>
                <w:rFonts w:cstheme="minorHAnsi"/>
                <w:szCs w:val="22"/>
              </w:rPr>
              <w:t>5.9</w:t>
            </w:r>
            <w:r w:rsidR="00625F2B">
              <w:rPr>
                <w:rFonts w:cstheme="minorHAnsi"/>
                <w:szCs w:val="22"/>
              </w:rPr>
              <w:t xml:space="preserve">. </w:t>
            </w:r>
            <w:r w:rsidR="00C25881">
              <w:rPr>
                <w:rFonts w:cstheme="minorHAnsi"/>
                <w:szCs w:val="22"/>
              </w:rPr>
              <w:t xml:space="preserve">     </w:t>
            </w:r>
            <w:r w:rsidR="00625F2B">
              <w:rPr>
                <w:rFonts w:cstheme="minorHAnsi"/>
                <w:szCs w:val="22"/>
              </w:rPr>
              <w:t>Access to final dataset</w:t>
            </w:r>
          </w:p>
        </w:tc>
        <w:tc>
          <w:tcPr>
            <w:tcW w:w="1417" w:type="dxa"/>
          </w:tcPr>
          <w:p w14:paraId="5F18D9BC" w14:textId="17FE2043" w:rsidR="00625F2B" w:rsidRDefault="00B31965" w:rsidP="008D631D">
            <w:pPr>
              <w:spacing w:before="60" w:after="60"/>
              <w:rPr>
                <w:rFonts w:cstheme="minorHAnsi"/>
                <w:szCs w:val="22"/>
              </w:rPr>
            </w:pPr>
            <w:r>
              <w:rPr>
                <w:rFonts w:cstheme="minorHAnsi"/>
                <w:szCs w:val="22"/>
              </w:rPr>
              <w:t>22, 23</w:t>
            </w:r>
          </w:p>
        </w:tc>
      </w:tr>
      <w:tr w:rsidR="00625F2B" w14:paraId="69F09360" w14:textId="77777777" w:rsidTr="00352525">
        <w:tc>
          <w:tcPr>
            <w:tcW w:w="8217" w:type="dxa"/>
          </w:tcPr>
          <w:p w14:paraId="7BCAE5E8" w14:textId="037F032F" w:rsidR="00625F2B" w:rsidRPr="00B31965" w:rsidRDefault="00C25881" w:rsidP="00C25881">
            <w:pPr>
              <w:spacing w:before="60" w:after="60"/>
              <w:rPr>
                <w:rFonts w:cstheme="minorHAnsi"/>
                <w:b/>
                <w:bCs/>
                <w:szCs w:val="22"/>
              </w:rPr>
            </w:pPr>
            <w:r w:rsidRPr="00B31965">
              <w:rPr>
                <w:rFonts w:cstheme="minorHAnsi"/>
                <w:b/>
                <w:bCs/>
                <w:szCs w:val="22"/>
              </w:rPr>
              <w:t>7</w:t>
            </w:r>
            <w:r w:rsidR="00625F2B" w:rsidRPr="00B31965">
              <w:rPr>
                <w:rFonts w:cstheme="minorHAnsi"/>
                <w:b/>
                <w:bCs/>
                <w:szCs w:val="22"/>
              </w:rPr>
              <w:t>.0.      DISSEMINATION</w:t>
            </w:r>
          </w:p>
        </w:tc>
        <w:tc>
          <w:tcPr>
            <w:tcW w:w="1417" w:type="dxa"/>
          </w:tcPr>
          <w:p w14:paraId="31E2EED1" w14:textId="2ABD1D65" w:rsidR="00625F2B" w:rsidRDefault="00B31965" w:rsidP="008D631D">
            <w:pPr>
              <w:spacing w:before="60" w:after="60"/>
              <w:rPr>
                <w:rFonts w:cstheme="minorHAnsi"/>
                <w:szCs w:val="22"/>
              </w:rPr>
            </w:pPr>
            <w:r>
              <w:rPr>
                <w:rFonts w:cstheme="minorHAnsi"/>
                <w:szCs w:val="22"/>
              </w:rPr>
              <w:t>23</w:t>
            </w:r>
          </w:p>
        </w:tc>
      </w:tr>
      <w:tr w:rsidR="00625F2B" w14:paraId="71915D7F" w14:textId="77777777" w:rsidTr="00352525">
        <w:tc>
          <w:tcPr>
            <w:tcW w:w="8217" w:type="dxa"/>
          </w:tcPr>
          <w:p w14:paraId="4D52C6B4" w14:textId="1FABFCD2" w:rsidR="00625F2B" w:rsidRPr="00B31965" w:rsidRDefault="00C25881" w:rsidP="008D631D">
            <w:pPr>
              <w:spacing w:before="60" w:after="60"/>
              <w:rPr>
                <w:rFonts w:cstheme="minorHAnsi"/>
                <w:b/>
                <w:bCs/>
                <w:szCs w:val="22"/>
              </w:rPr>
            </w:pPr>
            <w:r w:rsidRPr="00B31965">
              <w:rPr>
                <w:rFonts w:cstheme="minorHAnsi"/>
                <w:b/>
                <w:bCs/>
                <w:szCs w:val="22"/>
              </w:rPr>
              <w:t>8</w:t>
            </w:r>
            <w:r w:rsidR="00625F2B" w:rsidRPr="00B31965">
              <w:rPr>
                <w:rFonts w:cstheme="minorHAnsi"/>
                <w:b/>
                <w:bCs/>
                <w:szCs w:val="22"/>
              </w:rPr>
              <w:t>.0.      DECLARATION OF INTEREST</w:t>
            </w:r>
          </w:p>
        </w:tc>
        <w:tc>
          <w:tcPr>
            <w:tcW w:w="1417" w:type="dxa"/>
          </w:tcPr>
          <w:p w14:paraId="7B9DD8C1" w14:textId="6A53B2B1" w:rsidR="00625F2B" w:rsidRDefault="00B31965" w:rsidP="008D631D">
            <w:pPr>
              <w:spacing w:before="60" w:after="60"/>
              <w:rPr>
                <w:rFonts w:cstheme="minorHAnsi"/>
                <w:szCs w:val="22"/>
              </w:rPr>
            </w:pPr>
            <w:r>
              <w:rPr>
                <w:rFonts w:cstheme="minorHAnsi"/>
                <w:szCs w:val="22"/>
              </w:rPr>
              <w:t>23</w:t>
            </w:r>
          </w:p>
        </w:tc>
      </w:tr>
      <w:tr w:rsidR="00625F2B" w14:paraId="2AB2D3DA" w14:textId="77777777" w:rsidTr="00352525">
        <w:tc>
          <w:tcPr>
            <w:tcW w:w="8217" w:type="dxa"/>
          </w:tcPr>
          <w:p w14:paraId="289B86A3" w14:textId="65F9F15C" w:rsidR="00625F2B" w:rsidRPr="00B31965" w:rsidRDefault="00C25881" w:rsidP="008D631D">
            <w:pPr>
              <w:spacing w:before="60" w:after="60"/>
              <w:rPr>
                <w:rFonts w:cstheme="minorHAnsi"/>
                <w:b/>
                <w:bCs/>
                <w:szCs w:val="22"/>
              </w:rPr>
            </w:pPr>
            <w:r w:rsidRPr="00B31965">
              <w:rPr>
                <w:rFonts w:cstheme="minorHAnsi"/>
                <w:b/>
                <w:bCs/>
                <w:szCs w:val="22"/>
              </w:rPr>
              <w:t>9</w:t>
            </w:r>
            <w:r w:rsidR="00625F2B" w:rsidRPr="00B31965">
              <w:rPr>
                <w:rFonts w:cstheme="minorHAnsi"/>
                <w:b/>
                <w:bCs/>
                <w:szCs w:val="22"/>
              </w:rPr>
              <w:t>.0.      REFERNCES</w:t>
            </w:r>
          </w:p>
        </w:tc>
        <w:tc>
          <w:tcPr>
            <w:tcW w:w="1417" w:type="dxa"/>
          </w:tcPr>
          <w:p w14:paraId="7188DDD3" w14:textId="657BB058" w:rsidR="00625F2B" w:rsidRDefault="00B31965" w:rsidP="008D631D">
            <w:pPr>
              <w:spacing w:before="60" w:after="60"/>
              <w:rPr>
                <w:rFonts w:cstheme="minorHAnsi"/>
                <w:szCs w:val="22"/>
              </w:rPr>
            </w:pPr>
            <w:r>
              <w:rPr>
                <w:rFonts w:cstheme="minorHAnsi"/>
                <w:szCs w:val="22"/>
              </w:rPr>
              <w:t>24</w:t>
            </w:r>
          </w:p>
        </w:tc>
      </w:tr>
    </w:tbl>
    <w:p w14:paraId="1F250E8E" w14:textId="77777777" w:rsidR="002A28CF" w:rsidRDefault="002A28CF" w:rsidP="002A28CF">
      <w:pPr>
        <w:rPr>
          <w:rFonts w:ascii="Times New Roman" w:hAnsi="Times New Roman" w:cs="Times New Roman"/>
        </w:rPr>
      </w:pPr>
    </w:p>
    <w:p w14:paraId="48390962" w14:textId="77777777" w:rsidR="002A28CF" w:rsidRDefault="002A28CF" w:rsidP="002A28CF">
      <w:pPr>
        <w:rPr>
          <w:rFonts w:ascii="Times New Roman" w:hAnsi="Times New Roman" w:cs="Times New Roman"/>
        </w:rPr>
      </w:pPr>
    </w:p>
    <w:p w14:paraId="114C1D73" w14:textId="77777777" w:rsidR="002A28CF" w:rsidRDefault="002A28CF" w:rsidP="002A28CF">
      <w:pPr>
        <w:rPr>
          <w:rFonts w:ascii="Times New Roman" w:hAnsi="Times New Roman" w:cs="Times New Roman"/>
        </w:rPr>
      </w:pPr>
    </w:p>
    <w:p w14:paraId="52E94143" w14:textId="77777777" w:rsidR="002A28CF" w:rsidRDefault="002A28CF" w:rsidP="002A28CF"/>
    <w:p w14:paraId="6E6C3354" w14:textId="77777777" w:rsidR="008817B9" w:rsidRDefault="008817B9" w:rsidP="002A28CF"/>
    <w:p w14:paraId="5F3685E7" w14:textId="77777777" w:rsidR="008817B9" w:rsidRDefault="008817B9" w:rsidP="002A28CF"/>
    <w:p w14:paraId="7DAD0531" w14:textId="77777777" w:rsidR="00D7217B" w:rsidRDefault="00D7217B" w:rsidP="002A28CF"/>
    <w:p w14:paraId="1CA5EAB2" w14:textId="77777777" w:rsidR="00D7217B" w:rsidRDefault="00D7217B" w:rsidP="002A28CF"/>
    <w:p w14:paraId="629B5144" w14:textId="77777777" w:rsidR="00D7217B" w:rsidRDefault="00D7217B" w:rsidP="002A28CF"/>
    <w:p w14:paraId="6623057D" w14:textId="77777777" w:rsidR="00D7217B" w:rsidRDefault="00D7217B" w:rsidP="002A28CF"/>
    <w:p w14:paraId="729D34B4" w14:textId="77777777" w:rsidR="00D7217B" w:rsidRDefault="00D7217B" w:rsidP="002A28CF"/>
    <w:p w14:paraId="405FA2BE" w14:textId="77777777" w:rsidR="00D7217B" w:rsidRDefault="00D7217B" w:rsidP="002A28CF"/>
    <w:p w14:paraId="1DFBD83F" w14:textId="77777777" w:rsidR="00D7217B" w:rsidRDefault="00D7217B" w:rsidP="002A28CF"/>
    <w:p w14:paraId="5DCF00A7" w14:textId="77777777" w:rsidR="00D7217B" w:rsidRDefault="00D7217B" w:rsidP="002A28CF"/>
    <w:p w14:paraId="13B1F57E" w14:textId="77777777" w:rsidR="00D7217B" w:rsidRDefault="00D7217B" w:rsidP="002A28CF"/>
    <w:p w14:paraId="4C69E2D7" w14:textId="77777777" w:rsidR="00D7217B" w:rsidRDefault="00D7217B" w:rsidP="002A28CF"/>
    <w:p w14:paraId="742C936B" w14:textId="77777777" w:rsidR="00D7217B" w:rsidRDefault="00D7217B" w:rsidP="002A28CF"/>
    <w:p w14:paraId="1097F94E" w14:textId="77777777" w:rsidR="00D7217B" w:rsidRDefault="00D7217B" w:rsidP="002A28CF"/>
    <w:p w14:paraId="13DE69DB" w14:textId="77777777" w:rsidR="00D7217B" w:rsidRDefault="00D7217B" w:rsidP="002A28CF"/>
    <w:p w14:paraId="462B13F7" w14:textId="77777777" w:rsidR="008817B9" w:rsidRDefault="008817B9" w:rsidP="002A28CF"/>
    <w:p w14:paraId="638E8981" w14:textId="77777777" w:rsidR="00D7217B" w:rsidRDefault="00D7217B" w:rsidP="002A28CF"/>
    <w:p w14:paraId="3C67F44C" w14:textId="567249CB" w:rsidR="00581CD0" w:rsidRPr="00343DC6" w:rsidRDefault="00A44EA5" w:rsidP="00581CD0">
      <w:pPr>
        <w:pBdr>
          <w:bottom w:val="single" w:sz="4" w:space="1" w:color="auto"/>
        </w:pBdr>
        <w:rPr>
          <w:b/>
          <w:sz w:val="24"/>
          <w:szCs w:val="24"/>
        </w:rPr>
      </w:pPr>
      <w:r>
        <w:rPr>
          <w:b/>
          <w:sz w:val="24"/>
          <w:szCs w:val="24"/>
        </w:rPr>
        <w:lastRenderedPageBreak/>
        <w:t>3.8.2</w:t>
      </w:r>
      <w:r w:rsidR="000F6830">
        <w:rPr>
          <w:b/>
          <w:sz w:val="24"/>
          <w:szCs w:val="24"/>
        </w:rPr>
        <w:t xml:space="preserve">. </w:t>
      </w:r>
      <w:r w:rsidR="00581CD0" w:rsidRPr="00343DC6">
        <w:rPr>
          <w:b/>
          <w:sz w:val="24"/>
          <w:szCs w:val="24"/>
        </w:rPr>
        <w:t xml:space="preserve">STUDY SUMMARY </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5131"/>
      </w:tblGrid>
      <w:tr w:rsidR="00581CD0" w:rsidRPr="00271B0A" w14:paraId="4973E649" w14:textId="77777777" w:rsidTr="008D631D">
        <w:trPr>
          <w:trHeight w:val="385"/>
        </w:trPr>
        <w:tc>
          <w:tcPr>
            <w:tcW w:w="3936" w:type="dxa"/>
          </w:tcPr>
          <w:p w14:paraId="7B13CCF4" w14:textId="77777777" w:rsidR="00581CD0" w:rsidRPr="00271B0A" w:rsidRDefault="00581CD0" w:rsidP="008D631D">
            <w:pPr>
              <w:rPr>
                <w:sz w:val="24"/>
                <w:szCs w:val="24"/>
              </w:rPr>
            </w:pPr>
            <w:r>
              <w:rPr>
                <w:b/>
                <w:sz w:val="28"/>
                <w:szCs w:val="28"/>
              </w:rPr>
              <w:t xml:space="preserve"> </w:t>
            </w:r>
            <w:r w:rsidRPr="00271B0A">
              <w:rPr>
                <w:sz w:val="24"/>
                <w:szCs w:val="24"/>
              </w:rPr>
              <w:t>Study Title</w:t>
            </w:r>
          </w:p>
        </w:tc>
        <w:tc>
          <w:tcPr>
            <w:tcW w:w="5131" w:type="dxa"/>
          </w:tcPr>
          <w:p w14:paraId="41AA9DC8" w14:textId="77777777" w:rsidR="00581CD0" w:rsidRPr="00271B0A" w:rsidRDefault="00581CD0" w:rsidP="008D631D">
            <w:pPr>
              <w:rPr>
                <w:bCs/>
                <w:sz w:val="24"/>
                <w:szCs w:val="24"/>
              </w:rPr>
            </w:pPr>
            <w:r w:rsidRPr="00271B0A">
              <w:rPr>
                <w:bCs/>
                <w:sz w:val="24"/>
                <w:szCs w:val="24"/>
              </w:rPr>
              <w:t xml:space="preserve">Investigation of biomarker response to </w:t>
            </w:r>
            <w:r w:rsidRPr="00271B0A">
              <w:rPr>
                <w:b/>
                <w:i/>
                <w:iCs/>
                <w:sz w:val="24"/>
                <w:szCs w:val="24"/>
              </w:rPr>
              <w:t>S</w:t>
            </w:r>
            <w:r w:rsidRPr="00271B0A">
              <w:rPr>
                <w:bCs/>
                <w:sz w:val="24"/>
                <w:szCs w:val="24"/>
              </w:rPr>
              <w:t xml:space="preserve">GLT2 </w:t>
            </w:r>
            <w:r w:rsidRPr="00271B0A">
              <w:rPr>
                <w:b/>
                <w:i/>
                <w:iCs/>
                <w:sz w:val="24"/>
                <w:szCs w:val="24"/>
              </w:rPr>
              <w:t>In</w:t>
            </w:r>
            <w:r w:rsidRPr="00271B0A">
              <w:rPr>
                <w:bCs/>
                <w:sz w:val="24"/>
                <w:szCs w:val="24"/>
              </w:rPr>
              <w:t xml:space="preserve">hibition in </w:t>
            </w:r>
            <w:r w:rsidRPr="00271B0A">
              <w:rPr>
                <w:b/>
                <w:i/>
                <w:iCs/>
                <w:sz w:val="24"/>
                <w:szCs w:val="24"/>
              </w:rPr>
              <w:t>H</w:t>
            </w:r>
            <w:r w:rsidRPr="00271B0A">
              <w:rPr>
                <w:bCs/>
                <w:sz w:val="24"/>
                <w:szCs w:val="24"/>
              </w:rPr>
              <w:t xml:space="preserve">eart </w:t>
            </w:r>
            <w:r w:rsidRPr="00271B0A">
              <w:rPr>
                <w:b/>
                <w:i/>
                <w:iCs/>
                <w:sz w:val="24"/>
                <w:szCs w:val="24"/>
              </w:rPr>
              <w:t>F</w:t>
            </w:r>
            <w:r w:rsidRPr="00271B0A">
              <w:rPr>
                <w:bCs/>
                <w:sz w:val="24"/>
                <w:szCs w:val="24"/>
              </w:rPr>
              <w:t>ailure</w:t>
            </w:r>
          </w:p>
        </w:tc>
      </w:tr>
      <w:tr w:rsidR="00581CD0" w:rsidRPr="00271B0A" w14:paraId="0185DA5C" w14:textId="77777777" w:rsidTr="008D631D">
        <w:trPr>
          <w:trHeight w:val="385"/>
        </w:trPr>
        <w:tc>
          <w:tcPr>
            <w:tcW w:w="3936" w:type="dxa"/>
          </w:tcPr>
          <w:p w14:paraId="7E56562F" w14:textId="77777777" w:rsidR="00581CD0" w:rsidRPr="00271B0A" w:rsidRDefault="00581CD0" w:rsidP="008D631D">
            <w:pPr>
              <w:rPr>
                <w:sz w:val="24"/>
                <w:szCs w:val="24"/>
              </w:rPr>
            </w:pPr>
            <w:r w:rsidRPr="00271B0A">
              <w:rPr>
                <w:sz w:val="24"/>
                <w:szCs w:val="24"/>
              </w:rPr>
              <w:t>Internal ref. no. (or short title)</w:t>
            </w:r>
          </w:p>
        </w:tc>
        <w:tc>
          <w:tcPr>
            <w:tcW w:w="5131" w:type="dxa"/>
          </w:tcPr>
          <w:p w14:paraId="513536D8" w14:textId="77777777" w:rsidR="00581CD0" w:rsidRPr="00271B0A" w:rsidRDefault="00581CD0" w:rsidP="008D631D">
            <w:pPr>
              <w:rPr>
                <w:sz w:val="24"/>
                <w:szCs w:val="24"/>
              </w:rPr>
            </w:pPr>
            <w:r>
              <w:rPr>
                <w:sz w:val="24"/>
                <w:szCs w:val="24"/>
              </w:rPr>
              <w:t>SiN-HF</w:t>
            </w:r>
          </w:p>
        </w:tc>
      </w:tr>
      <w:tr w:rsidR="00581CD0" w:rsidRPr="00271B0A" w14:paraId="766E1997" w14:textId="77777777" w:rsidTr="008D631D">
        <w:trPr>
          <w:trHeight w:val="371"/>
        </w:trPr>
        <w:tc>
          <w:tcPr>
            <w:tcW w:w="3936" w:type="dxa"/>
          </w:tcPr>
          <w:p w14:paraId="07169F64" w14:textId="77777777" w:rsidR="00581CD0" w:rsidRPr="00271B0A" w:rsidRDefault="00581CD0" w:rsidP="008D631D">
            <w:pPr>
              <w:rPr>
                <w:sz w:val="24"/>
                <w:szCs w:val="24"/>
              </w:rPr>
            </w:pPr>
            <w:r w:rsidRPr="00271B0A">
              <w:rPr>
                <w:sz w:val="24"/>
                <w:szCs w:val="24"/>
              </w:rPr>
              <w:t>Study Design</w:t>
            </w:r>
          </w:p>
        </w:tc>
        <w:tc>
          <w:tcPr>
            <w:tcW w:w="5131" w:type="dxa"/>
          </w:tcPr>
          <w:p w14:paraId="09ED7A00" w14:textId="77777777" w:rsidR="00581CD0" w:rsidRPr="00271B0A" w:rsidRDefault="00581CD0" w:rsidP="008D631D">
            <w:pPr>
              <w:rPr>
                <w:sz w:val="24"/>
                <w:szCs w:val="24"/>
              </w:rPr>
            </w:pPr>
            <w:r w:rsidRPr="00271B0A">
              <w:rPr>
                <w:sz w:val="24"/>
                <w:szCs w:val="24"/>
              </w:rPr>
              <w:t>Single</w:t>
            </w:r>
            <w:r>
              <w:rPr>
                <w:sz w:val="24"/>
                <w:szCs w:val="24"/>
              </w:rPr>
              <w:t>-</w:t>
            </w:r>
            <w:r w:rsidRPr="00271B0A">
              <w:rPr>
                <w:sz w:val="24"/>
                <w:szCs w:val="24"/>
              </w:rPr>
              <w:t xml:space="preserve">centre </w:t>
            </w:r>
            <w:r>
              <w:rPr>
                <w:sz w:val="24"/>
                <w:szCs w:val="24"/>
              </w:rPr>
              <w:t xml:space="preserve">investigator initiated </w:t>
            </w:r>
            <w:r w:rsidRPr="00271B0A">
              <w:rPr>
                <w:sz w:val="24"/>
                <w:szCs w:val="24"/>
              </w:rPr>
              <w:t xml:space="preserve">prospective study </w:t>
            </w:r>
          </w:p>
        </w:tc>
      </w:tr>
      <w:tr w:rsidR="00581CD0" w:rsidRPr="00271B0A" w14:paraId="0BB7154F" w14:textId="77777777" w:rsidTr="008D631D">
        <w:trPr>
          <w:trHeight w:val="703"/>
        </w:trPr>
        <w:tc>
          <w:tcPr>
            <w:tcW w:w="3936" w:type="dxa"/>
          </w:tcPr>
          <w:p w14:paraId="78D8B844" w14:textId="77777777" w:rsidR="00581CD0" w:rsidRPr="00271B0A" w:rsidRDefault="00581CD0" w:rsidP="008D631D">
            <w:pPr>
              <w:rPr>
                <w:sz w:val="24"/>
                <w:szCs w:val="24"/>
              </w:rPr>
            </w:pPr>
            <w:r w:rsidRPr="00271B0A">
              <w:rPr>
                <w:sz w:val="24"/>
                <w:szCs w:val="24"/>
              </w:rPr>
              <w:t>Study Participants</w:t>
            </w:r>
          </w:p>
        </w:tc>
        <w:tc>
          <w:tcPr>
            <w:tcW w:w="5131" w:type="dxa"/>
          </w:tcPr>
          <w:p w14:paraId="2D21FB6B" w14:textId="77777777" w:rsidR="00581CD0" w:rsidRPr="00271B0A" w:rsidRDefault="00581CD0" w:rsidP="008D631D">
            <w:pPr>
              <w:rPr>
                <w:sz w:val="24"/>
                <w:szCs w:val="24"/>
              </w:rPr>
            </w:pPr>
            <w:r w:rsidRPr="00271B0A">
              <w:rPr>
                <w:sz w:val="24"/>
                <w:szCs w:val="24"/>
              </w:rPr>
              <w:t>Male and female participants over the age of 18 with heart failure with reduced or preserved ejection fraction</w:t>
            </w:r>
          </w:p>
        </w:tc>
      </w:tr>
      <w:tr w:rsidR="00581CD0" w:rsidRPr="00271B0A" w14:paraId="55E7CDE3" w14:textId="77777777" w:rsidTr="008D631D">
        <w:trPr>
          <w:trHeight w:val="755"/>
        </w:trPr>
        <w:tc>
          <w:tcPr>
            <w:tcW w:w="3936" w:type="dxa"/>
          </w:tcPr>
          <w:p w14:paraId="09B93E96" w14:textId="77777777" w:rsidR="00581CD0" w:rsidRPr="00271B0A" w:rsidRDefault="00581CD0" w:rsidP="008D631D">
            <w:pPr>
              <w:rPr>
                <w:sz w:val="24"/>
                <w:szCs w:val="24"/>
              </w:rPr>
            </w:pPr>
            <w:r w:rsidRPr="00271B0A">
              <w:rPr>
                <w:sz w:val="24"/>
                <w:szCs w:val="24"/>
              </w:rPr>
              <w:t>Planned Size of Sample (if applicable)</w:t>
            </w:r>
          </w:p>
        </w:tc>
        <w:tc>
          <w:tcPr>
            <w:tcW w:w="5131" w:type="dxa"/>
          </w:tcPr>
          <w:p w14:paraId="22A2AD87" w14:textId="77777777" w:rsidR="00581CD0" w:rsidRPr="00271B0A" w:rsidRDefault="00581CD0" w:rsidP="008D631D">
            <w:pPr>
              <w:rPr>
                <w:sz w:val="24"/>
                <w:szCs w:val="24"/>
              </w:rPr>
            </w:pPr>
            <w:r>
              <w:rPr>
                <w:sz w:val="24"/>
                <w:szCs w:val="24"/>
              </w:rPr>
              <w:t>40</w:t>
            </w:r>
          </w:p>
        </w:tc>
      </w:tr>
      <w:tr w:rsidR="00581CD0" w:rsidRPr="00271B0A" w14:paraId="5E89AA6E" w14:textId="77777777" w:rsidTr="008D631D">
        <w:trPr>
          <w:trHeight w:val="385"/>
        </w:trPr>
        <w:tc>
          <w:tcPr>
            <w:tcW w:w="3936" w:type="dxa"/>
          </w:tcPr>
          <w:p w14:paraId="38D25FFF" w14:textId="77777777" w:rsidR="00581CD0" w:rsidRPr="00271B0A" w:rsidRDefault="00581CD0" w:rsidP="008D631D">
            <w:pPr>
              <w:rPr>
                <w:sz w:val="24"/>
                <w:szCs w:val="24"/>
              </w:rPr>
            </w:pPr>
            <w:r w:rsidRPr="00271B0A">
              <w:rPr>
                <w:sz w:val="24"/>
                <w:szCs w:val="24"/>
              </w:rPr>
              <w:t>Follow up duration (if applicable)</w:t>
            </w:r>
          </w:p>
        </w:tc>
        <w:tc>
          <w:tcPr>
            <w:tcW w:w="5131" w:type="dxa"/>
          </w:tcPr>
          <w:p w14:paraId="79B98E01" w14:textId="77777777" w:rsidR="00581CD0" w:rsidRPr="00271B0A" w:rsidRDefault="00581CD0" w:rsidP="008D631D">
            <w:pPr>
              <w:rPr>
                <w:sz w:val="24"/>
                <w:szCs w:val="24"/>
              </w:rPr>
            </w:pPr>
            <w:r w:rsidRPr="00271B0A">
              <w:rPr>
                <w:sz w:val="24"/>
                <w:szCs w:val="24"/>
              </w:rPr>
              <w:t>2 years</w:t>
            </w:r>
          </w:p>
        </w:tc>
      </w:tr>
      <w:tr w:rsidR="00581CD0" w:rsidRPr="00271B0A" w14:paraId="51D4CB41" w14:textId="77777777" w:rsidTr="008D631D">
        <w:trPr>
          <w:trHeight w:val="385"/>
        </w:trPr>
        <w:tc>
          <w:tcPr>
            <w:tcW w:w="3936" w:type="dxa"/>
          </w:tcPr>
          <w:p w14:paraId="625C37B8" w14:textId="77777777" w:rsidR="00581CD0" w:rsidRPr="00271B0A" w:rsidRDefault="00581CD0" w:rsidP="008D631D">
            <w:pPr>
              <w:rPr>
                <w:sz w:val="24"/>
                <w:szCs w:val="24"/>
              </w:rPr>
            </w:pPr>
            <w:r w:rsidRPr="00271B0A">
              <w:rPr>
                <w:sz w:val="24"/>
                <w:szCs w:val="24"/>
              </w:rPr>
              <w:t>Planned Study Period</w:t>
            </w:r>
          </w:p>
        </w:tc>
        <w:tc>
          <w:tcPr>
            <w:tcW w:w="5131" w:type="dxa"/>
          </w:tcPr>
          <w:p w14:paraId="06D26E0E" w14:textId="77777777" w:rsidR="00581CD0" w:rsidRPr="00271B0A" w:rsidRDefault="00581CD0" w:rsidP="008D631D">
            <w:pPr>
              <w:rPr>
                <w:sz w:val="24"/>
                <w:szCs w:val="24"/>
              </w:rPr>
            </w:pPr>
            <w:r w:rsidRPr="00271B0A">
              <w:rPr>
                <w:sz w:val="24"/>
                <w:szCs w:val="24"/>
              </w:rPr>
              <w:t>2 years</w:t>
            </w:r>
          </w:p>
        </w:tc>
      </w:tr>
      <w:tr w:rsidR="00581CD0" w:rsidRPr="00271B0A" w14:paraId="68B28F5A" w14:textId="77777777" w:rsidTr="008D631D">
        <w:trPr>
          <w:trHeight w:val="1954"/>
        </w:trPr>
        <w:tc>
          <w:tcPr>
            <w:tcW w:w="3936" w:type="dxa"/>
          </w:tcPr>
          <w:p w14:paraId="6B8650FB" w14:textId="77777777" w:rsidR="00581CD0" w:rsidRPr="00271B0A" w:rsidRDefault="00581CD0" w:rsidP="008D631D">
            <w:pPr>
              <w:rPr>
                <w:sz w:val="24"/>
                <w:szCs w:val="24"/>
              </w:rPr>
            </w:pPr>
            <w:r w:rsidRPr="00271B0A">
              <w:rPr>
                <w:sz w:val="24"/>
                <w:szCs w:val="24"/>
              </w:rPr>
              <w:t>Research Question/Aim(s)</w:t>
            </w:r>
          </w:p>
          <w:p w14:paraId="1ADD9B41" w14:textId="77777777" w:rsidR="00581CD0" w:rsidRPr="00271B0A" w:rsidRDefault="00581CD0" w:rsidP="008D631D">
            <w:pPr>
              <w:rPr>
                <w:sz w:val="24"/>
                <w:szCs w:val="24"/>
              </w:rPr>
            </w:pPr>
          </w:p>
        </w:tc>
        <w:tc>
          <w:tcPr>
            <w:tcW w:w="5131" w:type="dxa"/>
          </w:tcPr>
          <w:p w14:paraId="4299E002" w14:textId="5EC54D00" w:rsidR="00581CD0" w:rsidRDefault="00581CD0" w:rsidP="008D631D">
            <w:pPr>
              <w:rPr>
                <w:sz w:val="24"/>
                <w:szCs w:val="24"/>
              </w:rPr>
            </w:pPr>
            <w:r w:rsidRPr="00271B0A">
              <w:rPr>
                <w:sz w:val="24"/>
                <w:szCs w:val="24"/>
              </w:rPr>
              <w:t xml:space="preserve">To understand </w:t>
            </w:r>
            <w:r>
              <w:rPr>
                <w:sz w:val="24"/>
                <w:szCs w:val="24"/>
              </w:rPr>
              <w:t xml:space="preserve">the effects of SGLT2 inhibition on novel and standard care biomarkers in patients with heart failure and correlate these changes with echocardiographic imaging and </w:t>
            </w:r>
            <w:r w:rsidR="009F6AA3">
              <w:rPr>
                <w:sz w:val="24"/>
                <w:szCs w:val="24"/>
              </w:rPr>
              <w:t>quality of life (</w:t>
            </w:r>
            <w:r>
              <w:rPr>
                <w:sz w:val="24"/>
                <w:szCs w:val="24"/>
              </w:rPr>
              <w:t>QoL</w:t>
            </w:r>
            <w:r w:rsidR="009F6AA3">
              <w:rPr>
                <w:sz w:val="24"/>
                <w:szCs w:val="24"/>
              </w:rPr>
              <w:t>)</w:t>
            </w:r>
            <w:r>
              <w:rPr>
                <w:sz w:val="24"/>
                <w:szCs w:val="24"/>
              </w:rPr>
              <w:t xml:space="preserve"> outcomes.</w:t>
            </w:r>
          </w:p>
          <w:p w14:paraId="24338CF0" w14:textId="77777777" w:rsidR="00581CD0" w:rsidRPr="00271B0A" w:rsidRDefault="00581CD0" w:rsidP="008D631D">
            <w:pPr>
              <w:rPr>
                <w:sz w:val="24"/>
                <w:szCs w:val="24"/>
              </w:rPr>
            </w:pPr>
            <w:r>
              <w:rPr>
                <w:sz w:val="24"/>
                <w:szCs w:val="24"/>
              </w:rPr>
              <w:t>This study forms the basis of a MD (Res) proposal for the candidate Dr Patrick Savage.</w:t>
            </w:r>
          </w:p>
        </w:tc>
      </w:tr>
      <w:tr w:rsidR="00581CD0" w:rsidRPr="00271B0A" w14:paraId="4F910471" w14:textId="77777777" w:rsidTr="008D631D">
        <w:trPr>
          <w:trHeight w:val="478"/>
        </w:trPr>
        <w:tc>
          <w:tcPr>
            <w:tcW w:w="3936" w:type="dxa"/>
          </w:tcPr>
          <w:p w14:paraId="25326A6E" w14:textId="77777777" w:rsidR="00581CD0" w:rsidRPr="00271B0A" w:rsidRDefault="00581CD0" w:rsidP="008D631D">
            <w:pPr>
              <w:rPr>
                <w:sz w:val="24"/>
                <w:szCs w:val="24"/>
              </w:rPr>
            </w:pPr>
            <w:r>
              <w:rPr>
                <w:sz w:val="24"/>
                <w:szCs w:val="24"/>
              </w:rPr>
              <w:t>Primary researcher</w:t>
            </w:r>
          </w:p>
        </w:tc>
        <w:tc>
          <w:tcPr>
            <w:tcW w:w="5131" w:type="dxa"/>
          </w:tcPr>
          <w:p w14:paraId="1A29C5AC" w14:textId="77777777" w:rsidR="00581CD0" w:rsidRPr="00271B0A" w:rsidRDefault="00581CD0" w:rsidP="008D631D">
            <w:pPr>
              <w:rPr>
                <w:sz w:val="24"/>
                <w:szCs w:val="24"/>
              </w:rPr>
            </w:pPr>
            <w:r>
              <w:rPr>
                <w:sz w:val="24"/>
                <w:szCs w:val="24"/>
              </w:rPr>
              <w:t xml:space="preserve">Dr Patrick Savage. </w:t>
            </w:r>
          </w:p>
        </w:tc>
      </w:tr>
      <w:tr w:rsidR="00581CD0" w:rsidRPr="00271B0A" w14:paraId="266560C4" w14:textId="77777777" w:rsidTr="008D631D">
        <w:trPr>
          <w:trHeight w:val="478"/>
        </w:trPr>
        <w:tc>
          <w:tcPr>
            <w:tcW w:w="3936" w:type="dxa"/>
          </w:tcPr>
          <w:p w14:paraId="09643C4B" w14:textId="77777777" w:rsidR="00581CD0" w:rsidRDefault="00581CD0" w:rsidP="008D631D">
            <w:pPr>
              <w:rPr>
                <w:sz w:val="24"/>
                <w:szCs w:val="24"/>
              </w:rPr>
            </w:pPr>
            <w:r>
              <w:rPr>
                <w:sz w:val="24"/>
                <w:szCs w:val="24"/>
              </w:rPr>
              <w:t>Chief Investigator</w:t>
            </w:r>
          </w:p>
        </w:tc>
        <w:tc>
          <w:tcPr>
            <w:tcW w:w="5131" w:type="dxa"/>
          </w:tcPr>
          <w:p w14:paraId="6569C988" w14:textId="77777777" w:rsidR="00581CD0" w:rsidRDefault="00581CD0" w:rsidP="008D631D">
            <w:pPr>
              <w:rPr>
                <w:sz w:val="24"/>
                <w:szCs w:val="24"/>
              </w:rPr>
            </w:pPr>
            <w:r>
              <w:rPr>
                <w:sz w:val="24"/>
                <w:szCs w:val="24"/>
              </w:rPr>
              <w:t>Dr Chris Watson</w:t>
            </w:r>
          </w:p>
        </w:tc>
      </w:tr>
      <w:tr w:rsidR="00581CD0" w:rsidRPr="00271B0A" w14:paraId="2FA5ACD5" w14:textId="77777777" w:rsidTr="008D631D">
        <w:trPr>
          <w:trHeight w:val="478"/>
        </w:trPr>
        <w:tc>
          <w:tcPr>
            <w:tcW w:w="3936" w:type="dxa"/>
          </w:tcPr>
          <w:p w14:paraId="1A3E0A6F" w14:textId="77777777" w:rsidR="00581CD0" w:rsidRDefault="00581CD0" w:rsidP="008D631D">
            <w:pPr>
              <w:rPr>
                <w:sz w:val="24"/>
                <w:szCs w:val="24"/>
              </w:rPr>
            </w:pPr>
            <w:r>
              <w:rPr>
                <w:sz w:val="24"/>
                <w:szCs w:val="24"/>
              </w:rPr>
              <w:t xml:space="preserve">Principle Investigator </w:t>
            </w:r>
          </w:p>
        </w:tc>
        <w:tc>
          <w:tcPr>
            <w:tcW w:w="5131" w:type="dxa"/>
          </w:tcPr>
          <w:p w14:paraId="592305E3" w14:textId="77777777" w:rsidR="00581CD0" w:rsidRDefault="00581CD0" w:rsidP="008D631D">
            <w:pPr>
              <w:rPr>
                <w:sz w:val="24"/>
                <w:szCs w:val="24"/>
              </w:rPr>
            </w:pPr>
            <w:r>
              <w:rPr>
                <w:sz w:val="24"/>
                <w:szCs w:val="24"/>
              </w:rPr>
              <w:t>Dr Lana Dixon</w:t>
            </w:r>
          </w:p>
        </w:tc>
      </w:tr>
    </w:tbl>
    <w:p w14:paraId="01E43948" w14:textId="77777777" w:rsidR="00581CD0" w:rsidRDefault="00581CD0" w:rsidP="00581CD0"/>
    <w:p w14:paraId="2B7620BA" w14:textId="77777777" w:rsidR="00581CD0" w:rsidRDefault="00581CD0" w:rsidP="00581CD0"/>
    <w:p w14:paraId="6DD2416F" w14:textId="77777777" w:rsidR="00581CD0" w:rsidRDefault="00581CD0" w:rsidP="00581CD0"/>
    <w:p w14:paraId="36252334" w14:textId="77777777" w:rsidR="00581CD0" w:rsidRDefault="00581CD0" w:rsidP="00581CD0"/>
    <w:p w14:paraId="49C460AD" w14:textId="77777777" w:rsidR="00581CD0" w:rsidRDefault="00581CD0" w:rsidP="00581CD0"/>
    <w:p w14:paraId="0DBD9E13" w14:textId="77777777" w:rsidR="00581CD0" w:rsidRDefault="00581CD0" w:rsidP="00581CD0"/>
    <w:p w14:paraId="3E65EE7B" w14:textId="77777777" w:rsidR="00581CD0" w:rsidRDefault="00581CD0" w:rsidP="00581CD0"/>
    <w:p w14:paraId="677ACBA2" w14:textId="77777777" w:rsidR="00581CD0" w:rsidRDefault="00581CD0" w:rsidP="00581CD0"/>
    <w:p w14:paraId="6CE2F5B8" w14:textId="77777777" w:rsidR="00581CD0" w:rsidRDefault="00581CD0" w:rsidP="00581CD0"/>
    <w:p w14:paraId="59F974F3" w14:textId="77777777" w:rsidR="00581CD0" w:rsidRDefault="00581CD0" w:rsidP="00581CD0">
      <w:pPr>
        <w:pBdr>
          <w:bottom w:val="single" w:sz="4" w:space="1" w:color="auto"/>
        </w:pBdr>
      </w:pPr>
    </w:p>
    <w:p w14:paraId="520877B3" w14:textId="5C8CE092" w:rsidR="00581CD0" w:rsidRPr="00271B0A" w:rsidRDefault="00535AD6" w:rsidP="00581CD0">
      <w:pPr>
        <w:pBdr>
          <w:bottom w:val="single" w:sz="4" w:space="1" w:color="auto"/>
        </w:pBdr>
        <w:rPr>
          <w:b/>
          <w:sz w:val="24"/>
          <w:szCs w:val="24"/>
        </w:rPr>
      </w:pPr>
      <w:r>
        <w:rPr>
          <w:b/>
          <w:sz w:val="24"/>
          <w:szCs w:val="24"/>
        </w:rPr>
        <w:lastRenderedPageBreak/>
        <w:t xml:space="preserve">3.8.3. </w:t>
      </w:r>
      <w:r w:rsidR="00581CD0" w:rsidRPr="00271B0A">
        <w:rPr>
          <w:b/>
          <w:sz w:val="24"/>
          <w:szCs w:val="24"/>
        </w:rPr>
        <w:t>ACADEMIC SUPERVISORS</w:t>
      </w:r>
    </w:p>
    <w:tbl>
      <w:tblPr>
        <w:tblStyle w:val="TableGrid"/>
        <w:tblW w:w="0" w:type="auto"/>
        <w:tblLook w:val="04A0" w:firstRow="1" w:lastRow="0" w:firstColumn="1" w:lastColumn="0" w:noHBand="0" w:noVBand="1"/>
      </w:tblPr>
      <w:tblGrid>
        <w:gridCol w:w="3342"/>
        <w:gridCol w:w="5674"/>
      </w:tblGrid>
      <w:tr w:rsidR="00581CD0" w:rsidRPr="00271B0A" w14:paraId="1A6B1E36" w14:textId="77777777" w:rsidTr="008D631D">
        <w:tc>
          <w:tcPr>
            <w:tcW w:w="3826" w:type="dxa"/>
          </w:tcPr>
          <w:p w14:paraId="29E4FDAC" w14:textId="77777777" w:rsidR="00581CD0" w:rsidRPr="00271B0A" w:rsidRDefault="00581CD0" w:rsidP="008D631D">
            <w:pPr>
              <w:spacing w:after="160" w:line="259" w:lineRule="auto"/>
            </w:pPr>
            <w:r w:rsidRPr="00271B0A">
              <w:t xml:space="preserve">Academic Supervisor </w:t>
            </w:r>
            <w:r>
              <w:t>1</w:t>
            </w:r>
          </w:p>
        </w:tc>
        <w:tc>
          <w:tcPr>
            <w:tcW w:w="6136" w:type="dxa"/>
          </w:tcPr>
          <w:p w14:paraId="50E47BB0" w14:textId="77777777" w:rsidR="00581CD0" w:rsidRDefault="00581CD0" w:rsidP="008D631D">
            <w:pPr>
              <w:pStyle w:val="NoSpacing"/>
              <w:rPr>
                <w:lang w:val="en-GB"/>
              </w:rPr>
            </w:pPr>
            <w:r w:rsidRPr="00343DC6">
              <w:rPr>
                <w:lang w:val="en-GB"/>
              </w:rPr>
              <w:t>Dr Chris Watson</w:t>
            </w:r>
          </w:p>
          <w:p w14:paraId="6869DE5C" w14:textId="77777777" w:rsidR="00581CD0" w:rsidRPr="00343DC6" w:rsidRDefault="00581CD0" w:rsidP="008D631D">
            <w:pPr>
              <w:pStyle w:val="NoSpacing"/>
              <w:rPr>
                <w:lang w:val="en-GB"/>
              </w:rPr>
            </w:pPr>
          </w:p>
          <w:p w14:paraId="40845DF1" w14:textId="77777777" w:rsidR="00581CD0" w:rsidRPr="00343DC6" w:rsidRDefault="00581CD0" w:rsidP="008D631D">
            <w:pPr>
              <w:pStyle w:val="NoSpacing"/>
              <w:rPr>
                <w:lang w:val="en-GB"/>
              </w:rPr>
            </w:pPr>
            <w:r w:rsidRPr="00343DC6">
              <w:rPr>
                <w:lang w:val="en-GB"/>
              </w:rPr>
              <w:t>Queen’s University Belfast</w:t>
            </w:r>
          </w:p>
          <w:p w14:paraId="3114BD52" w14:textId="77777777" w:rsidR="00581CD0" w:rsidRPr="00343DC6" w:rsidRDefault="00581CD0" w:rsidP="008D631D">
            <w:pPr>
              <w:pStyle w:val="NoSpacing"/>
              <w:rPr>
                <w:lang w:val="en-GB"/>
              </w:rPr>
            </w:pPr>
            <w:r w:rsidRPr="00343DC6">
              <w:rPr>
                <w:lang w:val="en-GB"/>
              </w:rPr>
              <w:t>Wellcome-Wolfson Institute for Experimental Medicine</w:t>
            </w:r>
          </w:p>
          <w:p w14:paraId="03AFB34E" w14:textId="77777777" w:rsidR="00581CD0" w:rsidRPr="00343DC6" w:rsidRDefault="00581CD0" w:rsidP="008D631D">
            <w:pPr>
              <w:pStyle w:val="NoSpacing"/>
              <w:rPr>
                <w:lang w:val="en-GB"/>
              </w:rPr>
            </w:pPr>
            <w:r w:rsidRPr="00343DC6">
              <w:rPr>
                <w:lang w:val="en-GB"/>
              </w:rPr>
              <w:t>BT79BL</w:t>
            </w:r>
          </w:p>
          <w:p w14:paraId="067E79E0" w14:textId="77777777" w:rsidR="00581CD0" w:rsidRPr="00343DC6" w:rsidRDefault="00581CD0" w:rsidP="008D631D">
            <w:pPr>
              <w:pStyle w:val="NoSpacing"/>
              <w:rPr>
                <w:u w:val="single"/>
                <w:lang w:val="en-GB"/>
              </w:rPr>
            </w:pPr>
            <w:hyperlink r:id="rId7" w:history="1">
              <w:r w:rsidRPr="00343DC6">
                <w:rPr>
                  <w:rStyle w:val="Hyperlink"/>
                  <w:lang w:val="en-GB"/>
                </w:rPr>
                <w:t>chris.watson@qub.ac.uk</w:t>
              </w:r>
            </w:hyperlink>
          </w:p>
          <w:p w14:paraId="3D16453E" w14:textId="77777777" w:rsidR="00581CD0" w:rsidRPr="00343DC6" w:rsidRDefault="00581CD0" w:rsidP="008D631D">
            <w:pPr>
              <w:pStyle w:val="NoSpacing"/>
              <w:rPr>
                <w:lang w:val="en-GB"/>
              </w:rPr>
            </w:pPr>
            <w:r w:rsidRPr="00343DC6">
              <w:rPr>
                <w:lang w:val="en-GB"/>
              </w:rPr>
              <w:t>02890976478</w:t>
            </w:r>
          </w:p>
        </w:tc>
      </w:tr>
      <w:tr w:rsidR="00581CD0" w:rsidRPr="00271B0A" w14:paraId="19FF99F0" w14:textId="77777777" w:rsidTr="008D631D">
        <w:tc>
          <w:tcPr>
            <w:tcW w:w="3826" w:type="dxa"/>
          </w:tcPr>
          <w:p w14:paraId="1A72CA6C" w14:textId="77777777" w:rsidR="00581CD0" w:rsidRPr="00271B0A" w:rsidRDefault="00581CD0" w:rsidP="008D631D">
            <w:pPr>
              <w:spacing w:after="160" w:line="259" w:lineRule="auto"/>
            </w:pPr>
            <w:r w:rsidRPr="00271B0A">
              <w:t>Academic Supervisor</w:t>
            </w:r>
            <w:r w:rsidRPr="00343DC6">
              <w:t xml:space="preserve"> </w:t>
            </w:r>
            <w:r>
              <w:t>2</w:t>
            </w:r>
          </w:p>
        </w:tc>
        <w:tc>
          <w:tcPr>
            <w:tcW w:w="6136" w:type="dxa"/>
          </w:tcPr>
          <w:p w14:paraId="40CC4BAE" w14:textId="77777777" w:rsidR="00581CD0" w:rsidRDefault="00581CD0" w:rsidP="008D631D">
            <w:pPr>
              <w:pStyle w:val="NoSpacing"/>
              <w:rPr>
                <w:lang w:val="en-GB"/>
              </w:rPr>
            </w:pPr>
            <w:r w:rsidRPr="00343DC6">
              <w:rPr>
                <w:lang w:val="en-GB"/>
              </w:rPr>
              <w:t>Dr Lana Dixon</w:t>
            </w:r>
          </w:p>
          <w:p w14:paraId="78801FC2" w14:textId="77777777" w:rsidR="00581CD0" w:rsidRPr="00343DC6" w:rsidRDefault="00581CD0" w:rsidP="008D631D">
            <w:pPr>
              <w:pStyle w:val="NoSpacing"/>
              <w:rPr>
                <w:lang w:val="en-GB"/>
              </w:rPr>
            </w:pPr>
          </w:p>
          <w:p w14:paraId="664F559A" w14:textId="77777777" w:rsidR="00581CD0" w:rsidRPr="00343DC6" w:rsidRDefault="00581CD0" w:rsidP="008D631D">
            <w:pPr>
              <w:pStyle w:val="NoSpacing"/>
              <w:rPr>
                <w:lang w:val="en-GB"/>
              </w:rPr>
            </w:pPr>
            <w:r w:rsidRPr="00343DC6">
              <w:rPr>
                <w:lang w:val="en-GB"/>
              </w:rPr>
              <w:t xml:space="preserve">Cardiology </w:t>
            </w:r>
          </w:p>
          <w:p w14:paraId="0C93E62A" w14:textId="77777777" w:rsidR="00581CD0" w:rsidRPr="00343DC6" w:rsidRDefault="00581CD0" w:rsidP="008D631D">
            <w:pPr>
              <w:pStyle w:val="NoSpacing"/>
              <w:rPr>
                <w:lang w:val="en-GB"/>
              </w:rPr>
            </w:pPr>
            <w:r w:rsidRPr="00343DC6">
              <w:rPr>
                <w:lang w:val="en-GB"/>
              </w:rPr>
              <w:t>Royal Victoria Hospital Belfast</w:t>
            </w:r>
          </w:p>
          <w:p w14:paraId="20F19E58" w14:textId="77777777" w:rsidR="00581CD0" w:rsidRPr="00343DC6" w:rsidRDefault="00581CD0" w:rsidP="008D631D">
            <w:pPr>
              <w:pStyle w:val="NoSpacing"/>
              <w:rPr>
                <w:lang w:val="en-GB"/>
              </w:rPr>
            </w:pPr>
            <w:r w:rsidRPr="00343DC6">
              <w:rPr>
                <w:lang w:val="en-GB"/>
              </w:rPr>
              <w:t xml:space="preserve">274 Grosvenor Road, </w:t>
            </w:r>
          </w:p>
          <w:p w14:paraId="70545B93" w14:textId="77777777" w:rsidR="00581CD0" w:rsidRPr="00343DC6" w:rsidRDefault="00581CD0" w:rsidP="008D631D">
            <w:pPr>
              <w:pStyle w:val="NoSpacing"/>
              <w:rPr>
                <w:lang w:val="en-GB"/>
              </w:rPr>
            </w:pPr>
            <w:r w:rsidRPr="00343DC6">
              <w:rPr>
                <w:lang w:val="en-GB"/>
              </w:rPr>
              <w:t>Belfast</w:t>
            </w:r>
          </w:p>
          <w:p w14:paraId="6F4A0CC9" w14:textId="77777777" w:rsidR="00581CD0" w:rsidRPr="00343DC6" w:rsidRDefault="00581CD0" w:rsidP="008D631D">
            <w:pPr>
              <w:pStyle w:val="NoSpacing"/>
              <w:rPr>
                <w:lang w:val="en-GB"/>
              </w:rPr>
            </w:pPr>
            <w:r w:rsidRPr="00343DC6">
              <w:rPr>
                <w:lang w:val="en-GB"/>
              </w:rPr>
              <w:t>BT126BA</w:t>
            </w:r>
          </w:p>
          <w:p w14:paraId="06D97AED" w14:textId="77777777" w:rsidR="00581CD0" w:rsidRPr="00343DC6" w:rsidRDefault="00581CD0" w:rsidP="008D631D">
            <w:pPr>
              <w:pStyle w:val="NoSpacing"/>
              <w:rPr>
                <w:lang w:val="en-GB"/>
              </w:rPr>
            </w:pPr>
            <w:hyperlink r:id="rId8" w:history="1">
              <w:r w:rsidRPr="00343DC6">
                <w:rPr>
                  <w:rStyle w:val="Hyperlink"/>
                  <w:lang w:val="en-GB"/>
                </w:rPr>
                <w:t>lana.dixon@belfasttrust.hscni.net</w:t>
              </w:r>
            </w:hyperlink>
          </w:p>
          <w:p w14:paraId="604D8BF8" w14:textId="77777777" w:rsidR="00581CD0" w:rsidRPr="00343DC6" w:rsidRDefault="00581CD0" w:rsidP="008D631D">
            <w:pPr>
              <w:pStyle w:val="NoSpacing"/>
              <w:rPr>
                <w:lang w:val="en-GB"/>
              </w:rPr>
            </w:pPr>
            <w:r w:rsidRPr="00343DC6">
              <w:rPr>
                <w:lang w:val="en-GB"/>
              </w:rPr>
              <w:t>02890636455</w:t>
            </w:r>
          </w:p>
        </w:tc>
      </w:tr>
      <w:tr w:rsidR="00581CD0" w:rsidRPr="00271B0A" w14:paraId="2CE47E38" w14:textId="77777777" w:rsidTr="008D631D">
        <w:tc>
          <w:tcPr>
            <w:tcW w:w="3826" w:type="dxa"/>
          </w:tcPr>
          <w:p w14:paraId="7DC154CA" w14:textId="77777777" w:rsidR="00581CD0" w:rsidRPr="00271B0A" w:rsidRDefault="00581CD0" w:rsidP="008D631D">
            <w:pPr>
              <w:spacing w:after="160" w:line="259" w:lineRule="auto"/>
            </w:pPr>
            <w:bookmarkStart w:id="0" w:name="_Hlk127790341"/>
            <w:r w:rsidRPr="00271B0A">
              <w:t>Academic Supervisor</w:t>
            </w:r>
            <w:r>
              <w:t xml:space="preserve"> 3</w:t>
            </w:r>
          </w:p>
        </w:tc>
        <w:tc>
          <w:tcPr>
            <w:tcW w:w="6136" w:type="dxa"/>
          </w:tcPr>
          <w:p w14:paraId="7CDEC9F5" w14:textId="77777777" w:rsidR="00581CD0" w:rsidRDefault="00581CD0" w:rsidP="008D631D">
            <w:pPr>
              <w:pStyle w:val="NoSpacing"/>
              <w:rPr>
                <w:lang w:val="en-GB"/>
              </w:rPr>
            </w:pPr>
            <w:r w:rsidRPr="00343DC6">
              <w:rPr>
                <w:lang w:val="en-GB"/>
              </w:rPr>
              <w:t>Professor David Grieve</w:t>
            </w:r>
          </w:p>
          <w:p w14:paraId="09F6B085" w14:textId="77777777" w:rsidR="00581CD0" w:rsidRPr="00343DC6" w:rsidRDefault="00581CD0" w:rsidP="008D631D">
            <w:pPr>
              <w:pStyle w:val="NoSpacing"/>
              <w:rPr>
                <w:lang w:val="en-GB"/>
              </w:rPr>
            </w:pPr>
          </w:p>
          <w:p w14:paraId="57DEA32D" w14:textId="77777777" w:rsidR="00581CD0" w:rsidRPr="00343DC6" w:rsidRDefault="00581CD0" w:rsidP="008D631D">
            <w:pPr>
              <w:pStyle w:val="NoSpacing"/>
              <w:rPr>
                <w:lang w:val="en-GB"/>
              </w:rPr>
            </w:pPr>
            <w:r w:rsidRPr="00343DC6">
              <w:rPr>
                <w:lang w:val="en-GB"/>
              </w:rPr>
              <w:t>Wellcome-Wolfson Institute of Experimental Medicine</w:t>
            </w:r>
          </w:p>
          <w:p w14:paraId="1326CC6B" w14:textId="77777777" w:rsidR="00581CD0" w:rsidRPr="00343DC6" w:rsidRDefault="00581CD0" w:rsidP="008D631D">
            <w:pPr>
              <w:pStyle w:val="NoSpacing"/>
              <w:rPr>
                <w:lang w:val="en-GB"/>
              </w:rPr>
            </w:pPr>
            <w:r w:rsidRPr="00343DC6">
              <w:rPr>
                <w:lang w:val="en-GB"/>
              </w:rPr>
              <w:t>Queens University Belfast</w:t>
            </w:r>
          </w:p>
          <w:p w14:paraId="527CDAE5" w14:textId="77777777" w:rsidR="00581CD0" w:rsidRPr="00343DC6" w:rsidRDefault="00581CD0" w:rsidP="008D631D">
            <w:pPr>
              <w:pStyle w:val="NoSpacing"/>
              <w:rPr>
                <w:lang w:val="en-GB"/>
              </w:rPr>
            </w:pPr>
            <w:r w:rsidRPr="00343DC6">
              <w:rPr>
                <w:lang w:val="en-GB"/>
              </w:rPr>
              <w:t>97 Lisburn Rd</w:t>
            </w:r>
          </w:p>
          <w:p w14:paraId="1AE65B9C" w14:textId="77777777" w:rsidR="00581CD0" w:rsidRPr="00343DC6" w:rsidRDefault="00581CD0" w:rsidP="008D631D">
            <w:pPr>
              <w:pStyle w:val="NoSpacing"/>
              <w:rPr>
                <w:lang w:val="en-GB"/>
              </w:rPr>
            </w:pPr>
            <w:r w:rsidRPr="00343DC6">
              <w:rPr>
                <w:lang w:val="en-GB"/>
              </w:rPr>
              <w:t xml:space="preserve">Belfast </w:t>
            </w:r>
          </w:p>
          <w:p w14:paraId="1255300A" w14:textId="77777777" w:rsidR="00581CD0" w:rsidRPr="00343DC6" w:rsidRDefault="00581CD0" w:rsidP="008D631D">
            <w:pPr>
              <w:pStyle w:val="NoSpacing"/>
              <w:rPr>
                <w:lang w:val="en-GB"/>
              </w:rPr>
            </w:pPr>
            <w:r w:rsidRPr="00343DC6">
              <w:rPr>
                <w:lang w:val="en-GB"/>
              </w:rPr>
              <w:t>BT9 7AE</w:t>
            </w:r>
          </w:p>
          <w:p w14:paraId="6920A43B" w14:textId="77777777" w:rsidR="00581CD0" w:rsidRPr="00343DC6" w:rsidRDefault="00581CD0" w:rsidP="008D631D">
            <w:pPr>
              <w:pStyle w:val="NoSpacing"/>
              <w:rPr>
                <w:lang w:val="en-GB"/>
              </w:rPr>
            </w:pPr>
            <w:r w:rsidRPr="00343DC6">
              <w:rPr>
                <w:lang w:val="en-GB"/>
              </w:rPr>
              <w:t>02890976468</w:t>
            </w:r>
          </w:p>
          <w:p w14:paraId="244958E8" w14:textId="77777777" w:rsidR="00581CD0" w:rsidRPr="00343DC6" w:rsidRDefault="00581CD0" w:rsidP="008D631D">
            <w:pPr>
              <w:pStyle w:val="NoSpacing"/>
              <w:rPr>
                <w:lang w:val="en-GB"/>
              </w:rPr>
            </w:pPr>
            <w:proofErr w:type="gramStart"/>
            <w:r w:rsidRPr="00343DC6">
              <w:rPr>
                <w:lang w:val="en-GB"/>
              </w:rPr>
              <w:t>d.grieve.qub.ac.uk</w:t>
            </w:r>
            <w:proofErr w:type="gramEnd"/>
          </w:p>
        </w:tc>
      </w:tr>
      <w:bookmarkEnd w:id="0"/>
    </w:tbl>
    <w:p w14:paraId="54CAFE30" w14:textId="77777777" w:rsidR="00581CD0" w:rsidRDefault="00581CD0" w:rsidP="00581CD0"/>
    <w:p w14:paraId="0A865B19" w14:textId="77777777" w:rsidR="00581CD0" w:rsidRDefault="00581CD0" w:rsidP="00581CD0"/>
    <w:p w14:paraId="5F617186" w14:textId="77777777" w:rsidR="00581CD0" w:rsidRDefault="00581CD0" w:rsidP="00581CD0"/>
    <w:p w14:paraId="384CF84C" w14:textId="77777777" w:rsidR="00581CD0" w:rsidRDefault="00581CD0" w:rsidP="00581CD0"/>
    <w:p w14:paraId="7BDE548C" w14:textId="77777777" w:rsidR="00581CD0" w:rsidRDefault="00581CD0" w:rsidP="00581CD0"/>
    <w:p w14:paraId="1B5E7001" w14:textId="77777777" w:rsidR="00581CD0" w:rsidRDefault="00581CD0" w:rsidP="00581CD0"/>
    <w:p w14:paraId="10FB94A2" w14:textId="77777777" w:rsidR="00581CD0" w:rsidRDefault="00581CD0" w:rsidP="00581CD0"/>
    <w:p w14:paraId="1E81BC28" w14:textId="77777777" w:rsidR="00581CD0" w:rsidRDefault="00581CD0" w:rsidP="00581CD0"/>
    <w:p w14:paraId="721C11EF" w14:textId="77777777" w:rsidR="00581CD0" w:rsidRDefault="00581CD0" w:rsidP="00581CD0"/>
    <w:p w14:paraId="39E90200" w14:textId="77777777" w:rsidR="00581CD0" w:rsidRDefault="00581CD0" w:rsidP="00581CD0"/>
    <w:p w14:paraId="3AFE7D5C" w14:textId="77777777" w:rsidR="00581CD0" w:rsidRDefault="00581CD0" w:rsidP="00581CD0"/>
    <w:p w14:paraId="049D33F8" w14:textId="77777777" w:rsidR="009B165E" w:rsidRDefault="009B165E" w:rsidP="00581CD0">
      <w:pPr>
        <w:pBdr>
          <w:bottom w:val="single" w:sz="4" w:space="1" w:color="auto"/>
        </w:pBdr>
      </w:pPr>
    </w:p>
    <w:p w14:paraId="60C1447B" w14:textId="2FFD897A" w:rsidR="00581CD0" w:rsidRPr="009B165E" w:rsidRDefault="009B165E" w:rsidP="00581CD0">
      <w:pPr>
        <w:pBdr>
          <w:bottom w:val="single" w:sz="4" w:space="1" w:color="auto"/>
        </w:pBdr>
        <w:rPr>
          <w:b/>
          <w:bCs/>
          <w:sz w:val="24"/>
          <w:szCs w:val="24"/>
        </w:rPr>
      </w:pPr>
      <w:r w:rsidRPr="009B165E">
        <w:rPr>
          <w:b/>
          <w:bCs/>
          <w:sz w:val="24"/>
          <w:szCs w:val="24"/>
        </w:rPr>
        <w:lastRenderedPageBreak/>
        <w:t xml:space="preserve">3.8.4. </w:t>
      </w:r>
      <w:r w:rsidR="00581CD0" w:rsidRPr="009B165E">
        <w:rPr>
          <w:b/>
          <w:bCs/>
          <w:sz w:val="24"/>
          <w:szCs w:val="24"/>
        </w:rPr>
        <w:t>ABSTRACT</w:t>
      </w:r>
    </w:p>
    <w:p w14:paraId="716D19F7" w14:textId="67FEEEC6" w:rsidR="00581CD0" w:rsidRPr="00F6680D" w:rsidRDefault="009F3ECB" w:rsidP="00581CD0">
      <w:pPr>
        <w:rPr>
          <w:b/>
          <w:bCs/>
          <w:sz w:val="24"/>
          <w:szCs w:val="24"/>
        </w:rPr>
      </w:pPr>
      <w:r>
        <w:rPr>
          <w:b/>
          <w:bCs/>
          <w:sz w:val="24"/>
          <w:szCs w:val="24"/>
        </w:rPr>
        <w:t xml:space="preserve">3.8.4.1. </w:t>
      </w:r>
      <w:r w:rsidR="00581CD0" w:rsidRPr="00F6680D">
        <w:rPr>
          <w:b/>
          <w:bCs/>
          <w:sz w:val="24"/>
          <w:szCs w:val="24"/>
        </w:rPr>
        <w:t>Introduction</w:t>
      </w:r>
    </w:p>
    <w:p w14:paraId="018A1F88" w14:textId="77777777" w:rsidR="00581CD0" w:rsidRPr="00F6680D" w:rsidRDefault="00581CD0" w:rsidP="00581CD0">
      <w:pPr>
        <w:rPr>
          <w:bCs/>
          <w:iCs/>
          <w:sz w:val="24"/>
          <w:szCs w:val="24"/>
        </w:rPr>
      </w:pPr>
      <w:r w:rsidRPr="00F6680D">
        <w:rPr>
          <w:sz w:val="24"/>
          <w:szCs w:val="24"/>
        </w:rPr>
        <w:t xml:space="preserve">Sodium glucose co-transport (SGLT) 2 inhibitors, first developed for the treatment of </w:t>
      </w:r>
      <w:r w:rsidRPr="00F6680D">
        <w:rPr>
          <w:bCs/>
          <w:sz w:val="24"/>
          <w:szCs w:val="24"/>
        </w:rPr>
        <w:t xml:space="preserve">type 2 diabetes mellitus (T2DM), have rapidly become incorporated into standard of care heart failure guidelines following the publication of a series of landmark clinical trials. However, despite the plethora of positive clinical effects, much remains unclear regarding their mechanism of cardiac effects. Available in-vitro and in-vivo data has highlighted its possible action on an array of pathways including inflammatory, autophagic and anti-fibrotic pathways. Additionally, early cardiac imaging studies evaluating SGLT2 inhibition in heart failure have suggested a possible direct cardiac effect with promotion of reverse cardiac remodeling. We therefore sought to evaluate the effects of </w:t>
      </w:r>
      <w:r w:rsidRPr="00F6680D">
        <w:rPr>
          <w:bCs/>
          <w:iCs/>
          <w:sz w:val="24"/>
          <w:szCs w:val="24"/>
        </w:rPr>
        <w:t>SGLT2 inhibition on cardiac biomarkers, myocardial remodelling and patient reported outcomes in heart failure.</w:t>
      </w:r>
    </w:p>
    <w:p w14:paraId="2AE84F31" w14:textId="484ED583" w:rsidR="00581CD0" w:rsidRPr="00F6680D" w:rsidRDefault="009F3ECB" w:rsidP="00581CD0">
      <w:pPr>
        <w:rPr>
          <w:b/>
          <w:bCs/>
          <w:sz w:val="24"/>
          <w:szCs w:val="24"/>
        </w:rPr>
      </w:pPr>
      <w:r>
        <w:rPr>
          <w:b/>
          <w:bCs/>
          <w:sz w:val="24"/>
          <w:szCs w:val="24"/>
        </w:rPr>
        <w:t xml:space="preserve">3.8.4.2. </w:t>
      </w:r>
      <w:r w:rsidR="00581CD0" w:rsidRPr="00F6680D">
        <w:rPr>
          <w:b/>
          <w:bCs/>
          <w:sz w:val="24"/>
          <w:szCs w:val="24"/>
        </w:rPr>
        <w:t xml:space="preserve">Methods </w:t>
      </w:r>
    </w:p>
    <w:p w14:paraId="2D32D9C7" w14:textId="77777777" w:rsidR="00581CD0" w:rsidRPr="00F6680D" w:rsidRDefault="00581CD0" w:rsidP="00581CD0">
      <w:pPr>
        <w:rPr>
          <w:iCs/>
          <w:sz w:val="24"/>
          <w:szCs w:val="24"/>
        </w:rPr>
      </w:pPr>
      <w:r w:rsidRPr="00F6680D">
        <w:rPr>
          <w:iCs/>
          <w:sz w:val="24"/>
          <w:szCs w:val="24"/>
        </w:rPr>
        <w:t xml:space="preserve">The SiN-HF trial is a 26-week, single-arm prospective evaluation of the effects of SGLT2 inhibition on cardiac biomarkers, myocardial remodelling and patient reported outcomes in heart failure with both impaired and preserved left ventricular fraction. </w:t>
      </w:r>
    </w:p>
    <w:p w14:paraId="12D97782" w14:textId="77777777" w:rsidR="00581CD0" w:rsidRPr="00F6680D" w:rsidRDefault="00581CD0" w:rsidP="00581CD0">
      <w:pPr>
        <w:rPr>
          <w:iCs/>
          <w:sz w:val="24"/>
          <w:szCs w:val="24"/>
        </w:rPr>
      </w:pPr>
      <w:r w:rsidRPr="00F6680D">
        <w:rPr>
          <w:iCs/>
          <w:sz w:val="24"/>
          <w:szCs w:val="24"/>
        </w:rPr>
        <w:t xml:space="preserve">The </w:t>
      </w:r>
      <w:r w:rsidRPr="00F6680D">
        <w:rPr>
          <w:i/>
          <w:sz w:val="24"/>
          <w:szCs w:val="24"/>
        </w:rPr>
        <w:t>primary study outcome</w:t>
      </w:r>
      <w:r w:rsidRPr="00F6680D">
        <w:rPr>
          <w:iCs/>
          <w:sz w:val="24"/>
          <w:szCs w:val="24"/>
        </w:rPr>
        <w:t xml:space="preserve"> is to evaluate whether SGLT2 inhibition in heart failure effects changes in novel cardiac biomarkers. This endpoint will be assessed in the full study population across the spectrum of heart failure phenotypes enrolled in the study. This is an exploratory evaluation of novel cardiac pathways which may serve to establish unknown, therapeutic mechanisms of action of SGLT2 inhibition in heart failure. </w:t>
      </w:r>
    </w:p>
    <w:p w14:paraId="3BCA67A4" w14:textId="77777777" w:rsidR="00581CD0" w:rsidRPr="00F6680D" w:rsidRDefault="00581CD0" w:rsidP="00581CD0">
      <w:pPr>
        <w:rPr>
          <w:iCs/>
          <w:sz w:val="24"/>
          <w:szCs w:val="24"/>
        </w:rPr>
      </w:pPr>
      <w:r w:rsidRPr="00F6680D">
        <w:rPr>
          <w:i/>
          <w:sz w:val="24"/>
          <w:szCs w:val="24"/>
        </w:rPr>
        <w:t>Secondary outcomes</w:t>
      </w:r>
      <w:r w:rsidRPr="00F6680D">
        <w:rPr>
          <w:iCs/>
          <w:sz w:val="24"/>
          <w:szCs w:val="24"/>
        </w:rPr>
        <w:t xml:space="preserve"> will evaluate changes in standard of care biomarkers in response to SGLT2 inhibition in heart failure. Additionally, </w:t>
      </w:r>
      <w:r>
        <w:rPr>
          <w:iCs/>
          <w:sz w:val="24"/>
          <w:szCs w:val="24"/>
        </w:rPr>
        <w:t xml:space="preserve">echocardiographic and QoL data </w:t>
      </w:r>
      <w:r w:rsidRPr="00F6680D">
        <w:rPr>
          <w:iCs/>
          <w:sz w:val="24"/>
          <w:szCs w:val="24"/>
        </w:rPr>
        <w:t>will be analysed and correlated with novel biomarker data.  The trial is registered as Clinical Trials.gov identifier:</w:t>
      </w:r>
      <w:r w:rsidRPr="00F6680D">
        <w:rPr>
          <w:i/>
          <w:iCs/>
          <w:sz w:val="24"/>
          <w:szCs w:val="24"/>
        </w:rPr>
        <w:t xml:space="preserve"> NCT06140251</w:t>
      </w:r>
      <w:r w:rsidRPr="00F6680D">
        <w:rPr>
          <w:sz w:val="24"/>
          <w:szCs w:val="24"/>
        </w:rPr>
        <w:t>.</w:t>
      </w:r>
    </w:p>
    <w:p w14:paraId="5EF6E39E" w14:textId="2676B65E" w:rsidR="00581CD0" w:rsidRPr="00F6680D" w:rsidRDefault="009F3ECB" w:rsidP="00581CD0">
      <w:pPr>
        <w:rPr>
          <w:b/>
          <w:bCs/>
          <w:sz w:val="24"/>
          <w:szCs w:val="24"/>
        </w:rPr>
      </w:pPr>
      <w:r>
        <w:rPr>
          <w:b/>
          <w:bCs/>
          <w:sz w:val="24"/>
          <w:szCs w:val="24"/>
        </w:rPr>
        <w:t xml:space="preserve">3.8.4.3. </w:t>
      </w:r>
      <w:r w:rsidR="00581CD0" w:rsidRPr="00F6680D">
        <w:rPr>
          <w:b/>
          <w:bCs/>
          <w:sz w:val="24"/>
          <w:szCs w:val="24"/>
        </w:rPr>
        <w:t>Conclusions</w:t>
      </w:r>
    </w:p>
    <w:p w14:paraId="40870F3F" w14:textId="77777777" w:rsidR="00581CD0" w:rsidRPr="00F6680D" w:rsidRDefault="00581CD0" w:rsidP="00581CD0">
      <w:pPr>
        <w:rPr>
          <w:bCs/>
          <w:iCs/>
          <w:sz w:val="24"/>
          <w:szCs w:val="24"/>
        </w:rPr>
      </w:pPr>
      <w:r w:rsidRPr="00F6680D">
        <w:rPr>
          <w:bCs/>
          <w:iCs/>
          <w:sz w:val="24"/>
          <w:szCs w:val="24"/>
        </w:rPr>
        <w:t xml:space="preserve">The SiN-HF study is 26-week open-label prospective study evaluating whether SGLT2 inhibition in heart failure promotes changes in novel and standard care cardiac biomarkers. Furthermore, it will evaluate if these changes correlate to changes in markers of myocardial remodelling as assessed by cardiac imaging and patient reported outcomes across the spectrum of left ventricular dysfunction. </w:t>
      </w:r>
    </w:p>
    <w:p w14:paraId="1860BE7A" w14:textId="77777777" w:rsidR="00581CD0" w:rsidRPr="00F6680D" w:rsidRDefault="00581CD0" w:rsidP="00581CD0">
      <w:pPr>
        <w:numPr>
          <w:ilvl w:val="0"/>
          <w:numId w:val="4"/>
        </w:numPr>
        <w:rPr>
          <w:bCs/>
          <w:sz w:val="24"/>
          <w:szCs w:val="24"/>
        </w:rPr>
      </w:pPr>
      <w:r w:rsidRPr="00F6680D">
        <w:rPr>
          <w:b/>
          <w:bCs/>
          <w:iCs/>
          <w:sz w:val="24"/>
          <w:szCs w:val="24"/>
        </w:rPr>
        <w:t>What is already known on this topic</w:t>
      </w:r>
      <w:r w:rsidRPr="00F6680D">
        <w:rPr>
          <w:bCs/>
          <w:iCs/>
          <w:sz w:val="24"/>
          <w:szCs w:val="24"/>
        </w:rPr>
        <w:t> – </w:t>
      </w:r>
      <w:r w:rsidRPr="00F6680D">
        <w:rPr>
          <w:bCs/>
          <w:sz w:val="24"/>
          <w:szCs w:val="24"/>
        </w:rPr>
        <w:t xml:space="preserve">SGLT2 inhibitors confer a variety of benefits in patients with heart failure with reductions in mortality and HF hospitalisations noted in randomised data. </w:t>
      </w:r>
    </w:p>
    <w:p w14:paraId="527818F3" w14:textId="77777777" w:rsidR="00581CD0" w:rsidRPr="00F6680D" w:rsidRDefault="00581CD0" w:rsidP="00581CD0">
      <w:pPr>
        <w:numPr>
          <w:ilvl w:val="0"/>
          <w:numId w:val="4"/>
        </w:numPr>
        <w:rPr>
          <w:bCs/>
          <w:sz w:val="24"/>
          <w:szCs w:val="24"/>
        </w:rPr>
      </w:pPr>
      <w:r w:rsidRPr="00F6680D">
        <w:rPr>
          <w:b/>
          <w:bCs/>
          <w:sz w:val="24"/>
          <w:szCs w:val="24"/>
        </w:rPr>
        <w:t>What this study adds</w:t>
      </w:r>
      <w:r w:rsidRPr="00F6680D">
        <w:rPr>
          <w:bCs/>
          <w:sz w:val="24"/>
          <w:szCs w:val="24"/>
        </w:rPr>
        <w:t xml:space="preserve"> – It remains unclear from a mechanistic perspective how SGLT2 inhibition confers the plethora of cardio-protective effects seen in clinical </w:t>
      </w:r>
      <w:r w:rsidRPr="00F6680D">
        <w:rPr>
          <w:bCs/>
          <w:sz w:val="24"/>
          <w:szCs w:val="24"/>
        </w:rPr>
        <w:lastRenderedPageBreak/>
        <w:t xml:space="preserve">trials. This study evaluates key mechanistic pathways and correlates with cardiac imaging to further understand these effects. </w:t>
      </w:r>
    </w:p>
    <w:p w14:paraId="6461F8D1" w14:textId="77777777" w:rsidR="00581CD0" w:rsidRPr="00F6680D" w:rsidRDefault="00581CD0" w:rsidP="00581CD0">
      <w:pPr>
        <w:numPr>
          <w:ilvl w:val="0"/>
          <w:numId w:val="4"/>
        </w:numPr>
        <w:rPr>
          <w:bCs/>
          <w:iCs/>
          <w:sz w:val="24"/>
          <w:szCs w:val="24"/>
        </w:rPr>
      </w:pPr>
      <w:r w:rsidRPr="00F6680D">
        <w:rPr>
          <w:b/>
          <w:bCs/>
          <w:iCs/>
          <w:sz w:val="24"/>
          <w:szCs w:val="24"/>
        </w:rPr>
        <w:t>How this study might affect research, practice or policy</w:t>
      </w:r>
      <w:r w:rsidRPr="00F6680D">
        <w:rPr>
          <w:bCs/>
          <w:iCs/>
          <w:sz w:val="24"/>
          <w:szCs w:val="24"/>
        </w:rPr>
        <w:t xml:space="preserve"> – This study hopes to add new data relevant to the understanding of the mechanisms underpinning the cardioprotective benefits conferred by SGLT2 inhibition in heart failure. </w:t>
      </w:r>
    </w:p>
    <w:p w14:paraId="1D936243" w14:textId="77777777" w:rsidR="00581CD0" w:rsidRPr="00F6680D" w:rsidRDefault="00581CD0" w:rsidP="00581CD0">
      <w:pPr>
        <w:pBdr>
          <w:top w:val="single" w:sz="4" w:space="1" w:color="auto"/>
        </w:pBdr>
        <w:rPr>
          <w:bCs/>
          <w:iCs/>
          <w:sz w:val="24"/>
          <w:szCs w:val="24"/>
        </w:rPr>
      </w:pPr>
    </w:p>
    <w:p w14:paraId="3A2D733D" w14:textId="77777777" w:rsidR="00581CD0" w:rsidRDefault="00581CD0" w:rsidP="00581CD0">
      <w:pPr>
        <w:pBdr>
          <w:bottom w:val="single" w:sz="4" w:space="1" w:color="auto"/>
        </w:pBdr>
        <w:rPr>
          <w:b/>
          <w:bCs/>
          <w:sz w:val="24"/>
          <w:szCs w:val="24"/>
        </w:rPr>
      </w:pPr>
    </w:p>
    <w:p w14:paraId="7CAACF43" w14:textId="77777777" w:rsidR="00581CD0" w:rsidRDefault="00581CD0" w:rsidP="00581CD0">
      <w:pPr>
        <w:pBdr>
          <w:bottom w:val="single" w:sz="4" w:space="1" w:color="auto"/>
        </w:pBdr>
        <w:rPr>
          <w:b/>
          <w:bCs/>
          <w:sz w:val="24"/>
          <w:szCs w:val="24"/>
        </w:rPr>
      </w:pPr>
    </w:p>
    <w:p w14:paraId="3FDE30F4" w14:textId="77777777" w:rsidR="00581CD0" w:rsidRDefault="00581CD0" w:rsidP="00581CD0">
      <w:pPr>
        <w:pBdr>
          <w:bottom w:val="single" w:sz="4" w:space="1" w:color="auto"/>
        </w:pBdr>
        <w:rPr>
          <w:b/>
          <w:bCs/>
          <w:sz w:val="24"/>
          <w:szCs w:val="24"/>
        </w:rPr>
      </w:pPr>
    </w:p>
    <w:p w14:paraId="4A08E4F8" w14:textId="77777777" w:rsidR="00581CD0" w:rsidRDefault="00581CD0" w:rsidP="00581CD0">
      <w:pPr>
        <w:pBdr>
          <w:bottom w:val="single" w:sz="4" w:space="1" w:color="auto"/>
        </w:pBdr>
        <w:rPr>
          <w:b/>
          <w:bCs/>
          <w:sz w:val="24"/>
          <w:szCs w:val="24"/>
        </w:rPr>
      </w:pPr>
    </w:p>
    <w:p w14:paraId="5244E040" w14:textId="77777777" w:rsidR="00581CD0" w:rsidRDefault="00581CD0" w:rsidP="00581CD0">
      <w:pPr>
        <w:pBdr>
          <w:bottom w:val="single" w:sz="4" w:space="1" w:color="auto"/>
        </w:pBdr>
        <w:rPr>
          <w:b/>
          <w:bCs/>
          <w:sz w:val="24"/>
          <w:szCs w:val="24"/>
        </w:rPr>
      </w:pPr>
    </w:p>
    <w:p w14:paraId="375BCF24" w14:textId="77777777" w:rsidR="00581CD0" w:rsidRDefault="00581CD0" w:rsidP="00581CD0">
      <w:pPr>
        <w:pBdr>
          <w:bottom w:val="single" w:sz="4" w:space="1" w:color="auto"/>
        </w:pBdr>
        <w:rPr>
          <w:b/>
          <w:bCs/>
          <w:sz w:val="24"/>
          <w:szCs w:val="24"/>
        </w:rPr>
      </w:pPr>
    </w:p>
    <w:p w14:paraId="58267463" w14:textId="77777777" w:rsidR="00581CD0" w:rsidRDefault="00581CD0" w:rsidP="00581CD0">
      <w:pPr>
        <w:pBdr>
          <w:bottom w:val="single" w:sz="4" w:space="1" w:color="auto"/>
        </w:pBdr>
        <w:rPr>
          <w:b/>
          <w:bCs/>
          <w:sz w:val="24"/>
          <w:szCs w:val="24"/>
        </w:rPr>
      </w:pPr>
    </w:p>
    <w:p w14:paraId="564BF1C6" w14:textId="77777777" w:rsidR="00581CD0" w:rsidRDefault="00581CD0" w:rsidP="00581CD0">
      <w:pPr>
        <w:pBdr>
          <w:bottom w:val="single" w:sz="4" w:space="1" w:color="auto"/>
        </w:pBdr>
        <w:rPr>
          <w:b/>
          <w:bCs/>
          <w:sz w:val="24"/>
          <w:szCs w:val="24"/>
        </w:rPr>
      </w:pPr>
    </w:p>
    <w:p w14:paraId="3A8723C7" w14:textId="77777777" w:rsidR="00581CD0" w:rsidRDefault="00581CD0" w:rsidP="00581CD0">
      <w:pPr>
        <w:pBdr>
          <w:bottom w:val="single" w:sz="4" w:space="1" w:color="auto"/>
        </w:pBdr>
        <w:rPr>
          <w:b/>
          <w:bCs/>
          <w:sz w:val="24"/>
          <w:szCs w:val="24"/>
        </w:rPr>
      </w:pPr>
    </w:p>
    <w:p w14:paraId="6D7463E1" w14:textId="77777777" w:rsidR="00581CD0" w:rsidRDefault="00581CD0" w:rsidP="00581CD0">
      <w:pPr>
        <w:pBdr>
          <w:bottom w:val="single" w:sz="4" w:space="1" w:color="auto"/>
        </w:pBdr>
        <w:rPr>
          <w:b/>
          <w:bCs/>
          <w:sz w:val="24"/>
          <w:szCs w:val="24"/>
        </w:rPr>
      </w:pPr>
    </w:p>
    <w:p w14:paraId="25289FBB" w14:textId="77777777" w:rsidR="00581CD0" w:rsidRDefault="00581CD0" w:rsidP="00581CD0">
      <w:pPr>
        <w:pBdr>
          <w:bottom w:val="single" w:sz="4" w:space="1" w:color="auto"/>
        </w:pBdr>
        <w:rPr>
          <w:b/>
          <w:bCs/>
          <w:sz w:val="24"/>
          <w:szCs w:val="24"/>
        </w:rPr>
      </w:pPr>
    </w:p>
    <w:p w14:paraId="22849F7A" w14:textId="77777777" w:rsidR="00581CD0" w:rsidRDefault="00581CD0" w:rsidP="00581CD0">
      <w:pPr>
        <w:pBdr>
          <w:bottom w:val="single" w:sz="4" w:space="1" w:color="auto"/>
        </w:pBdr>
        <w:rPr>
          <w:b/>
          <w:bCs/>
          <w:sz w:val="24"/>
          <w:szCs w:val="24"/>
        </w:rPr>
      </w:pPr>
    </w:p>
    <w:p w14:paraId="54E6DD4A" w14:textId="77777777" w:rsidR="00581CD0" w:rsidRDefault="00581CD0" w:rsidP="00581CD0">
      <w:pPr>
        <w:pBdr>
          <w:bottom w:val="single" w:sz="4" w:space="1" w:color="auto"/>
        </w:pBdr>
        <w:rPr>
          <w:b/>
          <w:bCs/>
          <w:sz w:val="24"/>
          <w:szCs w:val="24"/>
        </w:rPr>
      </w:pPr>
    </w:p>
    <w:p w14:paraId="37C45525" w14:textId="77777777" w:rsidR="00581CD0" w:rsidRDefault="00581CD0" w:rsidP="00581CD0">
      <w:pPr>
        <w:pBdr>
          <w:bottom w:val="single" w:sz="4" w:space="1" w:color="auto"/>
        </w:pBdr>
        <w:rPr>
          <w:b/>
          <w:bCs/>
          <w:sz w:val="24"/>
          <w:szCs w:val="24"/>
        </w:rPr>
      </w:pPr>
    </w:p>
    <w:p w14:paraId="0203508D" w14:textId="77777777" w:rsidR="00581CD0" w:rsidRDefault="00581CD0" w:rsidP="00581CD0">
      <w:pPr>
        <w:pBdr>
          <w:bottom w:val="single" w:sz="4" w:space="1" w:color="auto"/>
        </w:pBdr>
        <w:rPr>
          <w:b/>
          <w:bCs/>
          <w:sz w:val="24"/>
          <w:szCs w:val="24"/>
        </w:rPr>
      </w:pPr>
    </w:p>
    <w:p w14:paraId="5435D81C" w14:textId="77777777" w:rsidR="00581CD0" w:rsidRDefault="00581CD0" w:rsidP="00581CD0">
      <w:pPr>
        <w:pBdr>
          <w:bottom w:val="single" w:sz="4" w:space="1" w:color="auto"/>
        </w:pBdr>
        <w:rPr>
          <w:b/>
          <w:bCs/>
          <w:sz w:val="24"/>
          <w:szCs w:val="24"/>
        </w:rPr>
      </w:pPr>
    </w:p>
    <w:p w14:paraId="30B08E6E" w14:textId="77777777" w:rsidR="00581CD0" w:rsidRDefault="00581CD0" w:rsidP="00581CD0">
      <w:pPr>
        <w:pBdr>
          <w:bottom w:val="single" w:sz="4" w:space="1" w:color="auto"/>
        </w:pBdr>
        <w:rPr>
          <w:b/>
          <w:bCs/>
          <w:sz w:val="24"/>
          <w:szCs w:val="24"/>
        </w:rPr>
      </w:pPr>
    </w:p>
    <w:p w14:paraId="0054DDCB" w14:textId="77777777" w:rsidR="00581CD0" w:rsidRDefault="00581CD0" w:rsidP="00581CD0">
      <w:pPr>
        <w:pBdr>
          <w:bottom w:val="single" w:sz="4" w:space="1" w:color="auto"/>
        </w:pBdr>
        <w:rPr>
          <w:b/>
          <w:bCs/>
          <w:sz w:val="24"/>
          <w:szCs w:val="24"/>
        </w:rPr>
      </w:pPr>
    </w:p>
    <w:p w14:paraId="52CD6154" w14:textId="77777777" w:rsidR="00581CD0" w:rsidRDefault="00581CD0" w:rsidP="00581CD0">
      <w:pPr>
        <w:pBdr>
          <w:bottom w:val="single" w:sz="4" w:space="1" w:color="auto"/>
        </w:pBdr>
        <w:rPr>
          <w:b/>
          <w:bCs/>
          <w:sz w:val="24"/>
          <w:szCs w:val="24"/>
        </w:rPr>
      </w:pPr>
    </w:p>
    <w:p w14:paraId="2C1BB048" w14:textId="77777777" w:rsidR="00581CD0" w:rsidRDefault="00581CD0" w:rsidP="00581CD0">
      <w:pPr>
        <w:pBdr>
          <w:bottom w:val="single" w:sz="4" w:space="1" w:color="auto"/>
        </w:pBdr>
        <w:rPr>
          <w:b/>
          <w:bCs/>
          <w:sz w:val="24"/>
          <w:szCs w:val="24"/>
        </w:rPr>
      </w:pPr>
    </w:p>
    <w:p w14:paraId="3D467713" w14:textId="77777777" w:rsidR="00581CD0" w:rsidRDefault="00581CD0" w:rsidP="00581CD0">
      <w:pPr>
        <w:pBdr>
          <w:bottom w:val="single" w:sz="4" w:space="1" w:color="auto"/>
        </w:pBdr>
        <w:rPr>
          <w:b/>
          <w:bCs/>
          <w:sz w:val="24"/>
          <w:szCs w:val="24"/>
        </w:rPr>
      </w:pPr>
    </w:p>
    <w:p w14:paraId="5352E13A" w14:textId="77777777" w:rsidR="00581CD0" w:rsidRDefault="00581CD0" w:rsidP="00581CD0">
      <w:pPr>
        <w:pBdr>
          <w:bottom w:val="single" w:sz="4" w:space="1" w:color="auto"/>
        </w:pBdr>
        <w:rPr>
          <w:b/>
          <w:bCs/>
          <w:sz w:val="24"/>
          <w:szCs w:val="24"/>
        </w:rPr>
      </w:pPr>
    </w:p>
    <w:p w14:paraId="2D97594B" w14:textId="77777777" w:rsidR="00581CD0" w:rsidRDefault="00581CD0" w:rsidP="00581CD0">
      <w:pPr>
        <w:pBdr>
          <w:bottom w:val="single" w:sz="4" w:space="1" w:color="auto"/>
        </w:pBdr>
        <w:rPr>
          <w:b/>
          <w:bCs/>
          <w:sz w:val="24"/>
          <w:szCs w:val="24"/>
        </w:rPr>
      </w:pPr>
    </w:p>
    <w:p w14:paraId="22496951" w14:textId="77777777" w:rsidR="00581CD0" w:rsidRDefault="00581CD0" w:rsidP="00581CD0">
      <w:pPr>
        <w:pBdr>
          <w:bottom w:val="single" w:sz="4" w:space="1" w:color="auto"/>
        </w:pBdr>
        <w:rPr>
          <w:b/>
          <w:bCs/>
          <w:sz w:val="24"/>
          <w:szCs w:val="24"/>
        </w:rPr>
      </w:pPr>
    </w:p>
    <w:p w14:paraId="7559FE72" w14:textId="45D98D40" w:rsidR="00581CD0" w:rsidRPr="00F6680D" w:rsidRDefault="007B450B" w:rsidP="00581CD0">
      <w:pPr>
        <w:pBdr>
          <w:bottom w:val="single" w:sz="4" w:space="1" w:color="auto"/>
        </w:pBdr>
        <w:rPr>
          <w:b/>
          <w:bCs/>
          <w:sz w:val="24"/>
          <w:szCs w:val="24"/>
        </w:rPr>
      </w:pPr>
      <w:r>
        <w:rPr>
          <w:b/>
          <w:bCs/>
          <w:sz w:val="24"/>
          <w:szCs w:val="24"/>
        </w:rPr>
        <w:lastRenderedPageBreak/>
        <w:t>3.8.1.</w:t>
      </w:r>
      <w:r w:rsidR="000D6DD2">
        <w:rPr>
          <w:b/>
          <w:bCs/>
          <w:sz w:val="24"/>
          <w:szCs w:val="24"/>
        </w:rPr>
        <w:t>5</w:t>
      </w:r>
      <w:r>
        <w:rPr>
          <w:b/>
          <w:bCs/>
          <w:sz w:val="24"/>
          <w:szCs w:val="24"/>
        </w:rPr>
        <w:t xml:space="preserve">. </w:t>
      </w:r>
      <w:r w:rsidR="00581CD0" w:rsidRPr="00F6680D">
        <w:rPr>
          <w:b/>
          <w:bCs/>
          <w:sz w:val="24"/>
          <w:szCs w:val="24"/>
        </w:rPr>
        <w:t>ROLE OF STUDY SPONSOR AND FUNDER</w:t>
      </w:r>
    </w:p>
    <w:p w14:paraId="18835A32" w14:textId="77777777" w:rsidR="00581CD0" w:rsidRPr="00F6680D" w:rsidRDefault="00581CD0" w:rsidP="00581CD0">
      <w:pPr>
        <w:rPr>
          <w:sz w:val="24"/>
          <w:szCs w:val="24"/>
        </w:rPr>
      </w:pPr>
      <w:r w:rsidRPr="00F6680D">
        <w:rPr>
          <w:sz w:val="24"/>
          <w:szCs w:val="24"/>
        </w:rPr>
        <w:t xml:space="preserve">The sponsor (Queen’s University Belfast) will assume overall responsibility for the initiation and management of the study. The sponsor will oversee study design, conduct, data analysis and interpretation, manuscript writing, and dissemination of results. </w:t>
      </w:r>
    </w:p>
    <w:p w14:paraId="0227F088" w14:textId="77777777" w:rsidR="00581CD0" w:rsidRPr="00F6680D" w:rsidRDefault="00581CD0" w:rsidP="00581CD0">
      <w:pPr>
        <w:rPr>
          <w:sz w:val="24"/>
          <w:szCs w:val="24"/>
        </w:rPr>
      </w:pPr>
      <w:r w:rsidRPr="00F6680D">
        <w:rPr>
          <w:sz w:val="24"/>
          <w:szCs w:val="24"/>
        </w:rPr>
        <w:t>The funder (Heart Trust Fund) has agreed to fund £</w:t>
      </w:r>
      <w:r w:rsidRPr="00F6680D">
        <w:rPr>
          <w:sz w:val="24"/>
          <w:szCs w:val="24"/>
          <w:highlight w:val="black"/>
        </w:rPr>
        <w:t>239,854</w:t>
      </w:r>
      <w:r w:rsidRPr="00F6680D">
        <w:rPr>
          <w:sz w:val="24"/>
          <w:szCs w:val="24"/>
        </w:rPr>
        <w:t xml:space="preserve"> to fund staff cost, University fees, biomarkers and proteome screening.</w:t>
      </w:r>
    </w:p>
    <w:p w14:paraId="51434601" w14:textId="77777777" w:rsidR="00581CD0" w:rsidRDefault="00581CD0" w:rsidP="00581CD0">
      <w:pPr>
        <w:rPr>
          <w:sz w:val="24"/>
          <w:szCs w:val="24"/>
        </w:rPr>
      </w:pPr>
      <w:r w:rsidRPr="00F6680D">
        <w:rPr>
          <w:sz w:val="24"/>
          <w:szCs w:val="24"/>
        </w:rPr>
        <w:t>The Funders accept no responsibility, financial or otherwise, for expenditure (or liabilities arising out of such expenditure) or liabilities arising out of the activities funded by the Grant. The Funders will not indemnify the Host Organisation, the Grant holder or any other person working on the Grant (including employees, students, visiting fellows and subcontractors) against any claims for compensation or against any other claims (whether under any statute or regulation or at common law) for which the Host Organisation may be liable as an employer or otherwise or for which any such person may be liable.</w:t>
      </w:r>
    </w:p>
    <w:p w14:paraId="1CE181D7" w14:textId="77777777" w:rsidR="00581CD0" w:rsidRDefault="00581CD0" w:rsidP="00581CD0">
      <w:pPr>
        <w:rPr>
          <w:sz w:val="24"/>
          <w:szCs w:val="24"/>
        </w:rPr>
      </w:pPr>
    </w:p>
    <w:p w14:paraId="123EC7AF" w14:textId="77777777" w:rsidR="00581CD0" w:rsidRDefault="00581CD0" w:rsidP="00581CD0">
      <w:pPr>
        <w:rPr>
          <w:sz w:val="24"/>
          <w:szCs w:val="24"/>
        </w:rPr>
      </w:pPr>
    </w:p>
    <w:p w14:paraId="0D7F4F5B" w14:textId="77777777" w:rsidR="00581CD0" w:rsidRDefault="00581CD0" w:rsidP="00581CD0">
      <w:pPr>
        <w:rPr>
          <w:sz w:val="24"/>
          <w:szCs w:val="24"/>
        </w:rPr>
      </w:pPr>
    </w:p>
    <w:p w14:paraId="6814142C" w14:textId="77777777" w:rsidR="00581CD0" w:rsidRDefault="00581CD0" w:rsidP="00581CD0">
      <w:pPr>
        <w:rPr>
          <w:sz w:val="24"/>
          <w:szCs w:val="24"/>
        </w:rPr>
      </w:pPr>
    </w:p>
    <w:p w14:paraId="6556CC13" w14:textId="77777777" w:rsidR="00581CD0" w:rsidRDefault="00581CD0" w:rsidP="00581CD0">
      <w:pPr>
        <w:rPr>
          <w:sz w:val="24"/>
          <w:szCs w:val="24"/>
        </w:rPr>
      </w:pPr>
    </w:p>
    <w:p w14:paraId="4DDFEAEA" w14:textId="77777777" w:rsidR="00581CD0" w:rsidRDefault="00581CD0" w:rsidP="00581CD0">
      <w:pPr>
        <w:rPr>
          <w:sz w:val="24"/>
          <w:szCs w:val="24"/>
        </w:rPr>
      </w:pPr>
    </w:p>
    <w:p w14:paraId="2243F012" w14:textId="77777777" w:rsidR="00581CD0" w:rsidRDefault="00581CD0" w:rsidP="00581CD0">
      <w:pPr>
        <w:rPr>
          <w:sz w:val="24"/>
          <w:szCs w:val="24"/>
        </w:rPr>
      </w:pPr>
    </w:p>
    <w:p w14:paraId="235DACF2" w14:textId="77777777" w:rsidR="00581CD0" w:rsidRDefault="00581CD0" w:rsidP="00581CD0">
      <w:pPr>
        <w:rPr>
          <w:sz w:val="24"/>
          <w:szCs w:val="24"/>
        </w:rPr>
      </w:pPr>
    </w:p>
    <w:p w14:paraId="5BC0818D" w14:textId="77777777" w:rsidR="00581CD0" w:rsidRDefault="00581CD0" w:rsidP="00581CD0">
      <w:pPr>
        <w:rPr>
          <w:sz w:val="24"/>
          <w:szCs w:val="24"/>
        </w:rPr>
      </w:pPr>
    </w:p>
    <w:p w14:paraId="0336DC90" w14:textId="77777777" w:rsidR="00581CD0" w:rsidRDefault="00581CD0" w:rsidP="00581CD0">
      <w:pPr>
        <w:rPr>
          <w:sz w:val="24"/>
          <w:szCs w:val="24"/>
        </w:rPr>
      </w:pPr>
    </w:p>
    <w:p w14:paraId="6AB827B9" w14:textId="77777777" w:rsidR="00581CD0" w:rsidRDefault="00581CD0" w:rsidP="00581CD0">
      <w:pPr>
        <w:rPr>
          <w:sz w:val="24"/>
          <w:szCs w:val="24"/>
        </w:rPr>
      </w:pPr>
    </w:p>
    <w:p w14:paraId="35D8D2E1" w14:textId="77777777" w:rsidR="00581CD0" w:rsidRDefault="00581CD0" w:rsidP="00581CD0">
      <w:pPr>
        <w:rPr>
          <w:sz w:val="24"/>
          <w:szCs w:val="24"/>
        </w:rPr>
      </w:pPr>
    </w:p>
    <w:p w14:paraId="5A1ED715" w14:textId="77777777" w:rsidR="00581CD0" w:rsidRDefault="00581CD0" w:rsidP="00581CD0">
      <w:pPr>
        <w:rPr>
          <w:sz w:val="24"/>
          <w:szCs w:val="24"/>
        </w:rPr>
      </w:pPr>
    </w:p>
    <w:p w14:paraId="6C2E1632" w14:textId="77777777" w:rsidR="00581CD0" w:rsidRDefault="00581CD0" w:rsidP="00581CD0">
      <w:pPr>
        <w:rPr>
          <w:sz w:val="24"/>
          <w:szCs w:val="24"/>
        </w:rPr>
      </w:pPr>
    </w:p>
    <w:p w14:paraId="3F1666A3" w14:textId="77777777" w:rsidR="00581CD0" w:rsidRDefault="00581CD0" w:rsidP="00581CD0">
      <w:pPr>
        <w:rPr>
          <w:sz w:val="24"/>
          <w:szCs w:val="24"/>
        </w:rPr>
      </w:pPr>
    </w:p>
    <w:p w14:paraId="596C5966" w14:textId="77777777" w:rsidR="00581CD0" w:rsidRDefault="00581CD0" w:rsidP="00581CD0">
      <w:pPr>
        <w:rPr>
          <w:sz w:val="24"/>
          <w:szCs w:val="24"/>
        </w:rPr>
      </w:pPr>
    </w:p>
    <w:p w14:paraId="2CAE8442" w14:textId="77777777" w:rsidR="00581CD0" w:rsidRDefault="00581CD0" w:rsidP="00581CD0">
      <w:pPr>
        <w:rPr>
          <w:sz w:val="24"/>
          <w:szCs w:val="24"/>
        </w:rPr>
      </w:pPr>
    </w:p>
    <w:p w14:paraId="3E14A886" w14:textId="77777777" w:rsidR="00581CD0" w:rsidRDefault="00581CD0" w:rsidP="00581CD0">
      <w:pPr>
        <w:rPr>
          <w:sz w:val="24"/>
          <w:szCs w:val="24"/>
        </w:rPr>
      </w:pPr>
    </w:p>
    <w:p w14:paraId="399200A2" w14:textId="77777777" w:rsidR="00581CD0" w:rsidRDefault="00581CD0" w:rsidP="00581CD0">
      <w:pPr>
        <w:pBdr>
          <w:bottom w:val="single" w:sz="4" w:space="1" w:color="auto"/>
        </w:pBdr>
        <w:rPr>
          <w:b/>
          <w:bCs/>
          <w:sz w:val="24"/>
          <w:szCs w:val="24"/>
        </w:rPr>
      </w:pPr>
      <w:r w:rsidRPr="00F6680D">
        <w:rPr>
          <w:b/>
          <w:bCs/>
          <w:sz w:val="24"/>
          <w:szCs w:val="24"/>
        </w:rPr>
        <w:lastRenderedPageBreak/>
        <w:t xml:space="preserve">KEYWORDS </w:t>
      </w:r>
      <w:r>
        <w:rPr>
          <w:b/>
          <w:bCs/>
          <w:sz w:val="24"/>
          <w:szCs w:val="24"/>
        </w:rPr>
        <w:t xml:space="preserve">                                                         </w:t>
      </w:r>
    </w:p>
    <w:p w14:paraId="312F2C88" w14:textId="3E82C643" w:rsidR="00581CD0" w:rsidRPr="00D82AE4" w:rsidRDefault="001F4428" w:rsidP="00581CD0">
      <w:pPr>
        <w:rPr>
          <w:sz w:val="24"/>
          <w:szCs w:val="24"/>
        </w:rPr>
      </w:pPr>
      <w:r w:rsidRPr="00D82AE4">
        <w:rPr>
          <w:sz w:val="24"/>
          <w:szCs w:val="24"/>
        </w:rPr>
        <w:t xml:space="preserve">SGLT2, </w:t>
      </w:r>
      <w:r w:rsidR="00D82AE4">
        <w:rPr>
          <w:sz w:val="24"/>
          <w:szCs w:val="24"/>
        </w:rPr>
        <w:t>HEART FAILURE</w:t>
      </w:r>
      <w:r w:rsidRPr="00D82AE4">
        <w:rPr>
          <w:sz w:val="24"/>
          <w:szCs w:val="24"/>
        </w:rPr>
        <w:t xml:space="preserve">, </w:t>
      </w:r>
      <w:r w:rsidR="00D82AE4">
        <w:rPr>
          <w:sz w:val="24"/>
          <w:szCs w:val="24"/>
        </w:rPr>
        <w:t xml:space="preserve">ECHOCARDIOGRAPHY, BIOMARKERS </w:t>
      </w:r>
    </w:p>
    <w:p w14:paraId="79CC2389" w14:textId="77777777" w:rsidR="00581CD0" w:rsidRDefault="00581CD0" w:rsidP="00581CD0">
      <w:pPr>
        <w:rPr>
          <w:b/>
          <w:bCs/>
          <w:sz w:val="24"/>
          <w:szCs w:val="24"/>
        </w:rPr>
      </w:pPr>
    </w:p>
    <w:p w14:paraId="277C3F93" w14:textId="77777777" w:rsidR="00581CD0" w:rsidRDefault="00581CD0" w:rsidP="00581CD0">
      <w:pPr>
        <w:rPr>
          <w:b/>
          <w:bCs/>
          <w:sz w:val="24"/>
          <w:szCs w:val="24"/>
        </w:rPr>
      </w:pPr>
    </w:p>
    <w:p w14:paraId="649FA72B" w14:textId="77777777" w:rsidR="00581CD0" w:rsidRDefault="00581CD0" w:rsidP="00581CD0">
      <w:pPr>
        <w:rPr>
          <w:b/>
          <w:bCs/>
          <w:sz w:val="24"/>
          <w:szCs w:val="24"/>
        </w:rPr>
      </w:pPr>
    </w:p>
    <w:p w14:paraId="1C119C7C" w14:textId="77777777" w:rsidR="00D7217B" w:rsidRDefault="00D7217B" w:rsidP="002A28CF"/>
    <w:p w14:paraId="12518E09" w14:textId="77777777" w:rsidR="008817B9" w:rsidRDefault="008817B9" w:rsidP="002A28CF"/>
    <w:p w14:paraId="126E0295" w14:textId="77777777" w:rsidR="008817B9" w:rsidRDefault="008817B9" w:rsidP="002A28CF"/>
    <w:p w14:paraId="59DAB0CC" w14:textId="77777777" w:rsidR="008817B9" w:rsidRDefault="008817B9" w:rsidP="002A28CF"/>
    <w:p w14:paraId="3BEAB18C" w14:textId="77777777" w:rsidR="008817B9" w:rsidRDefault="008817B9" w:rsidP="002A28CF"/>
    <w:p w14:paraId="57CAE501" w14:textId="77777777" w:rsidR="008817B9" w:rsidRDefault="008817B9" w:rsidP="002A28CF"/>
    <w:p w14:paraId="72FB34BD" w14:textId="77777777" w:rsidR="008817B9" w:rsidRDefault="008817B9" w:rsidP="002A28CF"/>
    <w:p w14:paraId="2239426A" w14:textId="77777777" w:rsidR="008817B9" w:rsidRDefault="008817B9" w:rsidP="002A28CF"/>
    <w:p w14:paraId="16A099DE" w14:textId="77777777" w:rsidR="008817B9" w:rsidRDefault="008817B9" w:rsidP="002A28CF"/>
    <w:p w14:paraId="4A00B207" w14:textId="77777777" w:rsidR="008817B9" w:rsidRDefault="008817B9" w:rsidP="002A28CF"/>
    <w:p w14:paraId="6DCE53EA" w14:textId="77777777" w:rsidR="008817B9" w:rsidRDefault="008817B9" w:rsidP="002A28CF"/>
    <w:p w14:paraId="130FBB8C" w14:textId="77777777" w:rsidR="008817B9" w:rsidRDefault="008817B9" w:rsidP="002A28CF"/>
    <w:p w14:paraId="0E64EB7F" w14:textId="77777777" w:rsidR="008817B9" w:rsidRDefault="008817B9" w:rsidP="002A28CF"/>
    <w:p w14:paraId="69415B48" w14:textId="77777777" w:rsidR="00581CD0" w:rsidRDefault="00581CD0" w:rsidP="002A28CF"/>
    <w:p w14:paraId="401E5F6D" w14:textId="77777777" w:rsidR="00581CD0" w:rsidRDefault="00581CD0" w:rsidP="002A28CF"/>
    <w:p w14:paraId="706DB02F" w14:textId="77777777" w:rsidR="00581CD0" w:rsidRDefault="00581CD0" w:rsidP="002A28CF"/>
    <w:p w14:paraId="77A4177E" w14:textId="77777777" w:rsidR="00581CD0" w:rsidRDefault="00581CD0" w:rsidP="002A28CF"/>
    <w:p w14:paraId="6C1595FC" w14:textId="77777777" w:rsidR="00581CD0" w:rsidRDefault="00581CD0" w:rsidP="002A28CF"/>
    <w:p w14:paraId="7B6B77E9" w14:textId="77777777" w:rsidR="00581CD0" w:rsidRDefault="00581CD0" w:rsidP="002A28CF"/>
    <w:p w14:paraId="1C9309ED" w14:textId="77777777" w:rsidR="00581CD0" w:rsidRDefault="00581CD0" w:rsidP="002A28CF"/>
    <w:p w14:paraId="5C9C4EE3" w14:textId="77777777" w:rsidR="00581CD0" w:rsidRDefault="00581CD0" w:rsidP="002A28CF"/>
    <w:p w14:paraId="3E42C76E" w14:textId="77777777" w:rsidR="00581CD0" w:rsidRDefault="00581CD0" w:rsidP="002A28CF"/>
    <w:p w14:paraId="78C79EC3" w14:textId="77777777" w:rsidR="00581CD0" w:rsidRDefault="00581CD0" w:rsidP="002A28CF"/>
    <w:p w14:paraId="51901986" w14:textId="77777777" w:rsidR="00581CD0" w:rsidRDefault="00581CD0" w:rsidP="002A28CF"/>
    <w:p w14:paraId="6B7FC872" w14:textId="77777777" w:rsidR="00581CD0" w:rsidRDefault="00581CD0" w:rsidP="002A28CF"/>
    <w:p w14:paraId="5F3DE9F9" w14:textId="2B48E327" w:rsidR="00581CD0" w:rsidRPr="001D65FA" w:rsidRDefault="001D65FA" w:rsidP="001D65FA">
      <w:pPr>
        <w:pBdr>
          <w:bottom w:val="single" w:sz="4" w:space="1" w:color="auto"/>
        </w:pBdr>
        <w:rPr>
          <w:b/>
          <w:bCs/>
          <w:sz w:val="24"/>
          <w:szCs w:val="24"/>
        </w:rPr>
      </w:pPr>
      <w:r>
        <w:rPr>
          <w:b/>
          <w:bCs/>
          <w:sz w:val="24"/>
          <w:szCs w:val="24"/>
        </w:rPr>
        <w:lastRenderedPageBreak/>
        <w:t>TABLES</w:t>
      </w:r>
    </w:p>
    <w:p w14:paraId="42C2AFAC" w14:textId="0AF5D5AA" w:rsidR="001D65FA" w:rsidRDefault="001D65FA" w:rsidP="00EE0310">
      <w:pPr>
        <w:rPr>
          <w:b/>
          <w:bCs/>
          <w:sz w:val="24"/>
          <w:szCs w:val="24"/>
        </w:rPr>
      </w:pPr>
      <w:r w:rsidRPr="001D65FA">
        <w:rPr>
          <w:rFonts w:ascii="Calibri" w:eastAsia="Calibri" w:hAnsi="Calibri" w:cs="Times New Roman"/>
          <w:noProof/>
        </w:rPr>
        <mc:AlternateContent>
          <mc:Choice Requires="wps">
            <w:drawing>
              <wp:inline distT="0" distB="0" distL="0" distR="0" wp14:anchorId="1412A132" wp14:editId="29F22008">
                <wp:extent cx="6069965" cy="7658735"/>
                <wp:effectExtent l="0" t="0" r="26035" b="18415"/>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9965" cy="7658735"/>
                        </a:xfrm>
                        <a:prstGeom prst="rect">
                          <a:avLst/>
                        </a:prstGeom>
                        <a:solidFill>
                          <a:srgbClr val="FFFFFF"/>
                        </a:solidFill>
                        <a:ln w="9525">
                          <a:solidFill>
                            <a:sysClr val="windowText" lastClr="000000"/>
                          </a:solidFill>
                          <a:miter lim="800000"/>
                          <a:headEnd/>
                          <a:tailEnd/>
                        </a:ln>
                      </wps:spPr>
                      <wps:txbx>
                        <w:txbxContent>
                          <w:p w14:paraId="41DA32F3" w14:textId="77777777" w:rsidR="001D65FA" w:rsidRPr="00012C01" w:rsidRDefault="001D65FA" w:rsidP="001D65FA">
                            <w:pPr>
                              <w:pBdr>
                                <w:bottom w:val="single" w:sz="4" w:space="1" w:color="auto"/>
                              </w:pBdr>
                              <w:shd w:val="clear" w:color="auto" w:fill="DEEAF6"/>
                              <w:rPr>
                                <w:b/>
                                <w:bCs/>
                                <w:sz w:val="24"/>
                                <w:szCs w:val="24"/>
                              </w:rPr>
                            </w:pPr>
                            <w:r w:rsidRPr="00CF0AB8">
                              <w:rPr>
                                <w:b/>
                                <w:bCs/>
                                <w:sz w:val="24"/>
                                <w:szCs w:val="24"/>
                              </w:rPr>
                              <w:t>Table 1</w:t>
                            </w:r>
                            <w:r>
                              <w:rPr>
                                <w:b/>
                                <w:bCs/>
                                <w:sz w:val="24"/>
                                <w:szCs w:val="24"/>
                              </w:rPr>
                              <w:t>.</w:t>
                            </w:r>
                            <w:r w:rsidRPr="00CF0AB8">
                              <w:rPr>
                                <w:b/>
                                <w:bCs/>
                                <w:sz w:val="24"/>
                                <w:szCs w:val="24"/>
                              </w:rPr>
                              <w:t xml:space="preserve"> </w:t>
                            </w:r>
                            <w:r w:rsidRPr="00012C01">
                              <w:rPr>
                                <w:b/>
                                <w:bCs/>
                                <w:sz w:val="24"/>
                                <w:szCs w:val="24"/>
                              </w:rPr>
                              <w:t>Eligibility criteria</w:t>
                            </w:r>
                          </w:p>
                          <w:p w14:paraId="6AE16978" w14:textId="77777777" w:rsidR="001D65FA" w:rsidRDefault="001D65FA" w:rsidP="001D65FA">
                            <w:pPr>
                              <w:shd w:val="clear" w:color="auto" w:fill="FBE4D5"/>
                              <w:rPr>
                                <w:b/>
                                <w:bCs/>
                              </w:rPr>
                            </w:pPr>
                            <w:r>
                              <w:rPr>
                                <w:b/>
                                <w:bCs/>
                              </w:rPr>
                              <w:t>Inclusion criteria</w:t>
                            </w:r>
                          </w:p>
                          <w:p w14:paraId="64980E96" w14:textId="77777777" w:rsidR="001D65FA" w:rsidRPr="00477072" w:rsidRDefault="001D65FA" w:rsidP="001D65FA">
                            <w:pPr>
                              <w:pStyle w:val="ListParagraph"/>
                              <w:numPr>
                                <w:ilvl w:val="0"/>
                                <w:numId w:val="5"/>
                              </w:numPr>
                            </w:pPr>
                            <w:r w:rsidRPr="00477072">
                              <w:t>Provision of signed informed consent prior to any study specific procedures.</w:t>
                            </w:r>
                          </w:p>
                          <w:p w14:paraId="38748335" w14:textId="77777777" w:rsidR="001D65FA" w:rsidRPr="00477072" w:rsidRDefault="001D65FA" w:rsidP="001D65FA">
                            <w:pPr>
                              <w:pStyle w:val="ListParagraph"/>
                              <w:numPr>
                                <w:ilvl w:val="0"/>
                                <w:numId w:val="5"/>
                              </w:numPr>
                            </w:pPr>
                            <w:r w:rsidRPr="00477072">
                              <w:t xml:space="preserve">Male or female, </w:t>
                            </w:r>
                            <w:r>
                              <w:t>&gt;</w:t>
                            </w:r>
                            <w:r w:rsidRPr="00477072">
                              <w:t xml:space="preserve"> </w:t>
                            </w:r>
                            <w:r>
                              <w:t>40 but &lt;90 years of age.</w:t>
                            </w:r>
                          </w:p>
                          <w:p w14:paraId="68DA659D" w14:textId="77777777" w:rsidR="001D65FA" w:rsidRDefault="001D65FA" w:rsidP="001D65FA">
                            <w:pPr>
                              <w:pStyle w:val="ListParagraph"/>
                              <w:numPr>
                                <w:ilvl w:val="0"/>
                                <w:numId w:val="5"/>
                              </w:numPr>
                            </w:pPr>
                            <w:r w:rsidRPr="00477072">
                              <w:t>LVEF &lt;50% on echocardiography or if &gt;50%, co-existing structural markers of diastolic dysfunction must be present</w:t>
                            </w:r>
                            <w:r>
                              <w:t>;</w:t>
                            </w:r>
                          </w:p>
                          <w:p w14:paraId="1D791E51" w14:textId="77777777" w:rsidR="001D65FA" w:rsidRDefault="001D65FA" w:rsidP="001D65FA">
                            <w:pPr>
                              <w:pStyle w:val="ListParagraph"/>
                              <w:numPr>
                                <w:ilvl w:val="0"/>
                                <w:numId w:val="6"/>
                              </w:numPr>
                            </w:pPr>
                            <w:r w:rsidRPr="00477072">
                              <w:t xml:space="preserve">LA width (diameter) </w:t>
                            </w:r>
                            <w:r w:rsidRPr="00477072">
                              <w:rPr>
                                <w:rFonts w:hint="eastAsia"/>
                              </w:rPr>
                              <w:t>≥</w:t>
                            </w:r>
                            <w:r w:rsidRPr="00477072">
                              <w:t>3.8 cm or LA length</w:t>
                            </w:r>
                            <w:r w:rsidRPr="00477072">
                              <w:rPr>
                                <w:rFonts w:hint="eastAsia"/>
                              </w:rPr>
                              <w:t>≥</w:t>
                            </w:r>
                            <w:r w:rsidRPr="00477072">
                              <w:t xml:space="preserve">5.0 cm, or LA area </w:t>
                            </w:r>
                            <w:r w:rsidRPr="00477072">
                              <w:rPr>
                                <w:rFonts w:hint="eastAsia"/>
                              </w:rPr>
                              <w:t>≥</w:t>
                            </w:r>
                            <w:r w:rsidRPr="00477072">
                              <w:t xml:space="preserve">20 cm, LA volume index </w:t>
                            </w:r>
                            <w:r w:rsidRPr="00477072">
                              <w:rPr>
                                <w:rFonts w:hint="eastAsia"/>
                              </w:rPr>
                              <w:t>≥</w:t>
                            </w:r>
                            <w:r>
                              <w:t>34</w:t>
                            </w:r>
                            <w:r w:rsidRPr="00477072">
                              <w:t xml:space="preserve"> mL/m</w:t>
                            </w:r>
                            <w:r>
                              <w:rPr>
                                <w:vertAlign w:val="superscript"/>
                              </w:rPr>
                              <w:t>2</w:t>
                            </w:r>
                            <w:r w:rsidRPr="00477072">
                              <w:t>.</w:t>
                            </w:r>
                          </w:p>
                          <w:p w14:paraId="4A8CBA94" w14:textId="77777777" w:rsidR="001D65FA" w:rsidRDefault="001D65FA" w:rsidP="001D65FA">
                            <w:pPr>
                              <w:pStyle w:val="ListParagraph"/>
                              <w:numPr>
                                <w:ilvl w:val="0"/>
                                <w:numId w:val="6"/>
                              </w:numPr>
                            </w:pPr>
                            <w:r>
                              <w:t>Left ventricular hypertrophy.</w:t>
                            </w:r>
                          </w:p>
                          <w:p w14:paraId="13DE9F9A" w14:textId="77777777" w:rsidR="001D65FA" w:rsidRDefault="001D65FA" w:rsidP="001D65FA">
                            <w:pPr>
                              <w:pStyle w:val="ListParagraph"/>
                              <w:numPr>
                                <w:ilvl w:val="0"/>
                                <w:numId w:val="6"/>
                              </w:numPr>
                            </w:pPr>
                            <w:r>
                              <w:t>Markers of diastolic dysfunction as assessed by pulsed wave doppler echocardiography.</w:t>
                            </w:r>
                          </w:p>
                          <w:p w14:paraId="5E9D96A2" w14:textId="77777777" w:rsidR="001D65FA" w:rsidRDefault="001D65FA" w:rsidP="001D65FA">
                            <w:pPr>
                              <w:pStyle w:val="ListParagraph"/>
                              <w:numPr>
                                <w:ilvl w:val="0"/>
                                <w:numId w:val="6"/>
                              </w:numPr>
                            </w:pPr>
                            <w:r w:rsidRPr="00477072">
                              <w:t>N-terminal pro–B-type natriuretic peptide (NT-proBNP) of at least 125pg per millilitre (or ≥365pg per millilitre if co-existing atrial fibrillation).</w:t>
                            </w:r>
                          </w:p>
                          <w:p w14:paraId="5EA8ADD3" w14:textId="77777777" w:rsidR="001D65FA" w:rsidRPr="00477072" w:rsidRDefault="001D65FA" w:rsidP="001D65FA">
                            <w:pPr>
                              <w:pStyle w:val="ListParagraph"/>
                              <w:numPr>
                                <w:ilvl w:val="0"/>
                                <w:numId w:val="5"/>
                              </w:numPr>
                            </w:pPr>
                            <w:r w:rsidRPr="00477072">
                              <w:t>New York Heart Association (NYHA) class II, III, or IV symptoms</w:t>
                            </w:r>
                            <w:r>
                              <w:t>.</w:t>
                            </w:r>
                          </w:p>
                          <w:p w14:paraId="082163DA" w14:textId="77777777" w:rsidR="001D65FA" w:rsidRPr="00883112" w:rsidRDefault="001D65FA" w:rsidP="001D65FA">
                            <w:pPr>
                              <w:pStyle w:val="ListParagraph"/>
                              <w:numPr>
                                <w:ilvl w:val="0"/>
                                <w:numId w:val="5"/>
                              </w:numPr>
                            </w:pPr>
                            <w:r w:rsidRPr="00883112">
                              <w:t>On optimal tolerated evidence-based HF medications.</w:t>
                            </w:r>
                          </w:p>
                          <w:p w14:paraId="040060C4" w14:textId="77777777" w:rsidR="001D65FA" w:rsidRPr="00C63E38" w:rsidRDefault="001D65FA" w:rsidP="001D65FA">
                            <w:pPr>
                              <w:pStyle w:val="ListParagraph"/>
                              <w:numPr>
                                <w:ilvl w:val="0"/>
                                <w:numId w:val="5"/>
                              </w:numPr>
                              <w:rPr>
                                <w:b/>
                                <w:bCs/>
                              </w:rPr>
                            </w:pPr>
                            <w:r w:rsidRPr="00883112">
                              <w:t>Patients may be ambulatory or recently hospitali</w:t>
                            </w:r>
                            <w:r>
                              <w:t>s</w:t>
                            </w:r>
                            <w:r w:rsidRPr="00883112">
                              <w:t>ed; however, must be &gt;</w:t>
                            </w:r>
                            <w:r>
                              <w:t xml:space="preserve">4 </w:t>
                            </w:r>
                            <w:r w:rsidRPr="00883112">
                              <w:t xml:space="preserve">weeks post-discharge on stable diuretic therapy. </w:t>
                            </w:r>
                          </w:p>
                          <w:p w14:paraId="1D8CE605" w14:textId="77777777" w:rsidR="001D65FA" w:rsidRDefault="001D65FA" w:rsidP="001D65FA">
                            <w:pPr>
                              <w:shd w:val="clear" w:color="auto" w:fill="FBE4D5"/>
                              <w:rPr>
                                <w:b/>
                                <w:bCs/>
                              </w:rPr>
                            </w:pPr>
                            <w:r w:rsidRPr="002D5ADB">
                              <w:rPr>
                                <w:b/>
                                <w:bCs/>
                              </w:rPr>
                              <w:t>Exclusion criteria</w:t>
                            </w:r>
                          </w:p>
                          <w:p w14:paraId="416104BD" w14:textId="77777777" w:rsidR="001D65FA" w:rsidRDefault="001D65FA" w:rsidP="001D65FA">
                            <w:pPr>
                              <w:pStyle w:val="ListParagraph"/>
                              <w:numPr>
                                <w:ilvl w:val="0"/>
                                <w:numId w:val="7"/>
                              </w:numPr>
                            </w:pPr>
                            <w:r w:rsidRPr="002D5ADB">
                              <w:t>Receiving therapy with an SGLT2 inhibitor prior to enrolment or previous intolerance of an SGLT2 inhibitor</w:t>
                            </w:r>
                            <w:r>
                              <w:t>.</w:t>
                            </w:r>
                          </w:p>
                          <w:p w14:paraId="41FFA5F8" w14:textId="77777777" w:rsidR="001D65FA" w:rsidRPr="002D5ADB" w:rsidRDefault="001D65FA" w:rsidP="001D65FA">
                            <w:pPr>
                              <w:pStyle w:val="ListParagraph"/>
                              <w:numPr>
                                <w:ilvl w:val="0"/>
                                <w:numId w:val="7"/>
                              </w:numPr>
                            </w:pPr>
                            <w:r w:rsidRPr="002D5ADB">
                              <w:t>Severe (eGFR &lt;20 mL/min/1.73</w:t>
                            </w:r>
                            <w:r>
                              <w:t>m</w:t>
                            </w:r>
                            <w:r>
                              <w:rPr>
                                <w:vertAlign w:val="superscript"/>
                              </w:rPr>
                              <w:t>2</w:t>
                            </w:r>
                            <w:r w:rsidRPr="002D5ADB">
                              <w:t>), unstable or rapidly progressing renal disease at the time of randomi</w:t>
                            </w:r>
                            <w:r>
                              <w:t>s</w:t>
                            </w:r>
                            <w:r w:rsidRPr="002D5ADB">
                              <w:t>ation</w:t>
                            </w:r>
                            <w:r>
                              <w:t>.</w:t>
                            </w:r>
                          </w:p>
                          <w:p w14:paraId="078EF6BC" w14:textId="77777777" w:rsidR="001D65FA" w:rsidRPr="002D5ADB" w:rsidRDefault="001D65FA" w:rsidP="001D65FA">
                            <w:pPr>
                              <w:pStyle w:val="ListParagraph"/>
                              <w:numPr>
                                <w:ilvl w:val="0"/>
                                <w:numId w:val="7"/>
                              </w:numPr>
                            </w:pPr>
                            <w:r w:rsidRPr="002D5ADB">
                              <w:t>Type 1 diabetes mellitus</w:t>
                            </w:r>
                          </w:p>
                          <w:p w14:paraId="129C4365" w14:textId="77777777" w:rsidR="001D65FA" w:rsidRPr="002D5ADB" w:rsidRDefault="001D65FA" w:rsidP="001D65FA">
                            <w:pPr>
                              <w:pStyle w:val="ListParagraph"/>
                              <w:numPr>
                                <w:ilvl w:val="0"/>
                                <w:numId w:val="7"/>
                              </w:numPr>
                            </w:pPr>
                            <w:r w:rsidRPr="002D5ADB">
                              <w:t>Recent hospitalisation &lt; 1 month</w:t>
                            </w:r>
                            <w:r>
                              <w:t>.</w:t>
                            </w:r>
                          </w:p>
                          <w:p w14:paraId="0FD23CE8" w14:textId="77777777" w:rsidR="001D65FA" w:rsidRDefault="001D65FA" w:rsidP="001D65FA">
                            <w:pPr>
                              <w:pStyle w:val="ListParagraph"/>
                              <w:numPr>
                                <w:ilvl w:val="0"/>
                                <w:numId w:val="7"/>
                              </w:numPr>
                            </w:pPr>
                            <w:r w:rsidRPr="002D5ADB">
                              <w:t>Symptomatic hypotension or systolic BP &lt;95 mmHg at 2 out of 3 measurements</w:t>
                            </w:r>
                          </w:p>
                          <w:p w14:paraId="0F774123" w14:textId="77777777" w:rsidR="001D65FA" w:rsidRPr="002D5ADB" w:rsidRDefault="001D65FA" w:rsidP="001D65FA">
                            <w:pPr>
                              <w:pStyle w:val="ListParagraph"/>
                              <w:numPr>
                                <w:ilvl w:val="0"/>
                                <w:numId w:val="7"/>
                              </w:numPr>
                            </w:pPr>
                            <w:r w:rsidRPr="002D5ADB">
                              <w:t>Symptomatic bradycardia or second or third-degree heart block without a pacemaker.</w:t>
                            </w:r>
                          </w:p>
                          <w:p w14:paraId="6D0A9FAC" w14:textId="77777777" w:rsidR="001D65FA" w:rsidRPr="002D5ADB" w:rsidRDefault="001D65FA" w:rsidP="001D65FA">
                            <w:pPr>
                              <w:pStyle w:val="ListParagraph"/>
                              <w:numPr>
                                <w:ilvl w:val="0"/>
                                <w:numId w:val="7"/>
                              </w:numPr>
                            </w:pPr>
                            <w:r w:rsidRPr="002D5ADB">
                              <w:t>Previous cardiac transplantation or implantation of a ventricular assistance device or similar device, or implantation expected after randomi</w:t>
                            </w:r>
                            <w:r>
                              <w:t>s</w:t>
                            </w:r>
                            <w:r w:rsidRPr="002D5ADB">
                              <w:t>ation</w:t>
                            </w:r>
                            <w:r>
                              <w:t>.</w:t>
                            </w:r>
                          </w:p>
                          <w:p w14:paraId="4B9C8005" w14:textId="77777777" w:rsidR="001D65FA" w:rsidRPr="002D5ADB" w:rsidRDefault="001D65FA" w:rsidP="001D65FA">
                            <w:pPr>
                              <w:pStyle w:val="ListParagraph"/>
                              <w:numPr>
                                <w:ilvl w:val="0"/>
                                <w:numId w:val="7"/>
                              </w:numPr>
                            </w:pPr>
                            <w:r>
                              <w:t>Cardiomyopathy secondary to uncorrected primary valvular disease, infiltrative, arrhythmogenic or right ventricular dysplasia.</w:t>
                            </w:r>
                          </w:p>
                          <w:p w14:paraId="4DE82771" w14:textId="77777777" w:rsidR="001D65FA" w:rsidRDefault="001D65FA" w:rsidP="001D65FA">
                            <w:pPr>
                              <w:pStyle w:val="ListParagraph"/>
                              <w:numPr>
                                <w:ilvl w:val="0"/>
                                <w:numId w:val="7"/>
                              </w:numPr>
                            </w:pPr>
                            <w:r>
                              <w:t xml:space="preserve">Significant comorbidity including; pulmonary lung disease requiring home oxygen or non-invasive ventilation, CTEPH or primary pulmonary hypertension. </w:t>
                            </w:r>
                          </w:p>
                          <w:p w14:paraId="5E3DFBE8" w14:textId="77777777" w:rsidR="001D65FA" w:rsidRDefault="001D65FA" w:rsidP="001D65FA">
                            <w:pPr>
                              <w:shd w:val="clear" w:color="auto" w:fill="DEEAF6"/>
                            </w:pPr>
                            <w:r w:rsidRPr="005C25F6">
                              <w:rPr>
                                <w:b/>
                                <w:bCs/>
                                <w:i/>
                                <w:iCs/>
                              </w:rPr>
                              <w:t>Table 1.</w:t>
                            </w:r>
                            <w:r>
                              <w:t xml:space="preserve"> Inclusions and exclusion criteria for enrolment in study. Left ventricular ejection fraction (LVEF), Left atrium (LA), Heart failure (HF), Sodium-glucose cotransporter-2 (SGLT2), estimated glomerular filtration rate (e GFR), chronic kidney disease (CKD), &amp; chronic thromboembolic pulmonary hypertension (CTEPH).</w:t>
                            </w:r>
                          </w:p>
                        </w:txbxContent>
                      </wps:txbx>
                      <wps:bodyPr rot="0" vert="horz" wrap="square" lIns="91440" tIns="45720" rIns="91440" bIns="45720" anchor="t" anchorCtr="0">
                        <a:noAutofit/>
                      </wps:bodyPr>
                    </wps:wsp>
                  </a:graphicData>
                </a:graphic>
              </wp:inline>
            </w:drawing>
          </mc:Choice>
          <mc:Fallback>
            <w:pict>
              <v:shapetype w14:anchorId="1412A132" id="_x0000_t202" coordsize="21600,21600" o:spt="202" path="m,l,21600r21600,l21600,xe">
                <v:stroke joinstyle="miter"/>
                <v:path gradientshapeok="t" o:connecttype="rect"/>
              </v:shapetype>
              <v:shape id="Text Box 2" o:spid="_x0000_s1026" type="#_x0000_t202" style="width:477.95pt;height:603.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" strokecolor="windowText">
                <v:textbox>
                  <w:txbxContent>
                    <w:p w14:paraId="41DA32F3" w14:textId="77777777" w:rsidR="001D65FA" w:rsidRPr="00012C01" w:rsidRDefault="001D65FA" w:rsidP="001D65FA">
                      <w:pPr>
                        <w:pBdr>
                          <w:bottom w:val="single" w:sz="4" w:space="1" w:color="auto"/>
                        </w:pBdr>
                        <w:shd w:val="clear" w:color="auto" w:fill="DEEAF6"/>
                        <w:rPr>
                          <w:b/>
                          <w:bCs/>
                          <w:sz w:val="24"/>
                          <w:szCs w:val="24"/>
                        </w:rPr>
                      </w:pPr>
                      <w:r w:rsidRPr="00CF0AB8">
                        <w:rPr>
                          <w:b/>
                          <w:bCs/>
                          <w:sz w:val="24"/>
                          <w:szCs w:val="24"/>
                        </w:rPr>
                        <w:t>Table 1</w:t>
                      </w:r>
                      <w:r>
                        <w:rPr>
                          <w:b/>
                          <w:bCs/>
                          <w:sz w:val="24"/>
                          <w:szCs w:val="24"/>
                        </w:rPr>
                        <w:t>.</w:t>
                      </w:r>
                      <w:r w:rsidRPr="00CF0AB8">
                        <w:rPr>
                          <w:b/>
                          <w:bCs/>
                          <w:sz w:val="24"/>
                          <w:szCs w:val="24"/>
                        </w:rPr>
                        <w:t xml:space="preserve"> </w:t>
                      </w:r>
                      <w:r w:rsidRPr="00012C01">
                        <w:rPr>
                          <w:b/>
                          <w:bCs/>
                          <w:sz w:val="24"/>
                          <w:szCs w:val="24"/>
                        </w:rPr>
                        <w:t>Eligibility criteria</w:t>
                      </w:r>
                    </w:p>
                    <w:p w14:paraId="6AE16978" w14:textId="77777777" w:rsidR="001D65FA" w:rsidRDefault="001D65FA" w:rsidP="001D65FA">
                      <w:pPr>
                        <w:shd w:val="clear" w:color="auto" w:fill="FBE4D5"/>
                        <w:rPr>
                          <w:b/>
                          <w:bCs/>
                        </w:rPr>
                      </w:pPr>
                      <w:r>
                        <w:rPr>
                          <w:b/>
                          <w:bCs/>
                        </w:rPr>
                        <w:t>Inclusion criteria</w:t>
                      </w:r>
                    </w:p>
                    <w:p w14:paraId="64980E96" w14:textId="77777777" w:rsidR="001D65FA" w:rsidRPr="00477072" w:rsidRDefault="001D65FA" w:rsidP="001D65FA">
                      <w:pPr>
                        <w:pStyle w:val="ListParagraph"/>
                        <w:numPr>
                          <w:ilvl w:val="0"/>
                          <w:numId w:val="5"/>
                        </w:numPr>
                      </w:pPr>
                      <w:r w:rsidRPr="00477072">
                        <w:t>Provision of signed informed consent prior to any study specific procedures.</w:t>
                      </w:r>
                    </w:p>
                    <w:p w14:paraId="38748335" w14:textId="77777777" w:rsidR="001D65FA" w:rsidRPr="00477072" w:rsidRDefault="001D65FA" w:rsidP="001D65FA">
                      <w:pPr>
                        <w:pStyle w:val="ListParagraph"/>
                        <w:numPr>
                          <w:ilvl w:val="0"/>
                          <w:numId w:val="5"/>
                        </w:numPr>
                      </w:pPr>
                      <w:r w:rsidRPr="00477072">
                        <w:t xml:space="preserve">Male or female, </w:t>
                      </w:r>
                      <w:r>
                        <w:t>&gt;</w:t>
                      </w:r>
                      <w:r w:rsidRPr="00477072">
                        <w:t xml:space="preserve"> </w:t>
                      </w:r>
                      <w:r>
                        <w:t>40 but &lt;90 years of age.</w:t>
                      </w:r>
                    </w:p>
                    <w:p w14:paraId="68DA659D" w14:textId="77777777" w:rsidR="001D65FA" w:rsidRDefault="001D65FA" w:rsidP="001D65FA">
                      <w:pPr>
                        <w:pStyle w:val="ListParagraph"/>
                        <w:numPr>
                          <w:ilvl w:val="0"/>
                          <w:numId w:val="5"/>
                        </w:numPr>
                      </w:pPr>
                      <w:r w:rsidRPr="00477072">
                        <w:t>LVEF &lt;50% on echocardiography or if &gt;50%, co-existing structural markers of diastolic dysfunction must be present</w:t>
                      </w:r>
                      <w:r>
                        <w:t>;</w:t>
                      </w:r>
                    </w:p>
                    <w:p w14:paraId="1D791E51" w14:textId="77777777" w:rsidR="001D65FA" w:rsidRDefault="001D65FA" w:rsidP="001D65FA">
                      <w:pPr>
                        <w:pStyle w:val="ListParagraph"/>
                        <w:numPr>
                          <w:ilvl w:val="0"/>
                          <w:numId w:val="6"/>
                        </w:numPr>
                      </w:pPr>
                      <w:r w:rsidRPr="00477072">
                        <w:t xml:space="preserve">LA width (diameter) </w:t>
                      </w:r>
                      <w:r w:rsidRPr="00477072">
                        <w:rPr>
                          <w:rFonts w:hint="eastAsia"/>
                        </w:rPr>
                        <w:t>≥</w:t>
                      </w:r>
                      <w:r w:rsidRPr="00477072">
                        <w:t>3.8 cm or LA length</w:t>
                      </w:r>
                      <w:r w:rsidRPr="00477072">
                        <w:rPr>
                          <w:rFonts w:hint="eastAsia"/>
                        </w:rPr>
                        <w:t>≥</w:t>
                      </w:r>
                      <w:r w:rsidRPr="00477072">
                        <w:t xml:space="preserve">5.0 cm, or LA area </w:t>
                      </w:r>
                      <w:r w:rsidRPr="00477072">
                        <w:rPr>
                          <w:rFonts w:hint="eastAsia"/>
                        </w:rPr>
                        <w:t>≥</w:t>
                      </w:r>
                      <w:r w:rsidRPr="00477072">
                        <w:t xml:space="preserve">20 cm, LA volume index </w:t>
                      </w:r>
                      <w:r w:rsidRPr="00477072">
                        <w:rPr>
                          <w:rFonts w:hint="eastAsia"/>
                        </w:rPr>
                        <w:t>≥</w:t>
                      </w:r>
                      <w:r>
                        <w:t>34</w:t>
                      </w:r>
                      <w:r w:rsidRPr="00477072">
                        <w:t xml:space="preserve"> mL/m</w:t>
                      </w:r>
                      <w:r>
                        <w:rPr>
                          <w:vertAlign w:val="superscript"/>
                        </w:rPr>
                        <w:t>2</w:t>
                      </w:r>
                      <w:r w:rsidRPr="00477072">
                        <w:t>.</w:t>
                      </w:r>
                    </w:p>
                    <w:p w14:paraId="4A8CBA94" w14:textId="77777777" w:rsidR="001D65FA" w:rsidRDefault="001D65FA" w:rsidP="001D65FA">
                      <w:pPr>
                        <w:pStyle w:val="ListParagraph"/>
                        <w:numPr>
                          <w:ilvl w:val="0"/>
                          <w:numId w:val="6"/>
                        </w:numPr>
                      </w:pPr>
                      <w:r>
                        <w:t>Left ventricular hypertrophy.</w:t>
                      </w:r>
                    </w:p>
                    <w:p w14:paraId="13DE9F9A" w14:textId="77777777" w:rsidR="001D65FA" w:rsidRDefault="001D65FA" w:rsidP="001D65FA">
                      <w:pPr>
                        <w:pStyle w:val="ListParagraph"/>
                        <w:numPr>
                          <w:ilvl w:val="0"/>
                          <w:numId w:val="6"/>
                        </w:numPr>
                      </w:pPr>
                      <w:r>
                        <w:t>Markers of diastolic dysfunction as assessed by pulsed wave doppler echocardiography.</w:t>
                      </w:r>
                    </w:p>
                    <w:p w14:paraId="5E9D96A2" w14:textId="77777777" w:rsidR="001D65FA" w:rsidRDefault="001D65FA" w:rsidP="001D65FA">
                      <w:pPr>
                        <w:pStyle w:val="ListParagraph"/>
                        <w:numPr>
                          <w:ilvl w:val="0"/>
                          <w:numId w:val="6"/>
                        </w:numPr>
                      </w:pPr>
                      <w:r w:rsidRPr="00477072">
                        <w:t>N-terminal pro–B-type natriuretic peptide (NT-proBNP) of at least 125pg per millilitre (or ≥365pg per millilitre if co-existing atrial fibrillation).</w:t>
                      </w:r>
                    </w:p>
                    <w:p w14:paraId="5EA8ADD3" w14:textId="77777777" w:rsidR="001D65FA" w:rsidRPr="00477072" w:rsidRDefault="001D65FA" w:rsidP="001D65FA">
                      <w:pPr>
                        <w:pStyle w:val="ListParagraph"/>
                        <w:numPr>
                          <w:ilvl w:val="0"/>
                          <w:numId w:val="5"/>
                        </w:numPr>
                      </w:pPr>
                      <w:r w:rsidRPr="00477072">
                        <w:t>New York Heart Association (NYHA) class II, III, or IV symptoms</w:t>
                      </w:r>
                      <w:r>
                        <w:t>.</w:t>
                      </w:r>
                    </w:p>
                    <w:p w14:paraId="082163DA" w14:textId="77777777" w:rsidR="001D65FA" w:rsidRPr="00883112" w:rsidRDefault="001D65FA" w:rsidP="001D65FA">
                      <w:pPr>
                        <w:pStyle w:val="ListParagraph"/>
                        <w:numPr>
                          <w:ilvl w:val="0"/>
                          <w:numId w:val="5"/>
                        </w:numPr>
                      </w:pPr>
                      <w:r w:rsidRPr="00883112">
                        <w:t>On optimal tolerated evidence-based HF medications.</w:t>
                      </w:r>
                    </w:p>
                    <w:p w14:paraId="040060C4" w14:textId="77777777" w:rsidR="001D65FA" w:rsidRPr="00C63E38" w:rsidRDefault="001D65FA" w:rsidP="001D65FA">
                      <w:pPr>
                        <w:pStyle w:val="ListParagraph"/>
                        <w:numPr>
                          <w:ilvl w:val="0"/>
                          <w:numId w:val="5"/>
                        </w:numPr>
                        <w:rPr>
                          <w:b/>
                          <w:bCs/>
                        </w:rPr>
                      </w:pPr>
                      <w:r w:rsidRPr="00883112">
                        <w:t>Patients may be ambulatory or recently hospitali</w:t>
                      </w:r>
                      <w:r>
                        <w:t>s</w:t>
                      </w:r>
                      <w:r w:rsidRPr="00883112">
                        <w:t>ed; however, must be &gt;</w:t>
                      </w:r>
                      <w:r>
                        <w:t xml:space="preserve">4 </w:t>
                      </w:r>
                      <w:r w:rsidRPr="00883112">
                        <w:t xml:space="preserve">weeks post-discharge on stable diuretic therapy. </w:t>
                      </w:r>
                    </w:p>
                    <w:p w14:paraId="1D8CE605" w14:textId="77777777" w:rsidR="001D65FA" w:rsidRDefault="001D65FA" w:rsidP="001D65FA">
                      <w:pPr>
                        <w:shd w:val="clear" w:color="auto" w:fill="FBE4D5"/>
                        <w:rPr>
                          <w:b/>
                          <w:bCs/>
                        </w:rPr>
                      </w:pPr>
                      <w:r w:rsidRPr="002D5ADB">
                        <w:rPr>
                          <w:b/>
                          <w:bCs/>
                        </w:rPr>
                        <w:t>Exclusion criteria</w:t>
                      </w:r>
                    </w:p>
                    <w:p w14:paraId="416104BD" w14:textId="77777777" w:rsidR="001D65FA" w:rsidRDefault="001D65FA" w:rsidP="001D65FA">
                      <w:pPr>
                        <w:pStyle w:val="ListParagraph"/>
                        <w:numPr>
                          <w:ilvl w:val="0"/>
                          <w:numId w:val="7"/>
                        </w:numPr>
                      </w:pPr>
                      <w:r w:rsidRPr="002D5ADB">
                        <w:t>Receiving therapy with an SGLT2 inhibitor prior to enrolment or previous intolerance of an SGLT2 inhibitor</w:t>
                      </w:r>
                      <w:r>
                        <w:t>.</w:t>
                      </w:r>
                    </w:p>
                    <w:p w14:paraId="41FFA5F8" w14:textId="77777777" w:rsidR="001D65FA" w:rsidRPr="002D5ADB" w:rsidRDefault="001D65FA" w:rsidP="001D65FA">
                      <w:pPr>
                        <w:pStyle w:val="ListParagraph"/>
                        <w:numPr>
                          <w:ilvl w:val="0"/>
                          <w:numId w:val="7"/>
                        </w:numPr>
                      </w:pPr>
                      <w:r w:rsidRPr="002D5ADB">
                        <w:t>Severe (eGFR &lt;20 mL/min/1.73</w:t>
                      </w:r>
                      <w:r>
                        <w:t>m</w:t>
                      </w:r>
                      <w:r>
                        <w:rPr>
                          <w:vertAlign w:val="superscript"/>
                        </w:rPr>
                        <w:t>2</w:t>
                      </w:r>
                      <w:r w:rsidRPr="002D5ADB">
                        <w:t>), unstable or rapidly progressing renal disease at the time of randomi</w:t>
                      </w:r>
                      <w:r>
                        <w:t>s</w:t>
                      </w:r>
                      <w:r w:rsidRPr="002D5ADB">
                        <w:t>ation</w:t>
                      </w:r>
                      <w:r>
                        <w:t>.</w:t>
                      </w:r>
                    </w:p>
                    <w:p w14:paraId="078EF6BC" w14:textId="77777777" w:rsidR="001D65FA" w:rsidRPr="002D5ADB" w:rsidRDefault="001D65FA" w:rsidP="001D65FA">
                      <w:pPr>
                        <w:pStyle w:val="ListParagraph"/>
                        <w:numPr>
                          <w:ilvl w:val="0"/>
                          <w:numId w:val="7"/>
                        </w:numPr>
                      </w:pPr>
                      <w:r w:rsidRPr="002D5ADB">
                        <w:t>Type 1 diabetes mellitus</w:t>
                      </w:r>
                    </w:p>
                    <w:p w14:paraId="129C4365" w14:textId="77777777" w:rsidR="001D65FA" w:rsidRPr="002D5ADB" w:rsidRDefault="001D65FA" w:rsidP="001D65FA">
                      <w:pPr>
                        <w:pStyle w:val="ListParagraph"/>
                        <w:numPr>
                          <w:ilvl w:val="0"/>
                          <w:numId w:val="7"/>
                        </w:numPr>
                      </w:pPr>
                      <w:r w:rsidRPr="002D5ADB">
                        <w:t>Recent hospitalisation &lt; 1 month</w:t>
                      </w:r>
                      <w:r>
                        <w:t>.</w:t>
                      </w:r>
                    </w:p>
                    <w:p w14:paraId="0FD23CE8" w14:textId="77777777" w:rsidR="001D65FA" w:rsidRDefault="001D65FA" w:rsidP="001D65FA">
                      <w:pPr>
                        <w:pStyle w:val="ListParagraph"/>
                        <w:numPr>
                          <w:ilvl w:val="0"/>
                          <w:numId w:val="7"/>
                        </w:numPr>
                      </w:pPr>
                      <w:r w:rsidRPr="002D5ADB">
                        <w:t>Symptomatic hypotension or systolic BP &lt;95 mmHg at 2 out of 3 measurements</w:t>
                      </w:r>
                    </w:p>
                    <w:p w14:paraId="0F774123" w14:textId="77777777" w:rsidR="001D65FA" w:rsidRPr="002D5ADB" w:rsidRDefault="001D65FA" w:rsidP="001D65FA">
                      <w:pPr>
                        <w:pStyle w:val="ListParagraph"/>
                        <w:numPr>
                          <w:ilvl w:val="0"/>
                          <w:numId w:val="7"/>
                        </w:numPr>
                      </w:pPr>
                      <w:r w:rsidRPr="002D5ADB">
                        <w:t>Symptomatic bradycardia or second or third-degree heart block without a pacemaker.</w:t>
                      </w:r>
                    </w:p>
                    <w:p w14:paraId="6D0A9FAC" w14:textId="77777777" w:rsidR="001D65FA" w:rsidRPr="002D5ADB" w:rsidRDefault="001D65FA" w:rsidP="001D65FA">
                      <w:pPr>
                        <w:pStyle w:val="ListParagraph"/>
                        <w:numPr>
                          <w:ilvl w:val="0"/>
                          <w:numId w:val="7"/>
                        </w:numPr>
                      </w:pPr>
                      <w:r w:rsidRPr="002D5ADB">
                        <w:t>Previous cardiac transplantation or implantation of a ventricular assistance device or similar device, or implantation expected after randomi</w:t>
                      </w:r>
                      <w:r>
                        <w:t>s</w:t>
                      </w:r>
                      <w:r w:rsidRPr="002D5ADB">
                        <w:t>ation</w:t>
                      </w:r>
                      <w:r>
                        <w:t>.</w:t>
                      </w:r>
                    </w:p>
                    <w:p w14:paraId="4B9C8005" w14:textId="77777777" w:rsidR="001D65FA" w:rsidRPr="002D5ADB" w:rsidRDefault="001D65FA" w:rsidP="001D65FA">
                      <w:pPr>
                        <w:pStyle w:val="ListParagraph"/>
                        <w:numPr>
                          <w:ilvl w:val="0"/>
                          <w:numId w:val="7"/>
                        </w:numPr>
                      </w:pPr>
                      <w:r>
                        <w:t>Cardiomyopathy secondary to uncorrected primary valvular disease, infiltrative, arrhythmogenic or right ventricular dysplasia.</w:t>
                      </w:r>
                    </w:p>
                    <w:p w14:paraId="4DE82771" w14:textId="77777777" w:rsidR="001D65FA" w:rsidRDefault="001D65FA" w:rsidP="001D65FA">
                      <w:pPr>
                        <w:pStyle w:val="ListParagraph"/>
                        <w:numPr>
                          <w:ilvl w:val="0"/>
                          <w:numId w:val="7"/>
                        </w:numPr>
                      </w:pPr>
                      <w:r>
                        <w:t xml:space="preserve">Significant comorbidity including; pulmonary lung disease requiring home oxygen or non-invasive ventilation, CTEPH or primary pulmonary hypertension. </w:t>
                      </w:r>
                    </w:p>
                    <w:p w14:paraId="5E3DFBE8" w14:textId="77777777" w:rsidR="001D65FA" w:rsidRDefault="001D65FA" w:rsidP="001D65FA">
                      <w:pPr>
                        <w:shd w:val="clear" w:color="auto" w:fill="DEEAF6"/>
                      </w:pPr>
                      <w:r w:rsidRPr="005C25F6">
                        <w:rPr>
                          <w:b/>
                          <w:bCs/>
                          <w:i/>
                          <w:iCs/>
                        </w:rPr>
                        <w:t>Table 1.</w:t>
                      </w:r>
                      <w:r>
                        <w:t xml:space="preserve"> Inclusions and exclusion criteria for enrolment in study. Left ventricular ejection fraction (LVEF), Left atrium (LA), Heart failure (HF), Sodium-glucose cotransporter-2 (SGLT2), estimated glomerular filtration rate (e GFR), chronic kidney disease (CKD), &amp; chronic thromboembolic pulmonary hypertension (CTEPH).</w:t>
                      </w:r>
                    </w:p>
                  </w:txbxContent>
                </v:textbox>
                <w10:anchorlock/>
              </v:shape>
            </w:pict>
          </mc:Fallback>
        </mc:AlternateContent>
      </w:r>
    </w:p>
    <w:p w14:paraId="446A6E8C" w14:textId="77777777" w:rsidR="00581CD0" w:rsidRDefault="00581CD0" w:rsidP="002A28CF"/>
    <w:p w14:paraId="091F06F7" w14:textId="77777777" w:rsidR="000C6B4F" w:rsidRDefault="000C6B4F" w:rsidP="002A28CF"/>
    <w:p w14:paraId="26234EDA" w14:textId="77777777" w:rsidR="001D65FA" w:rsidRDefault="001D65FA" w:rsidP="002A28CF"/>
    <w:p w14:paraId="6F75E785" w14:textId="458BD35A" w:rsidR="001D65FA" w:rsidRDefault="009D619F" w:rsidP="002A28CF">
      <w:r w:rsidRPr="009D619F">
        <w:rPr>
          <w:noProof/>
        </w:rPr>
        <w:lastRenderedPageBreak/>
        <w:drawing>
          <wp:inline distT="0" distB="0" distL="0" distR="0" wp14:anchorId="2037EEDA" wp14:editId="0B77E472">
            <wp:extent cx="8511082" cy="5202265"/>
            <wp:effectExtent l="0" t="2857" r="1587" b="1588"/>
            <wp:docPr id="2004466695"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466695" name="Picture 1" descr="A screenshot of a computer screen&#10;&#10;AI-generated content may be incorrect."/>
                    <pic:cNvPicPr/>
                  </pic:nvPicPr>
                  <pic:blipFill>
                    <a:blip r:embed="rId9"/>
                    <a:stretch>
                      <a:fillRect/>
                    </a:stretch>
                  </pic:blipFill>
                  <pic:spPr>
                    <a:xfrm rot="16200000">
                      <a:off x="0" y="0"/>
                      <a:ext cx="8538980" cy="5219317"/>
                    </a:xfrm>
                    <a:prstGeom prst="rect">
                      <a:avLst/>
                    </a:prstGeom>
                  </pic:spPr>
                </pic:pic>
              </a:graphicData>
            </a:graphic>
          </wp:inline>
        </w:drawing>
      </w:r>
    </w:p>
    <w:p w14:paraId="01156948" w14:textId="77777777" w:rsidR="009D619F" w:rsidRDefault="009D619F" w:rsidP="002A28CF"/>
    <w:p w14:paraId="0A0857E8" w14:textId="4F594123" w:rsidR="00065C93" w:rsidRPr="00997546" w:rsidRDefault="009D619F" w:rsidP="00997546">
      <w:pPr>
        <w:pBdr>
          <w:bottom w:val="single" w:sz="4" w:space="1" w:color="auto"/>
        </w:pBdr>
        <w:rPr>
          <w:b/>
          <w:bCs/>
          <w:sz w:val="24"/>
          <w:szCs w:val="24"/>
        </w:rPr>
      </w:pPr>
      <w:r w:rsidRPr="009D619F">
        <w:rPr>
          <w:b/>
          <w:bCs/>
          <w:sz w:val="24"/>
          <w:szCs w:val="24"/>
        </w:rPr>
        <w:lastRenderedPageBreak/>
        <w:t>FIGURES</w:t>
      </w:r>
    </w:p>
    <w:p w14:paraId="76AEA71B" w14:textId="4C5DE2D3" w:rsidR="00065C93" w:rsidRDefault="00693190" w:rsidP="002A28CF">
      <w:r w:rsidRPr="00693190">
        <w:rPr>
          <w:noProof/>
        </w:rPr>
        <mc:AlternateContent>
          <mc:Choice Requires="wps">
            <w:drawing>
              <wp:anchor distT="0" distB="0" distL="114300" distR="114300" simplePos="0" relativeHeight="251659264" behindDoc="0" locked="0" layoutInCell="1" allowOverlap="1" wp14:anchorId="48D19F11" wp14:editId="72A5ABA3">
                <wp:simplePos x="0" y="0"/>
                <wp:positionH relativeFrom="column">
                  <wp:posOffset>9362</wp:posOffset>
                </wp:positionH>
                <wp:positionV relativeFrom="paragraph">
                  <wp:posOffset>3153410</wp:posOffset>
                </wp:positionV>
                <wp:extent cx="5742783" cy="353085"/>
                <wp:effectExtent l="0" t="0" r="10795" b="27940"/>
                <wp:wrapNone/>
                <wp:docPr id="4" name="TextBox 3">
                  <a:extLst xmlns:a="http://schemas.openxmlformats.org/drawingml/2006/main">
                    <a:ext uri="{FF2B5EF4-FFF2-40B4-BE49-F238E27FC236}">
                      <a16:creationId xmlns:a16="http://schemas.microsoft.com/office/drawing/2014/main" id="{37AC7F12-0D3D-0BBE-C251-6CE3CB426A38}"/>
                    </a:ext>
                  </a:extLst>
                </wp:docPr>
                <wp:cNvGraphicFramePr/>
                <a:graphic xmlns:a="http://schemas.openxmlformats.org/drawingml/2006/main">
                  <a:graphicData uri="http://schemas.microsoft.com/office/word/2010/wordprocessingShape">
                    <wps:wsp>
                      <wps:cNvSpPr txBox="1"/>
                      <wps:spPr>
                        <a:xfrm>
                          <a:off x="0" y="0"/>
                          <a:ext cx="5742783" cy="353085"/>
                        </a:xfrm>
                        <a:prstGeom prst="rect">
                          <a:avLst/>
                        </a:prstGeom>
                        <a:noFill/>
                        <a:ln w="12700">
                          <a:solidFill>
                            <a:schemeClr val="tx1"/>
                          </a:solidFill>
                        </a:ln>
                      </wps:spPr>
                      <wps:txbx>
                        <w:txbxContent>
                          <w:p w14:paraId="2C47D0D7" w14:textId="77777777" w:rsidR="00693190" w:rsidRPr="00693190" w:rsidRDefault="00693190" w:rsidP="00693190">
                            <w:pPr>
                              <w:rPr>
                                <w:rFonts w:ascii="Calibri" w:hAnsi="Calibri" w:cs="Calibri"/>
                                <w:b/>
                                <w:bCs/>
                                <w:color w:val="000000" w:themeColor="text1"/>
                                <w:kern w:val="24"/>
                                <w:sz w:val="24"/>
                                <w:szCs w:val="24"/>
                                <w14:ligatures w14:val="none"/>
                              </w:rPr>
                            </w:pPr>
                            <w:r w:rsidRPr="00693190">
                              <w:rPr>
                                <w:rFonts w:ascii="Calibri" w:hAnsi="Calibri" w:cs="Calibri"/>
                                <w:b/>
                                <w:bCs/>
                                <w:color w:val="000000" w:themeColor="text1"/>
                                <w:kern w:val="24"/>
                                <w:sz w:val="24"/>
                                <w:szCs w:val="24"/>
                              </w:rPr>
                              <w:t xml:space="preserve">Figure 1: Schematic detailing projected timeline for enrolled study participants.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8D19F11" id="TextBox 3" o:spid="_x0000_s1027" type="#_x0000_t202" style="position:absolute;margin-left:.75pt;margin-top:248.3pt;width:452.2pt;height:27.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" filled="f" strokecolor="black [3213]" strokeweight="1pt">
                <v:textbox>
                  <w:txbxContent>
                    <w:p w14:paraId="2C47D0D7" w14:textId="77777777" w:rsidR="00693190" w:rsidRPr="00693190" w:rsidRDefault="00693190" w:rsidP="00693190">
                      <w:pPr>
                        <w:rPr>
                          <w:rFonts w:ascii="Calibri" w:hAnsi="Calibri" w:cs="Calibri"/>
                          <w:b/>
                          <w:bCs/>
                          <w:color w:val="000000" w:themeColor="text1"/>
                          <w:kern w:val="24"/>
                          <w:sz w:val="24"/>
                          <w:szCs w:val="24"/>
                          <w14:ligatures w14:val="none"/>
                        </w:rPr>
                      </w:pPr>
                      <w:r w:rsidRPr="00693190">
                        <w:rPr>
                          <w:rFonts w:ascii="Calibri" w:hAnsi="Calibri" w:cs="Calibri"/>
                          <w:b/>
                          <w:bCs/>
                          <w:color w:val="000000" w:themeColor="text1"/>
                          <w:kern w:val="24"/>
                          <w:sz w:val="24"/>
                          <w:szCs w:val="24"/>
                        </w:rPr>
                        <w:t xml:space="preserve">Figure 1: Schematic detailing projected timeline for enrolled study participants. </w:t>
                      </w:r>
                    </w:p>
                  </w:txbxContent>
                </v:textbox>
              </v:shape>
            </w:pict>
          </mc:Fallback>
        </mc:AlternateContent>
      </w:r>
      <w:r w:rsidR="00065C93" w:rsidRPr="00065C93">
        <w:rPr>
          <w:noProof/>
        </w:rPr>
        <w:drawing>
          <wp:inline distT="0" distB="0" distL="0" distR="0" wp14:anchorId="14090A02" wp14:editId="0CA56A2D">
            <wp:extent cx="5731510" cy="3132455"/>
            <wp:effectExtent l="19050" t="19050" r="21590" b="10795"/>
            <wp:docPr id="2057368879" name="Picture 1" descr="A diagram of a medical proced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368879" name="Picture 1" descr="A diagram of a medical procedure&#10;&#10;AI-generated content may be incorrect."/>
                    <pic:cNvPicPr/>
                  </pic:nvPicPr>
                  <pic:blipFill>
                    <a:blip r:embed="rId10"/>
                    <a:stretch>
                      <a:fillRect/>
                    </a:stretch>
                  </pic:blipFill>
                  <pic:spPr>
                    <a:xfrm>
                      <a:off x="0" y="0"/>
                      <a:ext cx="5731510" cy="3132455"/>
                    </a:xfrm>
                    <a:prstGeom prst="rect">
                      <a:avLst/>
                    </a:prstGeom>
                    <a:ln>
                      <a:solidFill>
                        <a:schemeClr val="tx1"/>
                      </a:solidFill>
                    </a:ln>
                  </pic:spPr>
                </pic:pic>
              </a:graphicData>
            </a:graphic>
          </wp:inline>
        </w:drawing>
      </w:r>
    </w:p>
    <w:p w14:paraId="16FC31F4" w14:textId="28D69D51" w:rsidR="00693190" w:rsidRDefault="00693190" w:rsidP="002A28CF"/>
    <w:p w14:paraId="5ED50D46" w14:textId="77777777" w:rsidR="00AB1FCB" w:rsidRDefault="00AB1FCB" w:rsidP="002A28CF"/>
    <w:p w14:paraId="458A00CA" w14:textId="77777777" w:rsidR="00AB1FCB" w:rsidRDefault="00AB1FCB" w:rsidP="002A28CF"/>
    <w:p w14:paraId="2540E218" w14:textId="77777777" w:rsidR="005028E5" w:rsidRDefault="005028E5" w:rsidP="002A28CF"/>
    <w:p w14:paraId="22918121" w14:textId="77777777" w:rsidR="005028E5" w:rsidRDefault="005028E5" w:rsidP="002A28CF"/>
    <w:p w14:paraId="5F4FD797" w14:textId="77777777" w:rsidR="005028E5" w:rsidRDefault="005028E5" w:rsidP="002A28CF"/>
    <w:p w14:paraId="6D074E85" w14:textId="77777777" w:rsidR="005028E5" w:rsidRDefault="005028E5" w:rsidP="002A28CF"/>
    <w:p w14:paraId="0ADFF284" w14:textId="77777777" w:rsidR="005028E5" w:rsidRDefault="005028E5" w:rsidP="002A28CF"/>
    <w:p w14:paraId="34FBA686" w14:textId="77777777" w:rsidR="005028E5" w:rsidRDefault="005028E5" w:rsidP="002A28CF"/>
    <w:p w14:paraId="13EB0A62" w14:textId="77777777" w:rsidR="005028E5" w:rsidRDefault="005028E5" w:rsidP="002A28CF"/>
    <w:p w14:paraId="25F7B28D" w14:textId="77777777" w:rsidR="005028E5" w:rsidRDefault="005028E5" w:rsidP="002A28CF"/>
    <w:p w14:paraId="78FC3D1E" w14:textId="77777777" w:rsidR="005028E5" w:rsidRDefault="005028E5" w:rsidP="002A28CF"/>
    <w:p w14:paraId="41AE7289" w14:textId="77777777" w:rsidR="005028E5" w:rsidRDefault="005028E5" w:rsidP="002A28CF"/>
    <w:p w14:paraId="56DCD98C" w14:textId="77777777" w:rsidR="005028E5" w:rsidRDefault="005028E5" w:rsidP="002A28CF"/>
    <w:p w14:paraId="23CCBAF5" w14:textId="77777777" w:rsidR="005028E5" w:rsidRDefault="005028E5" w:rsidP="002A28CF"/>
    <w:p w14:paraId="5D231B36" w14:textId="77777777" w:rsidR="005028E5" w:rsidRDefault="005028E5" w:rsidP="002A28CF"/>
    <w:p w14:paraId="3EF65D71" w14:textId="77777777" w:rsidR="005028E5" w:rsidRDefault="005028E5" w:rsidP="002A28CF"/>
    <w:p w14:paraId="13F10E20" w14:textId="77777777" w:rsidR="005028E5" w:rsidRDefault="005028E5" w:rsidP="002A28CF"/>
    <w:p w14:paraId="0F618BA3" w14:textId="77777777" w:rsidR="005028E5" w:rsidRDefault="005028E5" w:rsidP="005028E5">
      <w:pPr>
        <w:pBdr>
          <w:bottom w:val="single" w:sz="4" w:space="1" w:color="auto"/>
        </w:pBdr>
        <w:rPr>
          <w:b/>
          <w:bCs/>
          <w:sz w:val="24"/>
          <w:szCs w:val="24"/>
        </w:rPr>
      </w:pPr>
      <w:r>
        <w:rPr>
          <w:b/>
          <w:bCs/>
          <w:sz w:val="24"/>
          <w:szCs w:val="24"/>
        </w:rPr>
        <w:lastRenderedPageBreak/>
        <w:t xml:space="preserve">STUDY PROTOCOL </w:t>
      </w:r>
    </w:p>
    <w:p w14:paraId="2C3695BA" w14:textId="77777777" w:rsidR="005028E5" w:rsidRDefault="005028E5" w:rsidP="005028E5">
      <w:pPr>
        <w:rPr>
          <w:b/>
          <w:bCs/>
          <w:sz w:val="24"/>
          <w:szCs w:val="24"/>
        </w:rPr>
      </w:pPr>
      <w:r>
        <w:rPr>
          <w:b/>
          <w:bCs/>
          <w:sz w:val="24"/>
          <w:szCs w:val="24"/>
        </w:rPr>
        <w:t>1. INTRODUCTION</w:t>
      </w:r>
    </w:p>
    <w:p w14:paraId="451ACC2C" w14:textId="77777777" w:rsidR="005028E5" w:rsidRPr="00D76ED4" w:rsidRDefault="005028E5" w:rsidP="005028E5">
      <w:pPr>
        <w:rPr>
          <w:b/>
          <w:bCs/>
          <w:sz w:val="24"/>
          <w:szCs w:val="24"/>
        </w:rPr>
      </w:pPr>
      <w:r w:rsidRPr="00D76ED4">
        <w:rPr>
          <w:b/>
          <w:bCs/>
          <w:sz w:val="24"/>
          <w:szCs w:val="24"/>
        </w:rPr>
        <w:t xml:space="preserve">1.1. The current unmet need in Heart failure. </w:t>
      </w:r>
    </w:p>
    <w:p w14:paraId="30179864" w14:textId="5E896145" w:rsidR="005028E5" w:rsidRPr="00D76ED4" w:rsidRDefault="005028E5" w:rsidP="005028E5">
      <w:pPr>
        <w:rPr>
          <w:sz w:val="24"/>
          <w:szCs w:val="24"/>
        </w:rPr>
      </w:pPr>
      <w:r w:rsidRPr="00D76ED4">
        <w:rPr>
          <w:sz w:val="24"/>
          <w:szCs w:val="24"/>
        </w:rPr>
        <w:t xml:space="preserve">Heart failure remains a significant burden on worldwide healthcare systems affecting 1 million people in the UK alone and accounting for nearly 2% of the entire </w:t>
      </w:r>
      <w:r w:rsidR="005E4B2D">
        <w:rPr>
          <w:sz w:val="24"/>
          <w:szCs w:val="24"/>
        </w:rPr>
        <w:t>National Health Service (</w:t>
      </w:r>
      <w:r w:rsidRPr="00D76ED4">
        <w:rPr>
          <w:sz w:val="24"/>
          <w:szCs w:val="24"/>
        </w:rPr>
        <w:t>NHS</w:t>
      </w:r>
      <w:r w:rsidR="005E4B2D">
        <w:rPr>
          <w:sz w:val="24"/>
          <w:szCs w:val="24"/>
        </w:rPr>
        <w:t>)</w:t>
      </w:r>
      <w:r w:rsidRPr="00D76ED4">
        <w:rPr>
          <w:sz w:val="24"/>
          <w:szCs w:val="24"/>
        </w:rPr>
        <w:t xml:space="preserve"> budget </w:t>
      </w:r>
      <w:r w:rsidRPr="00D76ED4">
        <w:rPr>
          <w:sz w:val="24"/>
          <w:szCs w:val="24"/>
        </w:rPr>
        <w:fldChar w:fldCharType="begin"/>
      </w:r>
      <w:r w:rsidRPr="00D76ED4">
        <w:rPr>
          <w:sz w:val="24"/>
          <w:szCs w:val="24"/>
        </w:rPr>
        <w:instrText xml:space="preserve"> ADDIN ZOTERO_ITEM CSL_CITATION {"citationID":"XzWOvv5h","properties":{"formattedCitation":"(1)","plainCitation":"(1)","noteIndex":0},"citationItems":[{"id":80,"uris":["http://zotero.org/users/12333076/items/8RQQ4T3A"],"itemData":{"id":80,"type":"article-journal","abstract":"BACKGROUND: Heart failure is an important public health issue affecting about 1 million people in the UK, but contemporary trends in cause-specific outcomes among different population groups are unknown.\nMETHODS: In this retrospective, population-based study, we used the UK Clinical Practice Research Datalink and Hospital Episodes Statistics databases to identify a cohort of patients who had a diagnosis of incident heart failure between Jan 1, 1998, and July 31, 2017. Patients were eligible for inclusion if they were aged 30 years or older with a first code for heart failure in their primary care or hospital record during the study period. We assessed cause-specific admission to hospital (ie, hospitalisation) and mortality, by age, sex, socioeconomic status, and place of diagnosis (ie, hospital vs community diagnosis). We calculated outcome rates separately for the first year (first-year rates) and for the second-year onwards (subsequent-year rates). Patients were followed up until death or study end. This study is registered with Clinical Practice Research Datalink Independent Scientific Advisory Committee, protocol number 18_037R.\nFINDINGS: We identified 88</w:instrText>
      </w:r>
      <w:r w:rsidRPr="00D76ED4">
        <w:rPr>
          <w:rFonts w:ascii="Arial" w:hAnsi="Arial" w:cs="Arial"/>
          <w:sz w:val="24"/>
          <w:szCs w:val="24"/>
        </w:rPr>
        <w:instrText> </w:instrText>
      </w:r>
      <w:r w:rsidRPr="00D76ED4">
        <w:rPr>
          <w:sz w:val="24"/>
          <w:szCs w:val="24"/>
        </w:rPr>
        <w:instrText>416 individuals with incident heart failure over the study period, of whom 43</w:instrText>
      </w:r>
      <w:r w:rsidRPr="00D76ED4">
        <w:rPr>
          <w:rFonts w:ascii="Arial" w:hAnsi="Arial" w:cs="Arial"/>
          <w:sz w:val="24"/>
          <w:szCs w:val="24"/>
        </w:rPr>
        <w:instrText> </w:instrText>
      </w:r>
      <w:r w:rsidRPr="00D76ED4">
        <w:rPr>
          <w:sz w:val="24"/>
          <w:szCs w:val="24"/>
        </w:rPr>
        <w:instrText>461 (49%) were female. The mean age was 77·8 years (SD 11·3) and median follow-up was 2·4 years (IQR 0·5 to 5·7). Age-adjusted first-year rates of hospitalisation increased by 28% for all-cause admissions, from 97·1 (95% CI 94·3 to 99·9) to 124·2 (120·9 to 127·5) per 100 person-years; by 28% for heart failure-specific admissions, from 17·2 (16·2 to 18·2) to 22·1 (20·9 to 23·2) per 100 person-years; and by 42% for non-cardiovascular admissions, from 59·2 (57·2 to 61·2) to 83·9 (81·3 to 86·5) per 100 person-years. 167</w:instrText>
      </w:r>
      <w:r w:rsidRPr="00D76ED4">
        <w:rPr>
          <w:rFonts w:ascii="Arial" w:hAnsi="Arial" w:cs="Arial"/>
          <w:sz w:val="24"/>
          <w:szCs w:val="24"/>
        </w:rPr>
        <w:instrText> </w:instrText>
      </w:r>
      <w:r w:rsidRPr="00D76ED4">
        <w:rPr>
          <w:sz w:val="24"/>
          <w:szCs w:val="24"/>
        </w:rPr>
        <w:instrText>641 (73%) of 228</w:instrText>
      </w:r>
      <w:r w:rsidRPr="00D76ED4">
        <w:rPr>
          <w:rFonts w:ascii="Arial" w:hAnsi="Arial" w:cs="Arial"/>
          <w:sz w:val="24"/>
          <w:szCs w:val="24"/>
        </w:rPr>
        <w:instrText> </w:instrText>
      </w:r>
      <w:r w:rsidRPr="00D76ED4">
        <w:rPr>
          <w:sz w:val="24"/>
          <w:szCs w:val="24"/>
        </w:rPr>
        <w:instrText>113 hospitalisations were for non-cardiovascular causes and annual rate increases were higher for women (3</w:instrText>
      </w:r>
      <w:r w:rsidRPr="00D76ED4">
        <w:rPr>
          <w:rFonts w:cs="Aptos"/>
          <w:sz w:val="24"/>
          <w:szCs w:val="24"/>
        </w:rPr>
        <w:instrText>·</w:instrText>
      </w:r>
      <w:r w:rsidRPr="00D76ED4">
        <w:rPr>
          <w:sz w:val="24"/>
          <w:szCs w:val="24"/>
        </w:rPr>
        <w:instrText>9%, 95% CI 2</w:instrText>
      </w:r>
      <w:r w:rsidRPr="00D76ED4">
        <w:rPr>
          <w:rFonts w:cs="Aptos"/>
          <w:sz w:val="24"/>
          <w:szCs w:val="24"/>
        </w:rPr>
        <w:instrText>·</w:instrText>
      </w:r>
      <w:r w:rsidRPr="00D76ED4">
        <w:rPr>
          <w:sz w:val="24"/>
          <w:szCs w:val="24"/>
        </w:rPr>
        <w:instrText>8 to 4</w:instrText>
      </w:r>
      <w:r w:rsidRPr="00D76ED4">
        <w:rPr>
          <w:rFonts w:cs="Aptos"/>
          <w:sz w:val="24"/>
          <w:szCs w:val="24"/>
        </w:rPr>
        <w:instrText>·</w:instrText>
      </w:r>
      <w:r w:rsidRPr="00D76ED4">
        <w:rPr>
          <w:sz w:val="24"/>
          <w:szCs w:val="24"/>
        </w:rPr>
        <w:instrText>9) than for men (1</w:instrText>
      </w:r>
      <w:r w:rsidRPr="00D76ED4">
        <w:rPr>
          <w:rFonts w:cs="Aptos"/>
          <w:sz w:val="24"/>
          <w:szCs w:val="24"/>
        </w:rPr>
        <w:instrText>·</w:instrText>
      </w:r>
      <w:r w:rsidRPr="00D76ED4">
        <w:rPr>
          <w:sz w:val="24"/>
          <w:szCs w:val="24"/>
        </w:rPr>
        <w:instrText>4%, 0</w:instrText>
      </w:r>
      <w:r w:rsidRPr="00D76ED4">
        <w:rPr>
          <w:rFonts w:cs="Aptos"/>
          <w:sz w:val="24"/>
          <w:szCs w:val="24"/>
        </w:rPr>
        <w:instrText>·</w:instrText>
      </w:r>
      <w:r w:rsidRPr="00D76ED4">
        <w:rPr>
          <w:sz w:val="24"/>
          <w:szCs w:val="24"/>
        </w:rPr>
        <w:instrText>6 to 2</w:instrText>
      </w:r>
      <w:r w:rsidRPr="00D76ED4">
        <w:rPr>
          <w:rFonts w:cs="Aptos"/>
          <w:sz w:val="24"/>
          <w:szCs w:val="24"/>
        </w:rPr>
        <w:instrText>·</w:instrText>
      </w:r>
      <w:r w:rsidRPr="00D76ED4">
        <w:rPr>
          <w:sz w:val="24"/>
          <w:szCs w:val="24"/>
        </w:rPr>
        <w:instrText>1; p&lt;0</w:instrText>
      </w:r>
      <w:r w:rsidRPr="00D76ED4">
        <w:rPr>
          <w:rFonts w:cs="Aptos"/>
          <w:sz w:val="24"/>
          <w:szCs w:val="24"/>
        </w:rPr>
        <w:instrText>·</w:instrText>
      </w:r>
      <w:r w:rsidRPr="00D76ED4">
        <w:rPr>
          <w:sz w:val="24"/>
          <w:szCs w:val="24"/>
        </w:rPr>
        <w:instrText>0001); and for patients diagnosed with heart failure in hospital (2</w:instrText>
      </w:r>
      <w:r w:rsidRPr="00D76ED4">
        <w:rPr>
          <w:rFonts w:cs="Aptos"/>
          <w:sz w:val="24"/>
          <w:szCs w:val="24"/>
        </w:rPr>
        <w:instrText>·</w:instrText>
      </w:r>
      <w:r w:rsidRPr="00D76ED4">
        <w:rPr>
          <w:sz w:val="24"/>
          <w:szCs w:val="24"/>
        </w:rPr>
        <w:instrText>4%, 1</w:instrText>
      </w:r>
      <w:r w:rsidRPr="00D76ED4">
        <w:rPr>
          <w:rFonts w:cs="Aptos"/>
          <w:sz w:val="24"/>
          <w:szCs w:val="24"/>
        </w:rPr>
        <w:instrText>·</w:instrText>
      </w:r>
      <w:r w:rsidRPr="00D76ED4">
        <w:rPr>
          <w:sz w:val="24"/>
          <w:szCs w:val="24"/>
        </w:rPr>
        <w:instrText>4 to 3</w:instrText>
      </w:r>
      <w:r w:rsidRPr="00D76ED4">
        <w:rPr>
          <w:rFonts w:cs="Aptos"/>
          <w:sz w:val="24"/>
          <w:szCs w:val="24"/>
        </w:rPr>
        <w:instrText>·</w:instrText>
      </w:r>
      <w:r w:rsidRPr="00D76ED4">
        <w:rPr>
          <w:sz w:val="24"/>
          <w:szCs w:val="24"/>
        </w:rPr>
        <w:instrText>3) than those diagnosed in the community (1</w:instrText>
      </w:r>
      <w:r w:rsidRPr="00D76ED4">
        <w:rPr>
          <w:rFonts w:cs="Aptos"/>
          <w:sz w:val="24"/>
          <w:szCs w:val="24"/>
        </w:rPr>
        <w:instrText>·</w:instrText>
      </w:r>
      <w:r w:rsidRPr="00D76ED4">
        <w:rPr>
          <w:sz w:val="24"/>
          <w:szCs w:val="24"/>
        </w:rPr>
        <w:instrText>2%, 0</w:instrText>
      </w:r>
      <w:r w:rsidRPr="00D76ED4">
        <w:rPr>
          <w:rFonts w:cs="Aptos"/>
          <w:sz w:val="24"/>
          <w:szCs w:val="24"/>
        </w:rPr>
        <w:instrText>·</w:instrText>
      </w:r>
      <w:r w:rsidRPr="00D76ED4">
        <w:rPr>
          <w:sz w:val="24"/>
          <w:szCs w:val="24"/>
        </w:rPr>
        <w:instrText>3 to 2</w:instrText>
      </w:r>
      <w:r w:rsidRPr="00D76ED4">
        <w:rPr>
          <w:rFonts w:cs="Aptos"/>
          <w:sz w:val="24"/>
          <w:szCs w:val="24"/>
        </w:rPr>
        <w:instrText>·</w:instrText>
      </w:r>
      <w:r w:rsidRPr="00D76ED4">
        <w:rPr>
          <w:sz w:val="24"/>
          <w:szCs w:val="24"/>
        </w:rPr>
        <w:instrText>2). Annual increases in hospitalisation due to heart failure were 2</w:instrText>
      </w:r>
      <w:r w:rsidRPr="00D76ED4">
        <w:rPr>
          <w:rFonts w:cs="Aptos"/>
          <w:sz w:val="24"/>
          <w:szCs w:val="24"/>
        </w:rPr>
        <w:instrText>·</w:instrText>
      </w:r>
      <w:r w:rsidRPr="00D76ED4">
        <w:rPr>
          <w:sz w:val="24"/>
          <w:szCs w:val="24"/>
        </w:rPr>
        <w:instrText>6% (1</w:instrText>
      </w:r>
      <w:r w:rsidRPr="00D76ED4">
        <w:rPr>
          <w:rFonts w:cs="Aptos"/>
          <w:sz w:val="24"/>
          <w:szCs w:val="24"/>
        </w:rPr>
        <w:instrText>·</w:instrText>
      </w:r>
      <w:r w:rsidRPr="00D76ED4">
        <w:rPr>
          <w:sz w:val="24"/>
          <w:szCs w:val="24"/>
        </w:rPr>
        <w:instrText>9 to 3</w:instrText>
      </w:r>
      <w:r w:rsidRPr="00D76ED4">
        <w:rPr>
          <w:rFonts w:cs="Aptos"/>
          <w:sz w:val="24"/>
          <w:szCs w:val="24"/>
        </w:rPr>
        <w:instrText>·</w:instrText>
      </w:r>
      <w:r w:rsidRPr="00D76ED4">
        <w:rPr>
          <w:sz w:val="24"/>
          <w:szCs w:val="24"/>
        </w:rPr>
        <w:instrText>4) for women compared with stable rates in men (0</w:instrText>
      </w:r>
      <w:r w:rsidRPr="00D76ED4">
        <w:rPr>
          <w:rFonts w:cs="Aptos"/>
          <w:sz w:val="24"/>
          <w:szCs w:val="24"/>
        </w:rPr>
        <w:instrText>·</w:instrText>
      </w:r>
      <w:r w:rsidRPr="00D76ED4">
        <w:rPr>
          <w:sz w:val="24"/>
          <w:szCs w:val="24"/>
        </w:rPr>
        <w:instrText>6%, -0</w:instrText>
      </w:r>
      <w:r w:rsidRPr="00D76ED4">
        <w:rPr>
          <w:rFonts w:cs="Aptos"/>
          <w:sz w:val="24"/>
          <w:szCs w:val="24"/>
        </w:rPr>
        <w:instrText>·</w:instrText>
      </w:r>
      <w:r w:rsidRPr="00D76ED4">
        <w:rPr>
          <w:sz w:val="24"/>
          <w:szCs w:val="24"/>
        </w:rPr>
        <w:instrText>9 to 2</w:instrText>
      </w:r>
      <w:r w:rsidRPr="00D76ED4">
        <w:rPr>
          <w:rFonts w:cs="Aptos"/>
          <w:sz w:val="24"/>
          <w:szCs w:val="24"/>
        </w:rPr>
        <w:instrText>·</w:instrText>
      </w:r>
      <w:r w:rsidRPr="00D76ED4">
        <w:rPr>
          <w:sz w:val="24"/>
          <w:szCs w:val="24"/>
        </w:rPr>
        <w:instrText>1), and 1</w:instrText>
      </w:r>
      <w:r w:rsidRPr="00D76ED4">
        <w:rPr>
          <w:rFonts w:cs="Aptos"/>
          <w:sz w:val="24"/>
          <w:szCs w:val="24"/>
        </w:rPr>
        <w:instrText>·</w:instrText>
      </w:r>
      <w:r w:rsidRPr="00D76ED4">
        <w:rPr>
          <w:sz w:val="24"/>
          <w:szCs w:val="24"/>
        </w:rPr>
        <w:instrText>6% (0</w:instrText>
      </w:r>
      <w:r w:rsidRPr="00D76ED4">
        <w:rPr>
          <w:rFonts w:cs="Aptos"/>
          <w:sz w:val="24"/>
          <w:szCs w:val="24"/>
        </w:rPr>
        <w:instrText>·</w:instrText>
      </w:r>
      <w:r w:rsidRPr="00D76ED4">
        <w:rPr>
          <w:sz w:val="24"/>
          <w:szCs w:val="24"/>
        </w:rPr>
        <w:instrText>6 to 2</w:instrText>
      </w:r>
      <w:r w:rsidRPr="00D76ED4">
        <w:rPr>
          <w:rFonts w:cs="Aptos"/>
          <w:sz w:val="24"/>
          <w:szCs w:val="24"/>
        </w:rPr>
        <w:instrText>·</w:instrText>
      </w:r>
      <w:r w:rsidRPr="00D76ED4">
        <w:rPr>
          <w:sz w:val="24"/>
          <w:szCs w:val="24"/>
        </w:rPr>
        <w:instrText xml:space="preserve">6) for the most deprived group compared with stable rates for the most affluent group (1·2%, -0·3 to 2·8). A significantly higher risk of all-cause hospitalisation was found for the most deprived than for the most affluent (incident rate ratio 1·34, 95% CI 1·32 to 1·35) and for the hospital-diagnosed group than for the community-diagnosed group (1·76, 1·73 to 1·80). Age-adjusted first-year rates of all-cause mortality decreased by 6% from 24·5 (95% CI 23·4 to 39·2) to 23·0 (22·0 to 24·1) per 100 person-years. Annual change in mortality was -1·4% (95% CI -2·3 to -0·5) in men but was stable for women (0·3%, -0·5 to 1·1), and -2·7% (-3·2 to -2·2) for the community-diagnosed group compared with -1·1% (-1·8 to -0·4) in the hospital-diagnosed group (p&lt;0·0001). A significantly higher risk of all-cause mortality was seen in the most deprived group than in the most affluent group (hazard ratio 1·08, 95% CI 1·05 to 1·11) and in the hospital-diagnosed group than in the community-diagnosed group (1·55, 1·53 to 1·58).\nINTERPRETATION: Tailored management strategies and specialist care for patients with heart failure are needed to address persisting and increasing inequalities for men, the most deprived, and for those who are diagnosed with heart failure in hospital, and to address the worrying trends in women.\nFUNDING: Wellcome Trust.","container-title":"The Lancet. Public Health","DOI":"10.1016/S2468-2667(19)30108-2","ISSN":"2468-2667","issue":"8","journalAbbreviation":"Lancet Public Health","language":"eng","note":"PMID: 31376859\nPMCID: PMC6686076","page":"e406-e420","source":"PubMed","title":"20-year trends in cause-specific heart failure outcomes by sex, socioeconomic status, and place of diagnosis: a population-based study","title-short":"20-year trends in cause-specific heart failure outcomes by sex, socioeconomic status, and place of diagnosis","volume":"4","author":[{"family":"Lawson","given":"Claire A."},{"family":"Zaccardi","given":"Francesco"},{"family":"Squire","given":"Iain"},{"family":"Ling","given":"Suping"},{"family":"Davies","given":"Melanie J."},{"family":"Lam","given":"Carolyn S. P."},{"family":"Mamas","given":"Mamas A."},{"family":"Khunti","given":"Kamlesh"},{"family":"Kadam","given":"Umesh T."}],"issued":{"date-parts":[["2019",8]]}},"label":"page"}],"schema":"https://github.com/citation-style-language/schema/raw/master/csl-citation.json"} </w:instrText>
      </w:r>
      <w:r w:rsidRPr="00D76ED4">
        <w:rPr>
          <w:sz w:val="24"/>
          <w:szCs w:val="24"/>
        </w:rPr>
        <w:fldChar w:fldCharType="separate"/>
      </w:r>
      <w:r w:rsidRPr="00D76ED4">
        <w:rPr>
          <w:sz w:val="24"/>
          <w:szCs w:val="24"/>
        </w:rPr>
        <w:t>(1)</w:t>
      </w:r>
      <w:r w:rsidRPr="00D76ED4">
        <w:rPr>
          <w:sz w:val="24"/>
          <w:szCs w:val="24"/>
        </w:rPr>
        <w:fldChar w:fldCharType="end"/>
      </w:r>
      <w:r w:rsidRPr="00D76ED4">
        <w:rPr>
          <w:sz w:val="24"/>
          <w:szCs w:val="24"/>
        </w:rPr>
        <w:t xml:space="preserve">. Despite the marked decline in the incidence of myocardial infarction with the advent of modern pharmacology; the prevalence of heart failure, paradoxically, continues to rise with projections estimating an increase in heart failure prevalence of 46% by 2030 </w:t>
      </w:r>
      <w:r w:rsidRPr="00D76ED4">
        <w:rPr>
          <w:sz w:val="24"/>
          <w:szCs w:val="24"/>
        </w:rPr>
        <w:fldChar w:fldCharType="begin"/>
      </w:r>
      <w:r w:rsidRPr="00D76ED4">
        <w:rPr>
          <w:sz w:val="24"/>
          <w:szCs w:val="24"/>
        </w:rPr>
        <w:instrText xml:space="preserve"> ADDIN ZOTERO_ITEM CSL_CITATION {"citationID":"GJuPNDQb","properties":{"formattedCitation":"(2)","plainCitation":"(2)","noteIndex":0},"citationItems":[{"id":83,"uris":["http://zotero.org/users/12333076/items/6BLGW5G5"],"itemData":{"id":83,"type":"article-journal","abstract":"Heart failure is appropriately described as an epidemic, with 1-2% of health care expenditure being directed at its management. In England, the National Institute for Health and Care Excellence (NICE) has issued guidance on the best practice for the diagnosis and treatment of acute and chronic heart failure. Echocardiography is key to the diagnosis of the underlying cardiac abnormalities, and access to this (with our without biochemical testing using natriuretic peptides) is key to high-quality and speedy diagnosis. New models of care aim to speed up access to echocardiography, but a shortage of technically trained staff remains a limiting factor in improving standards of care. The NHS audits the quality of care and outcome for patients admitted to hospital with heart failure, and this continues to show wide variation in practice, particularly, where patients are not reviewed by the local heart failure multidisciplinary team. Recently, the All Party Parliamentary Group on Cardiac Disease issued 10 suggestions for improvement in care for patients with heart failure - access to echocardiography being one of the key suggestions. Time will tell as to whether this support from law makers will assist in the implementation of NICE-recommended standards of care consistently across the country.","container-title":"Echo Research and Practice","DOI":"10.1530/ERP-16-0043","ISSN":"2055-0464","issue":"1","journalAbbreviation":"Echo Res Pract","language":"eng","note":"PMID: 28196811\nPMCID: PMC5435875","page":"R15-R20","source":"PubMed","title":"The heart failure epidemic: a UK perspective","title-short":"The heart failure epidemic","volume":"4","author":[{"family":"Cowie","given":"Martin R."}],"issued":{"date-parts":[["2017",3]]}}}],"schema":"https://github.com/citation-style-language/schema/raw/master/csl-citation.json"} </w:instrText>
      </w:r>
      <w:r w:rsidRPr="00D76ED4">
        <w:rPr>
          <w:sz w:val="24"/>
          <w:szCs w:val="24"/>
        </w:rPr>
        <w:fldChar w:fldCharType="separate"/>
      </w:r>
      <w:r w:rsidRPr="00D76ED4">
        <w:rPr>
          <w:sz w:val="24"/>
          <w:szCs w:val="24"/>
        </w:rPr>
        <w:t>(2)</w:t>
      </w:r>
      <w:r w:rsidRPr="00D76ED4">
        <w:rPr>
          <w:sz w:val="24"/>
          <w:szCs w:val="24"/>
        </w:rPr>
        <w:fldChar w:fldCharType="end"/>
      </w:r>
      <w:r w:rsidRPr="00D76ED4">
        <w:rPr>
          <w:sz w:val="24"/>
          <w:szCs w:val="24"/>
          <w:vertAlign w:val="superscript"/>
        </w:rPr>
        <w:t xml:space="preserve"> </w:t>
      </w:r>
      <w:r w:rsidRPr="00D76ED4">
        <w:rPr>
          <w:sz w:val="24"/>
          <w:szCs w:val="24"/>
        </w:rPr>
        <w:t>. This is in part due to an aging population but also due to improved survival from previously fatal presentations of ischemic heart disease. Unfortunately, despite the advent of modern heart failure therapy a high level of morbidity and mortality persists in this demographic with a 5-year mortality of 75%</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{"citationID":"jZeVC5ci","properties":{"formattedCitation":"(3)","plainCitation":"(3)","noteIndex":0},"citationItems":[{"id":86,"uris":["http://zotero.org/users/12333076/items/IZYQPNDT"],"itemData":{"id":86,"type":"article-journal","abstract":"BACKGROUND: Patients with heart failure (HF) have a poor prognosis and are categorized by ejection fraction (EF).\nOBJECTIVES: This study sought to characterize differences in outcomes in patients hospitalized with heart failure with preserved ejection fraction (HFpEF) (EF ≥50%), heart failure with borderline ejection fraction (HFbEF) (EF 41% to 49%), and heart failure with reduced ejection fraction (HFrEF) (EF ≤40%).\nMETHODS: Data from GWTG-HF (Get With The Guidelines-Heart Failure) were linked to Medicare data for longitudinal follow-up. Multivariable models were constructed to examine 5-year outcomes and to compare survival to median survival of the U.S.\nRESULTS: A total of 39,982 patients from 254 hospitals who were admitted for HF between 2005 and 2009 were included: 18,299 (46%) had HFpEF, 3,285 (8.2%) had HFbEF, and 18,398 (46%) had HFrEF. Overall, median survival was 2.1 years. In risk-adjusted survival analysis, all 3 groups had similar 5-year mortality (HFrEF 75.3% vs. HFpEF 75.7%; hazard ratio: 0.99 [95% confidence interval: 0.958 to 1.022]; HFbEF 75.7% vs. HFpEF 75.7%; hazard ratio: 0.99 [95% confidence interval: 0.947 to 1.046]). In risk-adjusted analyses, the composite of mortality and rehospitalization was similar for all subgroups. Cardiovascular and HF readmission rates were higher in those with HFrEF and HFbEF compared with those with HFpEF. When compared with the U.S. population, HF patients across all age and EF groups had markedly lower median survival.\nCONCLUSIONS: Among patients hospitalized with HF, patients across the EF spectrum have a similarly poor 5-year survival with an elevated risk for cardiovascular and HF admission. These findings underscore the need to improve treatment of patients with HF.","container-title":"Journal of the American College of Cardiology","DOI":"10.1016/j.jacc.2017.08.074","ISSN":"1558-3597","issue":"20","journalAbbreviation":"J Am Coll Cardiol","language":"eng","note":"PMID: 29141781","page":"2476-2486","source":"PubMed","title":"Heart Failure With Preserved, Borderline, and Reduced Ejection Fraction: 5-Year Outcomes","title-short":"Heart Failure With Preserved, Borderline, and Reduced Ejection Fraction","volume":"70","author":[{"family":"Shah","given":"Kevin S."},{"family":"Xu","given":"Haolin"},{"family":"Matsouaka","given":"Roland A."},{"family":"Bhatt","given":"Deepak L."},{"family":"Heidenreich","given":"Paul A."},{"family":"Hernandez","given":"Adrian F."},{"family":"Devore","given":"Adam D."},{"family":"Yancy","given":"Clyde W."},{"family":"Fonarow","given":"Gregg C."}],"issued":{"date-parts":[["2017",11,14]]}}}],"schema":"https://github.com/citation-style-language/schema/raw/master/csl-citation.json"} </w:instrText>
      </w:r>
      <w:r w:rsidRPr="00D76ED4">
        <w:rPr>
          <w:sz w:val="24"/>
          <w:szCs w:val="24"/>
          <w:vertAlign w:val="superscript"/>
        </w:rPr>
        <w:fldChar w:fldCharType="separate"/>
      </w:r>
      <w:r w:rsidRPr="00D76ED4">
        <w:rPr>
          <w:sz w:val="24"/>
          <w:szCs w:val="24"/>
        </w:rPr>
        <w:t>(3)</w:t>
      </w:r>
      <w:r w:rsidRPr="00D76ED4">
        <w:rPr>
          <w:sz w:val="24"/>
          <w:szCs w:val="24"/>
        </w:rPr>
        <w:fldChar w:fldCharType="end"/>
      </w:r>
      <w:r w:rsidRPr="00D76ED4">
        <w:rPr>
          <w:sz w:val="24"/>
          <w:szCs w:val="24"/>
        </w:rPr>
        <w:t>. Improved diagnosis and treatment are sorely needed to address this rapidly growing patient need.</w:t>
      </w:r>
    </w:p>
    <w:p w14:paraId="143DF718" w14:textId="77777777" w:rsidR="005028E5" w:rsidRPr="00D76ED4" w:rsidRDefault="005028E5" w:rsidP="005028E5">
      <w:pPr>
        <w:rPr>
          <w:b/>
          <w:bCs/>
          <w:iCs/>
          <w:sz w:val="24"/>
          <w:szCs w:val="24"/>
        </w:rPr>
      </w:pPr>
      <w:r w:rsidRPr="00D76ED4">
        <w:rPr>
          <w:b/>
          <w:bCs/>
          <w:iCs/>
          <w:sz w:val="24"/>
          <w:szCs w:val="24"/>
        </w:rPr>
        <w:t xml:space="preserve">1.2. Advent of SGLT inhibition – </w:t>
      </w:r>
      <w:r w:rsidRPr="00D76ED4">
        <w:rPr>
          <w:b/>
          <w:bCs/>
          <w:i/>
          <w:sz w:val="24"/>
          <w:szCs w:val="24"/>
        </w:rPr>
        <w:t>A new paradigm shift in heart failure therapy.</w:t>
      </w:r>
    </w:p>
    <w:p w14:paraId="283D0121" w14:textId="77777777" w:rsidR="005028E5" w:rsidRPr="00D76ED4" w:rsidRDefault="005028E5" w:rsidP="005028E5">
      <w:pPr>
        <w:rPr>
          <w:sz w:val="24"/>
          <w:szCs w:val="24"/>
        </w:rPr>
      </w:pPr>
      <w:r w:rsidRPr="00D76ED4">
        <w:rPr>
          <w:sz w:val="24"/>
          <w:szCs w:val="24"/>
        </w:rPr>
        <w:t xml:space="preserve">SGLT2 inhibitors were first developed for the treatment of type 2 diabetes mellitus (T2DM). The serendipitous discovery that they dramatically reduced cardiovascular mortality spawned a series of positive landmark trials such as </w:t>
      </w:r>
      <w:r w:rsidRPr="00D76ED4">
        <w:rPr>
          <w:i/>
          <w:iCs/>
          <w:sz w:val="24"/>
          <w:szCs w:val="24"/>
        </w:rPr>
        <w:t>EMPA</w:t>
      </w:r>
      <w:r w:rsidRPr="00D76ED4">
        <w:rPr>
          <w:rFonts w:ascii="Cambria Math" w:hAnsi="Cambria Math" w:cs="Cambria Math"/>
          <w:i/>
          <w:iCs/>
          <w:sz w:val="24"/>
          <w:szCs w:val="24"/>
        </w:rPr>
        <w:t>‐</w:t>
      </w:r>
      <w:r w:rsidRPr="00D76ED4">
        <w:rPr>
          <w:i/>
          <w:iCs/>
          <w:sz w:val="24"/>
          <w:szCs w:val="24"/>
        </w:rPr>
        <w:t>REG OUTCOME</w:t>
      </w:r>
      <w:r w:rsidRPr="00D76ED4">
        <w:rPr>
          <w:sz w:val="24"/>
          <w:szCs w:val="24"/>
        </w:rPr>
        <w:t xml:space="preserve"> (Empagliflozin Cardiovascular Outcome Event Trial in Type 2 Diabetes Mellitus Patients), </w:t>
      </w:r>
      <w:r w:rsidRPr="00D76ED4">
        <w:rPr>
          <w:i/>
          <w:iCs/>
          <w:sz w:val="24"/>
          <w:szCs w:val="24"/>
        </w:rPr>
        <w:t>CANVAS</w:t>
      </w:r>
      <w:r w:rsidRPr="00D76ED4">
        <w:rPr>
          <w:sz w:val="24"/>
          <w:szCs w:val="24"/>
        </w:rPr>
        <w:t xml:space="preserve"> (Canagliflozin Cardiovascular Assessment Study), and </w:t>
      </w:r>
      <w:r w:rsidRPr="00D76ED4">
        <w:rPr>
          <w:i/>
          <w:iCs/>
          <w:sz w:val="24"/>
          <w:szCs w:val="24"/>
        </w:rPr>
        <w:t>DECLARE</w:t>
      </w:r>
      <w:r w:rsidRPr="00D76ED4">
        <w:rPr>
          <w:rFonts w:ascii="Cambria Math" w:hAnsi="Cambria Math" w:cs="Cambria Math"/>
          <w:i/>
          <w:iCs/>
          <w:sz w:val="24"/>
          <w:szCs w:val="24"/>
        </w:rPr>
        <w:t>‐</w:t>
      </w:r>
      <w:r w:rsidRPr="00D76ED4">
        <w:rPr>
          <w:i/>
          <w:iCs/>
          <w:sz w:val="24"/>
          <w:szCs w:val="24"/>
        </w:rPr>
        <w:t>TIMI 58</w:t>
      </w:r>
      <w:r w:rsidRPr="00D76ED4">
        <w:rPr>
          <w:sz w:val="24"/>
          <w:szCs w:val="24"/>
        </w:rPr>
        <w:t xml:space="preserve"> (Dapagliflozin Effect on Cardiovascular Events</w:t>
      </w:r>
      <w:r w:rsidRPr="00D76ED4">
        <w:rPr>
          <w:rFonts w:ascii="Cambria Math" w:hAnsi="Cambria Math" w:cs="Cambria Math"/>
          <w:sz w:val="24"/>
          <w:szCs w:val="24"/>
        </w:rPr>
        <w:t>‐</w:t>
      </w:r>
      <w:r w:rsidRPr="00D76ED4">
        <w:rPr>
          <w:sz w:val="24"/>
          <w:szCs w:val="24"/>
        </w:rPr>
        <w:t>Thrombolysis in Myocardial Infarction 58), highlighting that their benefits appeared to be a class effect rather than confined to a single agent</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{"citationID":"GbRWImEk","properties":{"formattedCitation":"(4)","plainCitation":"(4)","noteIndex":0},"citationItems":[{"id":88,"uris":["http://zotero.org/users/12333076/items/V3SC6LGG"],"itemData":{"id":88,"type":"article-journal","abstract":"Drug therapies for people with heart failure and preserved ejection fraction (HFpEF) are often limited to diuretics to improve symptoms as no therapies demonstrate a mortality benefit in this cohort. People with diabetes have a high risk of developing HFpEF and vice versa, suggesting shared pathophysiological mechanisms exist, which in turn engenders the potential for shared treatments. Dapagliflozin is a sodium-glucose co-transporter 2 (SGLT2) inhibitor which has demonstrated significantly improved cardiovascular and hospitalisation for heart failure (HHF) outcomes in previous cardiovascular outcome trials (CVOTs). These CVOTs include the DECLARE-TIMI and DAPA-HF studies which observed significant benefits for people with heart failure and specifically those with heart failure and reduced ejection fraction (HFrEF), respectively. The ongoing DELIVER study is evaluating the use of dapagliflozin specifically in people with HFpEF, which may have enormous implications for treatment and considerable economic consequences. This will complement previous and other ongoing CVOTs evaluating dapagliflozin use. In this review we discuss the use of SGLT2 inhibitors in HFrEF and HFpEF with a focus on the DELIVER study and its potential health and economic implications.","container-title":"Diabetes Therapy: Research, Treatment and Education of Diabetes and Related Disorders","DOI":"10.1007/s13300-020-00911-0","ISSN":"1869-6953","issue":"10","journalAbbreviation":"Diabetes Ther","language":"eng","note":"PMID: 32852697\nPMCID: PMC7509021","page":"2207-2219","source":"PubMed","title":"Dapagliflozin for Heart Failure with Preserved Ejection Fraction: Will the DELIVER Study Deliver?","title-short":"Dapagliflozin for Heart Failure with Preserved Ejection Fraction","volume":"11","author":[{"family":"Williams","given":"David M."},{"family":"Evans","given":"Marc"}],"issued":{"date-parts":[["2020",10]]}}}],"schema":"https://github.com/citation-style-language/schema/raw/master/csl-citation.json"} </w:instrText>
      </w:r>
      <w:r w:rsidRPr="00D76ED4">
        <w:rPr>
          <w:sz w:val="24"/>
          <w:szCs w:val="24"/>
          <w:vertAlign w:val="superscript"/>
        </w:rPr>
        <w:fldChar w:fldCharType="separate"/>
      </w:r>
      <w:r w:rsidRPr="00D76ED4">
        <w:rPr>
          <w:sz w:val="24"/>
          <w:szCs w:val="24"/>
        </w:rPr>
        <w:t>(4)</w:t>
      </w:r>
      <w:r w:rsidRPr="00D76ED4">
        <w:rPr>
          <w:sz w:val="24"/>
          <w:szCs w:val="24"/>
        </w:rPr>
        <w:fldChar w:fldCharType="end"/>
      </w:r>
      <w:r w:rsidRPr="00D76ED4">
        <w:rPr>
          <w:sz w:val="24"/>
          <w:szCs w:val="24"/>
        </w:rPr>
        <w:t>.</w:t>
      </w:r>
    </w:p>
    <w:p w14:paraId="47610550" w14:textId="180B2C2E" w:rsidR="005028E5" w:rsidRPr="00D76ED4" w:rsidRDefault="005028E5" w:rsidP="005028E5">
      <w:pPr>
        <w:rPr>
          <w:sz w:val="24"/>
          <w:szCs w:val="24"/>
        </w:rPr>
      </w:pPr>
      <w:r w:rsidRPr="00D76ED4">
        <w:rPr>
          <w:sz w:val="24"/>
          <w:szCs w:val="24"/>
        </w:rPr>
        <w:t xml:space="preserve">           The landmark trial, </w:t>
      </w:r>
      <w:r w:rsidRPr="00D76ED4">
        <w:rPr>
          <w:i/>
          <w:iCs/>
          <w:sz w:val="24"/>
          <w:szCs w:val="24"/>
        </w:rPr>
        <w:t>DAPA-HF</w:t>
      </w:r>
      <w:r w:rsidRPr="00D76ED4">
        <w:rPr>
          <w:sz w:val="24"/>
          <w:szCs w:val="24"/>
        </w:rPr>
        <w:t xml:space="preserve">, demonstrated that SGLT2 inhibition resulted in reduced </w:t>
      </w:r>
      <w:r w:rsidR="00175A07">
        <w:rPr>
          <w:sz w:val="24"/>
          <w:szCs w:val="24"/>
        </w:rPr>
        <w:t>heart failure (</w:t>
      </w:r>
      <w:r w:rsidRPr="00D76ED4">
        <w:rPr>
          <w:sz w:val="24"/>
          <w:szCs w:val="24"/>
        </w:rPr>
        <w:t>HF</w:t>
      </w:r>
      <w:r w:rsidR="00175A07">
        <w:rPr>
          <w:sz w:val="24"/>
          <w:szCs w:val="24"/>
        </w:rPr>
        <w:t>)</w:t>
      </w:r>
      <w:r w:rsidRPr="00D76ED4">
        <w:rPr>
          <w:sz w:val="24"/>
          <w:szCs w:val="24"/>
        </w:rPr>
        <w:t xml:space="preserve"> hospitalisation and </w:t>
      </w:r>
      <w:r w:rsidR="007D1DBE">
        <w:rPr>
          <w:sz w:val="24"/>
          <w:szCs w:val="24"/>
        </w:rPr>
        <w:t>cardiovascular (</w:t>
      </w:r>
      <w:r w:rsidRPr="00D76ED4">
        <w:rPr>
          <w:sz w:val="24"/>
          <w:szCs w:val="24"/>
        </w:rPr>
        <w:t>CV</w:t>
      </w:r>
      <w:r w:rsidR="007D1DBE">
        <w:rPr>
          <w:sz w:val="24"/>
          <w:szCs w:val="24"/>
        </w:rPr>
        <w:t>)</w:t>
      </w:r>
      <w:r w:rsidRPr="00D76ED4">
        <w:rPr>
          <w:sz w:val="24"/>
          <w:szCs w:val="24"/>
        </w:rPr>
        <w:t xml:space="preserve"> death in patients with </w:t>
      </w:r>
      <w:r w:rsidR="00175A07">
        <w:rPr>
          <w:sz w:val="24"/>
          <w:szCs w:val="24"/>
        </w:rPr>
        <w:t>HF with reduced ejection fraction (</w:t>
      </w:r>
      <w:r w:rsidRPr="00D76ED4">
        <w:rPr>
          <w:sz w:val="24"/>
          <w:szCs w:val="24"/>
        </w:rPr>
        <w:t>HFrEF</w:t>
      </w:r>
      <w:r w:rsidR="00175A07">
        <w:rPr>
          <w:sz w:val="24"/>
          <w:szCs w:val="24"/>
        </w:rPr>
        <w:t>)</w:t>
      </w:r>
      <w:r w:rsidRPr="00D76ED4">
        <w:rPr>
          <w:sz w:val="24"/>
          <w:szCs w:val="24"/>
        </w:rPr>
        <w:t>. This effect was observed in a HF population with a much higher morbidity seen in previous HF trials and more importantly, already receiving good medical therapy (as defined by guidelines current at the time of the trial)</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{"citationID":"OtlgomsS","properties":{"formattedCitation":"(5)","plainCitation":"(5)","noteIndex":0},"citationItems":[{"id":96,"uris":["http://zotero.org/users/12333076/items/72SZALPF"],"itemData":{"id":96,"type":"article-journal","abstract":"BACKGROUND: In patients with type 2 diabetes, inhibitors of sodium-glucose cotransporter 2 (SGLT2) reduce the risk of a first hospitalization for heart failure, possibly through glucose-independent mechanisms. More data are needed regarding the effects of SGLT2 inhibitors in patients with established heart failure and a reduced ejection fraction, regardless of the presence or absence of type 2 diabetes.\nMETHODS: In this phase 3, placebo-controlled trial, we randomly assigned 4744 patients with New York Heart Association class II, III, or IV heart failure and an ejection fraction of 40% or less to receive either dapagliflozin (at a dose of 10 mg once daily) or placebo, in addition to recommended therapy. The primary outcome was a composite of worsening heart failure (hospitalization or an urgent visit resulting in intravenous therapy for heart failure) or cardiovascular death.\nRESULTS: Over a median of 18.2 months, the primary outcome occurred in 386 of 2373 patients (16.3%) in the dapagliflozin group and in 502 of 2371 patients (21.2%) in the placebo group (hazard ratio, 0.74; 95% confidence interval [CI], 0.65 to 0.85; P&lt;0.001). A first worsening heart failure event occurred in 237 patients (10.0%) in the dapagliflozin group and in 326 patients (13.7%) in the placebo group (hazard ratio, 0.70; 95% CI, 0.59 to 0.83). Death from cardiovascular causes occurred in 227 patients (9.6%) in the dapagliflozin group and in 273 patients (11.5%) in the placebo group (hazard ratio, 0.82; 95% CI, 0.69 to 0.98); 276 patients (11.6%) and 329 patients (13.9%), respectively, died from any cause (hazard ratio, 0.83; 95% CI, 0.71 to 0.97). Findings in patients with diabetes were similar to those in patients without diabetes. The frequency of adverse events related to volume depletion, renal dysfunction, and hypoglycemia did not differ between treatment groups.\nCONCLUSIONS: Among patients with heart failure and a reduced ejection fraction, the risk of worsening heart failure or death from cardiovascular causes was lower among those who received dapagliflozin than among those who received placebo, regardless of the presence or absence of diabetes. (Funded by AstraZeneca; DAPA-HF ClinicalTrials.gov number, NCT03036124.).","container-title":"The New England Journal of Medicine","DOI":"10.1056/NEJMoa1911303","ISSN":"1533-4406","issue":"21","journalAbbreviation":"N Engl J Med","language":"eng","note":"PMID: 31535829","page":"1995-2008","source":"PubMed","title":"Dapagliflozin in Patients with Heart Failure and Reduced Ejection Fraction","volume":"381","author":[{"family":"McMurray","given":"John J. V."},{"family":"Solomon","given":"Scott D."},{"family":"Inzucchi","given":"Silvio E."},{"family":"Køber","given":"Lars"},{"family":"Kosiborod","given":"Mikhail N."},{"family":"Martinez","given":"Felipe A."},{"family":"Ponikowski","given":"Piotr"},{"family":"Sabatine","given":"Marc S."},{"family":"Anand","given":"Inder S."},{"family":"Bělohlávek","given":"Jan"},{"family":"Böhm","given":"Michael"},{"family":"Chiang","given":"Chern-En"},{"family":"Chopra","given":"Vijay K."},{"family":"Boer","given":"Rudolf A.","non-dropping-particle":"de"},{"family":"Desai","given":"Akshay S."},{"family":"Diez","given":"Mirta"},{"family":"Drozdz","given":"Jaroslaw"},{"family":"Dukát","given":"Andrej"},{"family":"Ge","given":"Junbo"},{"family":"Howlett","given":"Jonathan G."},{"family":"Katova","given":"Tzvetana"},{"family":"Kitakaze","given":"Masafumi"},{"family":"Ljungman","given":"Charlotta E. A."},{"family":"Merkely","given":"Béla"},{"family":"Nicolau","given":"Jose C."},{"family":"O'Meara","given":"Eileen"},{"family":"Petrie","given":"Mark C."},{"family":"Vinh","given":"Pham N."},{"family":"Schou","given":"Morten"},{"family":"Tereshchenko","given":"Sergey"},{"family":"Verma","given":"Subodh"},{"family":"Held","given":"Claes"},{"family":"DeMets","given":"David L."},{"family":"Docherty","given":"Kieran F."},{"family":"Jhund","given":"Pardeep S."},{"family":"Bengtsson","given":"Olof"},{"family":"Sjöstrand","given":"Mikaela"},{"family":"Langkilde","given":"Anna-Maria"},{"literal":"DAPA-HF Trial Committees and Investigators"}],"issued":{"date-parts":[["2019",11,21]]}}}],"schema":"https://github.com/citation-style-language/schema/raw/master/csl-citation.json"} </w:instrText>
      </w:r>
      <w:r w:rsidRPr="00D76ED4">
        <w:rPr>
          <w:sz w:val="24"/>
          <w:szCs w:val="24"/>
          <w:vertAlign w:val="superscript"/>
        </w:rPr>
        <w:fldChar w:fldCharType="separate"/>
      </w:r>
      <w:r w:rsidRPr="00D76ED4">
        <w:rPr>
          <w:sz w:val="24"/>
          <w:szCs w:val="24"/>
        </w:rPr>
        <w:t>(5)</w:t>
      </w:r>
      <w:r w:rsidRPr="00D76ED4">
        <w:rPr>
          <w:sz w:val="24"/>
          <w:szCs w:val="24"/>
        </w:rPr>
        <w:fldChar w:fldCharType="end"/>
      </w:r>
      <w:r w:rsidRPr="00D76ED4">
        <w:rPr>
          <w:sz w:val="24"/>
          <w:szCs w:val="24"/>
        </w:rPr>
        <w:t xml:space="preserve">. Data from </w:t>
      </w:r>
      <w:r w:rsidRPr="00D76ED4">
        <w:rPr>
          <w:i/>
          <w:iCs/>
          <w:sz w:val="24"/>
          <w:szCs w:val="24"/>
        </w:rPr>
        <w:t>EMPORER-REDUCED</w:t>
      </w:r>
      <w:r w:rsidRPr="00D76ED4">
        <w:rPr>
          <w:sz w:val="24"/>
          <w:szCs w:val="24"/>
        </w:rPr>
        <w:t xml:space="preserve"> re-iterated the positive findings noted in </w:t>
      </w:r>
      <w:r w:rsidRPr="00D76ED4">
        <w:rPr>
          <w:i/>
          <w:iCs/>
          <w:sz w:val="24"/>
          <w:szCs w:val="24"/>
        </w:rPr>
        <w:t>DAPA-HF</w:t>
      </w:r>
      <w:r w:rsidRPr="00D76ED4">
        <w:rPr>
          <w:sz w:val="24"/>
          <w:szCs w:val="24"/>
        </w:rPr>
        <w:t xml:space="preserve"> with SGLT2 inhibitors subsequently incorporated as a first line therapy in the latest iteration of the </w:t>
      </w:r>
      <w:r w:rsidR="00175A07">
        <w:rPr>
          <w:sz w:val="24"/>
          <w:szCs w:val="24"/>
        </w:rPr>
        <w:t>European Society Cardiology (</w:t>
      </w:r>
      <w:r w:rsidRPr="00D76ED4">
        <w:rPr>
          <w:sz w:val="24"/>
          <w:szCs w:val="24"/>
        </w:rPr>
        <w:t>ESC</w:t>
      </w:r>
      <w:r w:rsidR="00175A07">
        <w:rPr>
          <w:sz w:val="24"/>
          <w:szCs w:val="24"/>
        </w:rPr>
        <w:t>)</w:t>
      </w:r>
      <w:r w:rsidRPr="00D76ED4">
        <w:rPr>
          <w:sz w:val="24"/>
          <w:szCs w:val="24"/>
        </w:rPr>
        <w:t xml:space="preserve"> HFrEF guidelines</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{"citationID":"3vF1OozM","properties":{"formattedCitation":"(6)","plainCitation":"(6)","noteIndex":0},"citationItems":[{"id":140,"uris":["http://zotero.org/users/12333076/items/MNI66T6L"],"itemData":{"id":140,"type":"article-journal","container-title":"European Heart Journal","DOI":"10.1093/eurheartj/ehad195","ISSN":"1522-9645","journalAbbreviation":"Eur Heart J","language":"eng","note":"PMID: 37622666","page":"ehad195","source":"PubMed","title":"2023 Focused Update of the 2021 ESC Guidelines for the diagnosis and treatment of acute and chronic heart failure","author":[{"family":"McDonagh","given":"Theresa A."},{"family":"Metra","given":"Marco"},{"family":"Adamo","given":"Marianna"},{"family":"Gardner","given":"Roy S."},{"family":"Baumbach","given":"Andreas"},{"family":"Böhm","given":"Michael"},{"family":"Burri","given":"Haran"},{"family":"Butler","given":"Javed"},{"family":"Čelutkienė","given":"Jelena"},{"family":"Chioncel","given":"Ovidiu"},{"family":"Cleland","given":"John G. F."},{"family":"Crespo-Leiro","given":"Maria Generosa"},{"family":"Farmakis","given":"Dimitrios"},{"family":"Gilard","given":"Martine"},{"family":"Heymans","given":"Stephane"},{"family":"Hoes","given":"Arno W."},{"family":"Jaarsma","given":"Tiny"},{"family":"Jankowska","given":"Ewa A."},{"family":"Lainscak","given":"Mitja"},{"family":"Lam","given":"Carolyn S. P."},{"family":"Lyon","given":"Alexander R."},{"family":"McMurray","given":"John J. V."},{"family":"Mebazaa","given":"Alexandre"},{"family":"Mindham","given":"Richard"},{"family":"Muneretto","given":"Claudio"},{"family":"Francesco Piepoli","given":"Massimo"},{"family":"Price","given":"Susanna"},{"family":"Rosano","given":"Giuseppe M. C."},{"family":"Ruschitzka","given":"Frank"},{"family":"Skibelund","given":"Anne Kathrine"},{"literal":"ESC Scientific Document Group"}],"issued":{"date-parts":[["2023",8,25]]}}}],"schema":"https://github.com/citation-style-language/schema/raw/master/csl-citation.json"} </w:instrText>
      </w:r>
      <w:r w:rsidRPr="00D76ED4">
        <w:rPr>
          <w:sz w:val="24"/>
          <w:szCs w:val="24"/>
          <w:vertAlign w:val="superscript"/>
        </w:rPr>
        <w:fldChar w:fldCharType="separate"/>
      </w:r>
      <w:r w:rsidRPr="00D76ED4">
        <w:rPr>
          <w:sz w:val="24"/>
          <w:szCs w:val="24"/>
        </w:rPr>
        <w:t>(6)</w:t>
      </w:r>
      <w:r w:rsidRPr="00D76ED4">
        <w:rPr>
          <w:sz w:val="24"/>
          <w:szCs w:val="24"/>
        </w:rPr>
        <w:fldChar w:fldCharType="end"/>
      </w:r>
      <w:r w:rsidRPr="00D76ED4">
        <w:rPr>
          <w:sz w:val="24"/>
          <w:szCs w:val="24"/>
        </w:rPr>
        <w:t>.</w:t>
      </w:r>
    </w:p>
    <w:p w14:paraId="70159BFC" w14:textId="0B6097FA" w:rsidR="005028E5" w:rsidRDefault="005028E5" w:rsidP="005028E5">
      <w:pPr>
        <w:rPr>
          <w:sz w:val="24"/>
          <w:szCs w:val="24"/>
        </w:rPr>
      </w:pPr>
      <w:r w:rsidRPr="00D76ED4">
        <w:rPr>
          <w:sz w:val="24"/>
          <w:szCs w:val="24"/>
        </w:rPr>
        <w:t xml:space="preserve">Recently, several trials have demonstrated that SGLT2 inhibition results in significant improvements in HF symptoms and physical limitations in </w:t>
      </w:r>
      <w:r w:rsidR="00175A07">
        <w:rPr>
          <w:sz w:val="24"/>
          <w:szCs w:val="24"/>
        </w:rPr>
        <w:t>HF with preserved ejection fraction (</w:t>
      </w:r>
      <w:r w:rsidRPr="00D76ED4">
        <w:rPr>
          <w:sz w:val="24"/>
          <w:szCs w:val="24"/>
        </w:rPr>
        <w:t>HFpEF</w:t>
      </w:r>
      <w:r w:rsidR="00175A07">
        <w:rPr>
          <w:sz w:val="24"/>
          <w:szCs w:val="24"/>
        </w:rPr>
        <w:t>)</w:t>
      </w:r>
      <w:r w:rsidRPr="00D76ED4">
        <w:rPr>
          <w:sz w:val="24"/>
          <w:szCs w:val="24"/>
        </w:rPr>
        <w:t xml:space="preserve"> patients also. Most notably, this improvement appears to be consistent across all subgroups including those without diabetes and those with </w:t>
      </w:r>
      <w:r w:rsidR="00BD4EEB">
        <w:rPr>
          <w:sz w:val="24"/>
          <w:szCs w:val="24"/>
        </w:rPr>
        <w:t>a left ventricular ejection fraction (LV</w:t>
      </w:r>
      <w:r w:rsidRPr="00D76ED4">
        <w:rPr>
          <w:sz w:val="24"/>
          <w:szCs w:val="24"/>
        </w:rPr>
        <w:t>EF</w:t>
      </w:r>
      <w:r w:rsidR="00BD4EEB">
        <w:rPr>
          <w:sz w:val="24"/>
          <w:szCs w:val="24"/>
        </w:rPr>
        <w:t>)</w:t>
      </w:r>
      <w:r w:rsidRPr="00D76ED4">
        <w:rPr>
          <w:sz w:val="24"/>
          <w:szCs w:val="24"/>
        </w:rPr>
        <w:t xml:space="preserve"> &gt;60%</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{"citationID":"KmG0wDKr","properties":{"formattedCitation":"(7)","plainCitation":"(7)","noteIndex":0},"citationItems":[{"id":10,"uris":["http://zotero.org/users/12333076/items/DSNJ29FW"],"itemData":{"id":10,"type":"article-journal","abstract":"BACKGROUND: Both DAPA-HF (assessing dapagliflozin) and EMPEROR-Reduced (assessing empagliflozin) trials showed that sodium-glucose co-transporter-2 (SGLT2) inhibition reduced the combined risk of cardiovascular death or hospitalisation for heart failure in patients with heart failure with reduced ejection fraction (HFrEF) with or without diabetes. However, neither trial was powered to assess effects on cardiovascular death or all-cause death or to characterise effects in clinically important subgroups. Using study-level published data from DAPA-HF and patient-level data from EMPEROR-Reduced, we aimed to estimate the effect of SGLT2 inhibition on fatal and non-fatal heart failure events and renal outcomes in all randomly assigned patients with HFrEF and in relevant subgroups from DAPA-HF and EMPEROR-Reduced trials.\nMETHODS: We did a prespecified meta-analysis of the two single large-scale trials assessing the effects of SGLT2 inhibitors on cardiovascular outcomes in patients with HFrEF with or without diabetes: DAPA-HF (assessing dapagliflozin) and EMPEROR-Reduced (assessing empagliflozin). The primary endpoint was time to all-cause death. Additionally, we assessed the effects of treatment in prespecified subgroups on the combined risk of cardiovascular death or hospitalisation for heart failure. These subgroups were based on type 2 diabetes status, age, sex, angiotensin receptor neprilysin inhibitor (ARNI) treatment, New York Heart Association (NYHA) functional class, race, history of hospitalisation for heart failure, estimated glomerular filtration rate (eGFR), body-mass index, and region (post-hoc). We used hazard ratios (HRs) derived from Cox proportional hazard models for time-to-first event endpoints and Cochran's Q test for treatment interactions; the analysis of recurrent events was based on rate ratios derived from the Lin-Wei-Yang-Ying model.\nFINDINGS: Among 8474 patients combined from both trials, the estimated treatment effect was a 13% reduction in all-cause death (pooled HR 0·87, 95% CI 0·77-0·98; p=0·018) and 14% reduction in cardiovascular death (0·86, 0·76-0·98; p=0·027). SGLT2 inhibition was accompanied by a 26% relative reduction in the combined risk of cardiovascular death or first hospitalisation for heart failure (0·74, 0·68-0·82; p&lt;0·0001), and by a 25% decrease in the composite of recurrent hospitalisations for heart failure or cardiovascular death (0·75, 0·68-0·84; p&lt;0·0001). The risk of the composite renal endpoint was also reduced (0·62, 0·43-0·90; p=0·013). All tests for heterogeneity of effect size between trials were not significant. The pooled treatment effects showed consistent benefits for subgroups based on age, sex, diabetes, treatment with an ARNI and baseline eGFR, but suggested treatment-by-subgroup interactions for subgroups based on NYHA functional class and race.\nINTERPRETATION: The effects of empagliflozin and dapagliflozin on hospitalisations for heart failure were consistent in the two independent trials and suggest that these agents also improve renal outcomes and reduce all-cause and cardiovascular death in patients with HFrEF.\nFUNDING: Boehringer Ingelheim.","container-title":"Lancet (London, England)","DOI":"10.1016/S0140-6736(20)31824-9","ISSN":"1474-547X","issue":"10254","journalAbbreviation":"Lancet","language":"eng","note":"PMID: 32877652","page":"819-829","source":"PubMed","title":"SGLT2 inhibitors in patients with heart failure with reduced ejection fraction: a meta-analysis of the EMPEROR-Reduced and DAPA-HF trials","title-short":"SGLT2 inhibitors in patients with heart failure with reduced ejection fraction","volume":"396","author":[{"family":"Zannad","given":"Faiez"},{"family":"Ferreira","given":"João Pedro"},{"family":"Pocock","given":"Stuart J."},{"family":"Anker","given":"Stefan D."},{"family":"Butler","given":"Javed"},{"family":"Filippatos","given":"Gerasimos"},{"family":"Brueckmann","given":"Martina"},{"family":"Ofstad","given":"Anne Pernille"},{"family":"Pfarr","given":"Egon"},{"family":"Jamal","given":"Waheed"},{"family":"Packer","given":"Milton"}],"issued":{"date-parts":[["2020",9,19]]}}}],"schema":"https://github.com/citation-style-language/schema/raw/master/csl-citation.json"} </w:instrText>
      </w:r>
      <w:r w:rsidRPr="00D76ED4">
        <w:rPr>
          <w:sz w:val="24"/>
          <w:szCs w:val="24"/>
          <w:vertAlign w:val="superscript"/>
        </w:rPr>
        <w:fldChar w:fldCharType="separate"/>
      </w:r>
      <w:r w:rsidRPr="00D76ED4">
        <w:rPr>
          <w:sz w:val="24"/>
          <w:szCs w:val="24"/>
        </w:rPr>
        <w:t>(7)</w:t>
      </w:r>
      <w:r w:rsidRPr="00D76ED4">
        <w:rPr>
          <w:sz w:val="24"/>
          <w:szCs w:val="24"/>
        </w:rPr>
        <w:fldChar w:fldCharType="end"/>
      </w:r>
      <w:r w:rsidRPr="00D76ED4">
        <w:rPr>
          <w:sz w:val="24"/>
          <w:szCs w:val="24"/>
        </w:rPr>
        <w:t xml:space="preserve">. More importantly, </w:t>
      </w:r>
      <w:r w:rsidRPr="00D76ED4">
        <w:rPr>
          <w:i/>
          <w:iCs/>
          <w:sz w:val="24"/>
          <w:szCs w:val="24"/>
        </w:rPr>
        <w:t xml:space="preserve">DELIVER </w:t>
      </w:r>
      <w:r w:rsidRPr="00D76ED4">
        <w:rPr>
          <w:sz w:val="24"/>
          <w:szCs w:val="24"/>
        </w:rPr>
        <w:t>has shown SGLT2 inhibition in HFpEF results in a significant reduction in cardiovascular death and worsening HF</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{"citationID":"uToj5I6t","properties":{"formattedCitation":"(8)","plainCitation":"(8)","noteIndex":0},"citationItems":[{"id":135,"uris":["http://zotero.org/users/12333076/items/JYSJRPLW"],"itemData":{"id":135,"type":"article-journal","abstract":"AIMS: Sodium-glucose co-transporter 2 (SGLT2) inhibitors, originally developed as glucose-lowering agents, have been shown to reduce heart failure hospitalizations in patients with type 2 diabetes without established heart failure, and in patients with heart failure with and without diabetes. Their role in patients with heart failure with preserved and mildly reduced ejection fraction remains unknown.\nMETHODS: Dapagliflozin Evaluation to Improve the LIVEs of Patients With PReserved Ejection Fraction Heart Failure (DELIVER) is an international, multicentre, parallel group, event-driven, randomized, double-blind trial in patients with chronic heart failure and left ventricular ejection fraction (LVEF) &gt;40%, comparing the effect of dapagliflozin 10 mg once daily, vs. placebo, in addition to standard of care. Patients with or without diabetes, with signs and symptoms of heart failure, a LVEF &gt;40%, elevation in natriuretic peptides and evidence of structural heart disease are eligible. The primary endpoint is time-to-first cardiovascular death or worsening heart failure event (heart failure hospitalization or urgent heart failure visit), and will be assessed in dual primary analyses - the full population and in those with LVEF &lt;60%. The study is event-driven and will target 1117 primary events. A total of 6263 patients have been randomized.\nCONCLUSIONS: DELIVER will determine the efficacy and safety of the SGLT2 inhibitor dapagliflozin, added to conventional therapy, in patients with heart failure and preserved and mildly reduced ejection fraction.","container-title":"European Journal of Heart Failure","DOI":"10.1002/ejhf.2249","ISSN":"1879-0844","issue":"7","journalAbbreviation":"Eur J Heart Fail","language":"eng","note":"PMID: 34051124\nPMCID: PMC8361994","page":"1217-1225","source":"PubMed","title":"Dapagliflozin in heart failure with preserved and mildly reduced ejection fraction: rationale and design of the DELIVER trial","title-short":"Dapagliflozin in heart failure with preserved and mildly reduced ejection fraction","volume":"23","author":[{"family":"Solomon","given":"Scott D."},{"family":"Boer","given":"Rudolf A.","non-dropping-particle":"de"},{"family":"DeMets","given":"David"},{"family":"Hernandez","given":"Adrian F."},{"family":"Inzucchi","given":"Silvio E."},{"family":"Kosiborod","given":"Mikhail N."},{"family":"Lam","given":"Carolyn S. P."},{"family":"Martinez","given":"Felipe"},{"family":"Shah","given":"Sanjiv J."},{"family":"Lindholm","given":"Daniel"},{"family":"Wilderäng","given":"Ulrica"},{"family":"Öhrn","given":"Fredrik"},{"family":"Claggett","given":"Brian"},{"family":"Langkilde","given":"Anna Maria"},{"family":"Petersson","given":"Magnus"},{"family":"McMurray","given":"John J. V."}],"issued":{"date-parts":[["2021",7]]}}}],"schema":"https://github.com/citation-style-language/schema/raw/master/csl-citation.json"} </w:instrText>
      </w:r>
      <w:r w:rsidRPr="00D76ED4">
        <w:rPr>
          <w:sz w:val="24"/>
          <w:szCs w:val="24"/>
          <w:vertAlign w:val="superscript"/>
        </w:rPr>
        <w:fldChar w:fldCharType="separate"/>
      </w:r>
      <w:r w:rsidRPr="00D76ED4">
        <w:rPr>
          <w:sz w:val="24"/>
          <w:szCs w:val="24"/>
        </w:rPr>
        <w:t>(8)</w:t>
      </w:r>
      <w:r w:rsidRPr="00D76ED4">
        <w:rPr>
          <w:sz w:val="24"/>
          <w:szCs w:val="24"/>
        </w:rPr>
        <w:fldChar w:fldCharType="end"/>
      </w:r>
      <w:r w:rsidRPr="00D76ED4">
        <w:rPr>
          <w:sz w:val="24"/>
          <w:szCs w:val="24"/>
        </w:rPr>
        <w:t xml:space="preserve">. This is a paradigm shift in the treatment of HFpEF as previously, no other drug had proven benefit in CV reduction in this patient group. In light of this </w:t>
      </w:r>
      <w:r w:rsidRPr="00D76ED4">
        <w:rPr>
          <w:sz w:val="24"/>
          <w:szCs w:val="24"/>
        </w:rPr>
        <w:lastRenderedPageBreak/>
        <w:t>accumulating evidence, SGLT2 inhibitors have now been incorporated in to standard clinical guidelines for the treatment of HFpEF</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{"citationID":"HSj7KTIT","properties":{"formattedCitation":"(6)","plainCitation":"(6)","noteIndex":0},"citationItems":[{"id":140,"uris":["http://zotero.org/users/12333076/items/MNI66T6L"],"itemData":{"id":140,"type":"article-journal","container-title":"European Heart Journal","DOI":"10.1093/eurheartj/ehad195","ISSN":"1522-9645","journalAbbreviation":"Eur Heart J","language":"eng","note":"PMID: 37622666","page":"ehad195","source":"PubMed","title":"2023 Focused Update of the 2021 ESC Guidelines for the diagnosis and treatment of acute and chronic heart failure","author":[{"family":"McDonagh","given":"Theresa A."},{"family":"Metra","given":"Marco"},{"family":"Adamo","given":"Marianna"},{"family":"Gardner","given":"Roy S."},{"family":"Baumbach","given":"Andreas"},{"family":"Böhm","given":"Michael"},{"family":"Burri","given":"Haran"},{"family":"Butler","given":"Javed"},{"family":"Čelutkienė","given":"Jelena"},{"family":"Chioncel","given":"Ovidiu"},{"family":"Cleland","given":"John G. F."},{"family":"Crespo-Leiro","given":"Maria Generosa"},{"family":"Farmakis","given":"Dimitrios"},{"family":"Gilard","given":"Martine"},{"family":"Heymans","given":"Stephane"},{"family":"Hoes","given":"Arno W."},{"family":"Jaarsma","given":"Tiny"},{"family":"Jankowska","given":"Ewa A."},{"family":"Lainscak","given":"Mitja"},{"family":"Lam","given":"Carolyn S. P."},{"family":"Lyon","given":"Alexander R."},{"family":"McMurray","given":"John J. V."},{"family":"Mebazaa","given":"Alexandre"},{"family":"Mindham","given":"Richard"},{"family":"Muneretto","given":"Claudio"},{"family":"Francesco Piepoli","given":"Massimo"},{"family":"Price","given":"Susanna"},{"family":"Rosano","given":"Giuseppe M. C."},{"family":"Ruschitzka","given":"Frank"},{"family":"Skibelund","given":"Anne Kathrine"},{"literal":"ESC Scientific Document Group"}],"issued":{"date-parts":[["2023",8,25]]}}}],"schema":"https://github.com/citation-style-language/schema/raw/master/csl-citation.json"} </w:instrText>
      </w:r>
      <w:r w:rsidRPr="00D76ED4">
        <w:rPr>
          <w:sz w:val="24"/>
          <w:szCs w:val="24"/>
          <w:vertAlign w:val="superscript"/>
        </w:rPr>
        <w:fldChar w:fldCharType="separate"/>
      </w:r>
      <w:r w:rsidRPr="00D76ED4">
        <w:rPr>
          <w:sz w:val="24"/>
          <w:szCs w:val="24"/>
        </w:rPr>
        <w:t>(6)</w:t>
      </w:r>
      <w:r w:rsidRPr="00D76ED4">
        <w:rPr>
          <w:sz w:val="24"/>
          <w:szCs w:val="24"/>
        </w:rPr>
        <w:fldChar w:fldCharType="end"/>
      </w:r>
      <w:r w:rsidRPr="00D76ED4">
        <w:rPr>
          <w:sz w:val="24"/>
          <w:szCs w:val="24"/>
        </w:rPr>
        <w:t xml:space="preserve">. </w:t>
      </w:r>
    </w:p>
    <w:p w14:paraId="080E0F28" w14:textId="77777777" w:rsidR="005028E5" w:rsidRPr="00D76ED4" w:rsidRDefault="005028E5" w:rsidP="005028E5">
      <w:pPr>
        <w:rPr>
          <w:sz w:val="24"/>
          <w:szCs w:val="24"/>
        </w:rPr>
      </w:pPr>
    </w:p>
    <w:p w14:paraId="1E6827B5" w14:textId="77777777" w:rsidR="005028E5" w:rsidRPr="00D76ED4" w:rsidRDefault="005028E5" w:rsidP="005028E5">
      <w:pPr>
        <w:rPr>
          <w:b/>
          <w:bCs/>
          <w:iCs/>
          <w:sz w:val="24"/>
          <w:szCs w:val="24"/>
        </w:rPr>
      </w:pPr>
      <w:r w:rsidRPr="00D76ED4">
        <w:rPr>
          <w:b/>
          <w:bCs/>
          <w:iCs/>
          <w:sz w:val="24"/>
          <w:szCs w:val="24"/>
        </w:rPr>
        <w:t xml:space="preserve">1.3. Current proposed mechanisms for CV effects of SGLT2 inhibition. </w:t>
      </w:r>
    </w:p>
    <w:p w14:paraId="1CC80ABF" w14:textId="77777777" w:rsidR="005028E5" w:rsidRPr="00D76ED4" w:rsidRDefault="005028E5" w:rsidP="005028E5">
      <w:pPr>
        <w:rPr>
          <w:sz w:val="24"/>
          <w:szCs w:val="24"/>
        </w:rPr>
      </w:pPr>
      <w:r w:rsidRPr="00D76ED4">
        <w:rPr>
          <w:sz w:val="24"/>
          <w:szCs w:val="24"/>
        </w:rPr>
        <w:t xml:space="preserve">        SGLT2 inhibition results in reduction of coupled sodium and glucose resorption in the proximal convoluted tubule of the kidney thereby promoting natriuresis and glycosuria. Despite its initial development as an anti-diabetic therapy, it has become clear that its mechanisms of action are multi-modal and not confined to one organ system </w:t>
      </w:r>
      <w:r w:rsidRPr="00D76ED4">
        <w:rPr>
          <w:sz w:val="24"/>
          <w:szCs w:val="24"/>
        </w:rPr>
        <w:fldChar w:fldCharType="begin"/>
      </w:r>
      <w:r w:rsidRPr="00D76ED4">
        <w:rPr>
          <w:sz w:val="24"/>
          <w:szCs w:val="24"/>
        </w:rPr>
        <w:instrText xml:space="preserve"> ADDIN ZOTERO_ITEM CSL_CITATION {"citationID":"zaILoRp6","properties":{"formattedCitation":"(9)","plainCitation":"(9)","noteIndex":0},"citationItems":[{"id":38,"uris":["http://zotero.org/users/12333076/items/UUPFR2F7"],"itemData":{"id":38,"type":"article-journal","abstract":"Sodium-glucose cotransporter 2 inhibitors (SGLT2i), a new drug class approved for treatment of diabetes, have been shown to possess a favorable metabolic profile and to significantly reduce atherosclerotic events, hospitalization for heart failure, cardiovascular and total mortality, and progression of chronic kidney disease. Although initially considered to be only glucose-lowering agents, the effects of SGLT2i have expanded far beyond that, and their use is now being studied in the treatment of heart failure and chronic kidney disease, even in patients without diabetes. It is therefore critical for cardiologists, diabetologists, nephrologists, and primary care physicians to be familiar with this drug class. This first part of this 2-part review provides an overview of the current understanding of the mechanisms of the cardio-metabolic-renal benefits of SGLT2i. The second part summarizes the recent clinical trials of SGLT2i.","container-title":"Journal of the American College of Cardiology","DOI":"10.1016/j.jacc.2019.11.031","ISSN":"1558-3597","issue":"4","journalAbbreviation":"J Am Coll Cardiol","language":"eng","note":"PMID: 32000955","page":"422-434","source":"PubMed","title":"Mechanisms of Cardiorenal Effects of Sodium-Glucose Cotransporter 2 Inhibitors: JACC State-of-the-Art Review","title-short":"Mechanisms of Cardiorenal Effects of Sodium-Glucose Cotransporter 2 Inhibitors","volume":"75","author":[{"family":"Zelniker","given":"Thomas A."},{"family":"Braunwald","given":"Eugene"}],"issued":{"date-parts":[["2020",2,4]]}}}],"schema":"https://github.com/citation-style-language/schema/raw/master/csl-citation.json"} </w:instrText>
      </w:r>
      <w:r w:rsidRPr="00D76ED4">
        <w:rPr>
          <w:sz w:val="24"/>
          <w:szCs w:val="24"/>
        </w:rPr>
        <w:fldChar w:fldCharType="separate"/>
      </w:r>
      <w:r w:rsidRPr="00D76ED4">
        <w:rPr>
          <w:sz w:val="24"/>
          <w:szCs w:val="24"/>
        </w:rPr>
        <w:t>(9)</w:t>
      </w:r>
      <w:r w:rsidRPr="00D76ED4">
        <w:rPr>
          <w:sz w:val="24"/>
          <w:szCs w:val="24"/>
        </w:rPr>
        <w:fldChar w:fldCharType="end"/>
      </w:r>
      <w:r w:rsidRPr="00D76ED4">
        <w:rPr>
          <w:sz w:val="24"/>
          <w:szCs w:val="24"/>
        </w:rPr>
        <w:t>. Indeed, the perceived reduction of CV morbidity and mortality has been demonstrated to be independent of its glucose lowering effects. Several hypotheses for its mode of action in CV risk reduction exist</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DGufJn0a","properties":{"formattedCitation":"(10)","plainCitation":"(10)","noteIndex":0},"citationItems":[{"id":107,"uris":["http://zotero.org/users/12333076/items/B7DDBX47"],"itemData":{"id":107,"type":"article-journal","container-title":"Circulation","DOI":"10.1161/CIRCULATIONAHA.118.035759","ISSN":"1524-4539","issue":"17","journalAbbreviation":"Circulation","language":"eng","note":"PMID: 30354665","page":"1904-1907","source":"PubMed","title":"Improvement in Cardiovascular Outcomes With Empagliflozin Is Independent of Glycemic Control","volume":"138","author":[{"family":"Inzucchi","given":"Silvio E."},{"family":"Kosiborod","given":"Mikhail"},{"family":"Fitchett","given":"David"},{"family":"Wanner","given":"Christoph"},{"family":"Hehnke","given":"Uwe"},{"family":"Kaspers","given":"Stefan"},{"family":"George","given":"Jyothis T."},{"family":"Zinman","given":"Bernard"}],"issued":{"date-parts":[["2018",10,23]]}}}],"schema":"https://github.com/citation-style-language/schema/raw/master/csl-citation.json"} </w:instrText>
      </w:r>
      <w:r w:rsidRPr="00D76ED4">
        <w:rPr>
          <w:sz w:val="24"/>
          <w:szCs w:val="24"/>
          <w:vertAlign w:val="superscript"/>
        </w:rPr>
        <w:fldChar w:fldCharType="separate"/>
      </w:r>
      <w:r w:rsidRPr="00D76ED4">
        <w:rPr>
          <w:sz w:val="24"/>
          <w:szCs w:val="24"/>
        </w:rPr>
        <w:t>(10)</w:t>
      </w:r>
      <w:r w:rsidRPr="00D76ED4">
        <w:rPr>
          <w:sz w:val="24"/>
          <w:szCs w:val="24"/>
        </w:rPr>
        <w:fldChar w:fldCharType="end"/>
      </w:r>
      <w:r w:rsidRPr="00D76ED4">
        <w:rPr>
          <w:sz w:val="24"/>
          <w:szCs w:val="24"/>
        </w:rPr>
        <w:t xml:space="preserve">. </w:t>
      </w:r>
    </w:p>
    <w:p w14:paraId="4150F982" w14:textId="03625828" w:rsidR="005028E5" w:rsidRPr="00D76ED4" w:rsidRDefault="005028E5" w:rsidP="005028E5">
      <w:pPr>
        <w:rPr>
          <w:i/>
          <w:iCs/>
          <w:sz w:val="24"/>
          <w:szCs w:val="24"/>
        </w:rPr>
      </w:pPr>
      <w:r w:rsidRPr="00D76ED4">
        <w:rPr>
          <w:sz w:val="24"/>
          <w:szCs w:val="24"/>
        </w:rPr>
        <w:t xml:space="preserve">        Firstly, reduced pulmonary congestion appears to be related to its natriuretic effects which notably cause predominant interstitial fluid shift (as opposed to intravascular shift seen in traditional diuretics) thus evoking less hypotension and consequent renal injury</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{"citationID":"EyZG6rKe","properties":{"formattedCitation":"(11)","plainCitation":"(11)","noteIndex":0},"citationItems":[{"id":109,"uris":["http://zotero.org/users/12333076/items/AGNWEL76"],"itemData":{"id":109,"type":"article-journal","abstract":"The effect of a sodium glucose cotransporter 2 inhibitor (SGLT2i) in reducing heart failure hospitalization in the EMPA-REG OUTCOMES trial has raised the possibility of using these agents to treat established heart failure. We hypothesize that osmotic diuresis induced by SGLT2 inhibition, a distinctly different diuretic mechanism than that of other diuretic classes, results in greater electrolyte-free water clearance and, ultimately, in greater fluid clearance from the interstitial fluid (IF) space than from the circulation, potentially resulting in congestion relief with minimal impact on blood volume, arterial filling and organ perfusion. We utilize a mathematical model to illustrate that electrolyte-free water clearance results in a greater reduction in IF volume compared to blood volume, and that this difference may be mediated by peripheral sequestration of osmotically inactive sodium. By coupling the model with data on plasma and urinary sodium and water in healthy subjects who received either the SGLT2i dapagliflozin or loop diuretic bumetanide, we predict that dapagliflozin produces a 2-fold greater reduction in IF volume compared to blood volume, while the reduction in IF volume with bumetanide is only 78% of the reduction in blood volume. Heart failure is characterized by excess fluid accumulation, in both the vascular compartment and interstitial space, yet many heart failure patients have arterial underfilling because of low cardiac output, which may be aggravated by conventional diuretic treatment. Thus, we hypothesize that, by reducing IF volume to a greater extent than blood volume, SGLT2 inhibitors might provide better control of congestion without reducing arterial filling and perfusion.","container-title":"Diabetes, Obesity &amp; Metabolism","DOI":"10.1111/dom.13126","ISSN":"1463-1326","issue":"3","journalAbbreviation":"Diabetes Obes Metab","language":"eng","note":"PMID: 29024278","page":"479-487","source":"PubMed","title":"Why do SGLT2 inhibitors reduce heart failure hospitalization? A differential volume regulation hypothesis","title-short":"Why do SGLT2 inhibitors reduce heart failure hospitalization?","volume":"20","author":[{"family":"Hallow","given":"Karen M."},{"family":"Helmlinger","given":"Gabriel"},{"family":"Greasley","given":"Peter J."},{"family":"McMurray","given":"John J. V."},{"family":"Boulton","given":"David W."}],"issued":{"date-parts":[["2018",3]]}}}],"schema":"https://github.com/citation-style-language/schema/raw/master/csl-citation.json"} </w:instrText>
      </w:r>
      <w:r w:rsidRPr="00D76ED4">
        <w:rPr>
          <w:sz w:val="24"/>
          <w:szCs w:val="24"/>
          <w:vertAlign w:val="superscript"/>
        </w:rPr>
        <w:fldChar w:fldCharType="separate"/>
      </w:r>
      <w:r w:rsidRPr="00D76ED4">
        <w:rPr>
          <w:sz w:val="24"/>
          <w:szCs w:val="24"/>
        </w:rPr>
        <w:t>(11)</w:t>
      </w:r>
      <w:r w:rsidRPr="00D76ED4">
        <w:rPr>
          <w:sz w:val="24"/>
          <w:szCs w:val="24"/>
        </w:rPr>
        <w:fldChar w:fldCharType="end"/>
      </w:r>
      <w:r w:rsidRPr="00D76ED4">
        <w:rPr>
          <w:sz w:val="24"/>
          <w:szCs w:val="24"/>
        </w:rPr>
        <w:t xml:space="preserve">. Shifts in cardiac metabolism have also been demonstrated with enhanced ketone metabolism. This may act as an anti-inflammatory substrate and promote reverse cardiac remodelling directly by improving </w:t>
      </w:r>
      <w:r w:rsidR="00C16FB2" w:rsidRPr="00C16FB2">
        <w:rPr>
          <w:sz w:val="24"/>
          <w:szCs w:val="24"/>
        </w:rPr>
        <w:t xml:space="preserve">adenosine triphosphate </w:t>
      </w:r>
      <w:r w:rsidR="00C16FB2">
        <w:rPr>
          <w:sz w:val="24"/>
          <w:szCs w:val="24"/>
        </w:rPr>
        <w:t>(</w:t>
      </w:r>
      <w:r w:rsidRPr="00D76ED4">
        <w:rPr>
          <w:sz w:val="24"/>
          <w:szCs w:val="24"/>
        </w:rPr>
        <w:t>ATP</w:t>
      </w:r>
      <w:r w:rsidR="00C16FB2">
        <w:rPr>
          <w:sz w:val="24"/>
          <w:szCs w:val="24"/>
        </w:rPr>
        <w:t>)</w:t>
      </w:r>
      <w:r w:rsidRPr="00D76ED4">
        <w:rPr>
          <w:sz w:val="24"/>
          <w:szCs w:val="24"/>
        </w:rPr>
        <w:t xml:space="preserve"> supply</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{"citationID":"V8vx6qop","properties":{"formattedCitation":"(12)","plainCitation":"(12)","noteIndex":0},"citationItems":[{"id":112,"uris":["http://zotero.org/users/12333076/items/KSHACZ7X"],"itemData":{"id":112,"type":"article-journal","abstract":"Evidence has emerged that the failing heart increases utilization of ketone bodies. We sought to determine whether this fuel shift is adaptive. Mice rendered incapable of oxidizing the ketone body 3-hydroxybutyrate (3OHB) in the heart exhibited worsened heart failure in response to fasting or a pressure overload/ischemic insult compared with WT controls. Increased delivery of 3OHB ameliorated pathologic cardiac remodeling and dysfunction in mice and in a canine pacing model of progressive heart failure. 3OHB was shown to enhance bioenergetic thermodynamics of isolated mitochondria in the context of limiting levels of fatty acids. These results indicate that the heart utilizes 3OHB as a metabolic stress defense and suggest that strategies aimed at increasing ketone delivery to the heart could prove useful in the treatment of heart failure.","container-title":"JCI insight","DOI":"10.1172/jci.insight.124079","ISSN":"2379-3708","issue":"4","journalAbbreviation":"JCI Insight","language":"eng","note":"PMID: 30668551\nPMCID: PMC6478419","page":"e124079, 124079","source":"PubMed","title":"The failing heart utilizes 3-hydroxybutyrate as a metabolic stress defense","volume":"4","author":[{"family":"Horton","given":"Julie L."},{"family":"Davidson","given":"Michael T."},{"family":"Kurishima","given":"Clara"},{"family":"Vega","given":"Rick B."},{"family":"Powers","given":"Jeffery C."},{"family":"Matsuura","given":"Timothy R."},{"family":"Petucci","given":"Christopher"},{"family":"Lewandowski","given":"E. Douglas"},{"family":"Crawford","given":"Peter A."},{"family":"Muoio","given":"Deborah M."},{"family":"Recchia","given":"Fabio A."},{"family":"Kelly","given":"Daniel P."}],"issued":{"date-parts":[["2019",2,21]]}}}],"schema":"https://github.com/citation-style-language/schema/raw/master/csl-citation.json"} </w:instrText>
      </w:r>
      <w:r w:rsidRPr="00D76ED4">
        <w:rPr>
          <w:sz w:val="24"/>
          <w:szCs w:val="24"/>
          <w:vertAlign w:val="superscript"/>
        </w:rPr>
        <w:fldChar w:fldCharType="separate"/>
      </w:r>
      <w:r w:rsidRPr="00D76ED4">
        <w:rPr>
          <w:sz w:val="24"/>
          <w:szCs w:val="24"/>
        </w:rPr>
        <w:t>(12)</w:t>
      </w:r>
      <w:r w:rsidRPr="00D76ED4">
        <w:rPr>
          <w:sz w:val="24"/>
          <w:szCs w:val="24"/>
        </w:rPr>
        <w:fldChar w:fldCharType="end"/>
      </w:r>
      <w:r w:rsidRPr="00D76ED4">
        <w:rPr>
          <w:sz w:val="24"/>
          <w:szCs w:val="24"/>
        </w:rPr>
        <w:t xml:space="preserve">. Furthermore, SGLT2 inhibition has been shown to reduce arterial blood pressure (and thus afterload) without an associated rise in heart rate suggesting a role in attenuation of enhanced sympathetic nervous stimulation seen in </w:t>
      </w:r>
      <w:r w:rsidR="00984384">
        <w:rPr>
          <w:sz w:val="24"/>
          <w:szCs w:val="24"/>
        </w:rPr>
        <w:t>HF</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{"citationID":"lh6vjjRL","properties":{"formattedCitation":"(13)","plainCitation":"(13)","noteIndex":0},"citationItems":[{"id":115,"uris":["http://zotero.org/users/12333076/items/GU3Z9JWQ"],"itemData":{"id":115,"type":"article-journal","abstract":"PURPOSE OF THE REVIEW: Hyperactivity of sympathetic nervous system (SNS) plays a role in the development of arterial hypertension and heart failure, two co-morbidities frequently associated with type 2 diabetes (T2DM). This review aims at analyzing the effects of sodium-glucose cotransporter type 2 inhibitors (SGLT2is) on blood pressure and more especially on SNS activity in patients with T2DM.\nRECENT FINDINGS: By enhancing glucosuria, natriuresis, and osmotic diuresis, SGLT2is improve glucose control, promote weight loss, lower arterial blood pressure, and reduce the risk of major cardiovascular events and hospitalization for heart failure. No rise of heart rate is detected despite reductions in blood pressure and plasma volume, which may suggest a dampening of SNS activity. Indeed, increasing experimental and clinical data demonstrated a reduction in SNS activity, including in key target organs such as the heart and the kidneys. Of potential major interest, a better understanding of the mechanisms linking SGLT2 and SNS deserves further investigation.","container-title":"Current Cardiology Reports","DOI":"10.1007/s11886-019-1165-1","ISSN":"1534-3170","issue":"8","journalAbbreviation":"Curr Cardiol Rep","language":"eng","note":"PMID: 31227915","page":"70","source":"PubMed","title":"Effect of SGLT2 Inhibitors on the Sympathetic Nervous System and Blood Pressure","volume":"21","author":[{"family":"Scheen","given":"André J."}],"issued":{"date-parts":[["2019",6,21]]}}}],"schema":"https://github.com/citation-style-language/schema/raw/master/csl-citation.json"} </w:instrText>
      </w:r>
      <w:r w:rsidRPr="00D76ED4">
        <w:rPr>
          <w:sz w:val="24"/>
          <w:szCs w:val="24"/>
          <w:vertAlign w:val="superscript"/>
        </w:rPr>
        <w:fldChar w:fldCharType="separate"/>
      </w:r>
      <w:r w:rsidRPr="00D76ED4">
        <w:rPr>
          <w:sz w:val="24"/>
          <w:szCs w:val="24"/>
        </w:rPr>
        <w:t>(13)</w:t>
      </w:r>
      <w:r w:rsidRPr="00D76ED4">
        <w:rPr>
          <w:sz w:val="24"/>
          <w:szCs w:val="24"/>
        </w:rPr>
        <w:fldChar w:fldCharType="end"/>
      </w:r>
      <w:r w:rsidRPr="00D76ED4">
        <w:rPr>
          <w:sz w:val="24"/>
          <w:szCs w:val="24"/>
        </w:rPr>
        <w:t>. This systemic effect on the nervous system may help explain its observed reno-protective effects. Indeed, it has been recently demonstrated in mouse models to restore tubule-glomerular feedback by promoting adenosine-mediated afferent arteriole vasoconstriction thus reducing intraglomerular pressure and associated hyperfiltration injury</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{"citationID":"I3W4tKjk","properties":{"formattedCitation":"(14)","plainCitation":"(14)","noteIndex":0},"citationItems":[{"id":117,"uris":["http://zotero.org/users/12333076/items/GMYNE32C"],"itemData":{"id":117,"type":"article-journal","abstract":"BACKGROUND: Sodium glucose cotransporter 2 inhibitors may reduce kidney hyperfiltration, thereby preventing diabetic kidney disease progression, which may in turn reduce cardiovascular risk, including heart failure. However, the mechanisms that regulate renal function responses to sodium glucose cotransporter 2 inhibition are not yet fully understood. We explored the renal protective effects of sodium glucose cotransporter 2 inhibition with empagliflozin, with a focus on glomerular hemodynamic effects and tubuloglomerular feedback using in vivo multiphoton microscopy imaging techniques.\nMETHODS: C57BL/6 mice and spontaneously diabetic Ins2+/Akita mice were studied. The mice were treated with empagliflozin (20 mg·kg-1·d-1) and insulin for 4 weeks, and the single-nephron glomerular filtration rate was measured using multiphoton microscope. A neuronal nitric oxide synthase inhibitor (7-nitroindazole, 20 mg·kg-1·d-1) or a cyclooxygenase-2 inhibitor (SC58236, 6 mg/L), or an A1 adenosine receptor antagonist (8-cyclopentyl-1,3-dipropylxanthine, 1 mg·kg-1·d-1) was administered to elucidate the mechanisms of tubuloglomerular feedback signaling and single-nephron glomerular filtration rate regulation.\nRESULTS: The urinary excretion of adenosine, nitric oxide metabolites, and the prostanoid prostaglandin E2 was also quantified. The single-nephron glomerular filtration rate in the Ins2+/Akita group was higher than in controls (C57BL/6; 4.9±1.3 nL/min versus Ins2+/Akita; 15.8±6.8 nL/min) and lower in Ins2+/Akita /empagliflozin to 8.0±3.3 nL/min (P&lt;0.01). In vivo imaging also revealed concomitant afferent arteriolar dilation (P&lt;0.01) and increased glomerular permeability of albumin in the Ins2+/Akita group. Empagliflozin ameliorated these changes (P&lt;0.01). Urinary adenosine excretion in the Ins2+/Akita/empagliflozin group was higher than in Ins2+/Akita (Ins2+/Akita; 3.4±1.4 nmol/d, Ins2+/Akita/empagliflozin; 11.2±3.0 nmol/d, P&lt;0.05), whereas nitric oxide metabolites and prostaglandin E2 did not differ. A1 adenosine receptor antagonism, but not neuronal nitric oxide synthase or cyclooxygenase-2 inhibition, blocked the effect of empagliflozin on renal function. Empagliflozin increased urinary adenosine excretion and reduced hyperfiltration via afferent arteriolar constriction, effects that were abolished by A1 adenosine receptor blockade.\nCONCLUSIONS: Adenosine/A1 adenosine receptor pathways play a pivotal role in the regulation of the single-nephron glomerular filtration rate via tubuloglomerular feedback mechanisms in response to sodium glucose cotransporter 2 inhibition, which may contribute to renal and cardiovascular protective effects reported in clinical trials.","container-title":"Circulation","DOI":"10.1161/CIRCULATIONAHA.118.037418","ISSN":"1524-4539","issue":"4","journalAbbreviation":"Circulation","language":"eng","note":"PMID: 30773020","page":"303-315","source":"PubMed","title":"Evaluation of Glomerular Hemodynamic Function by Empagliflozin in Diabetic Mice Using In Vivo Imaging","volume":"140","author":[{"family":"Kidokoro","given":"Kengo"},{"family":"Cherney","given":"David Z. I."},{"family":"Bozovic","given":"Andrea"},{"family":"Nagasu","given":"Hajime"},{"family":"Satoh","given":"Minoru"},{"family":"Kanda","given":"Eiichiro"},{"family":"Sasaki","given":"Tamaki"},{"family":"Kashihara","given":"Naoki"}],"issued":{"date-parts":[["2019",7,23]]}}}],"schema":"https://github.com/citation-style-language/schema/raw/master/csl-citation.json"} </w:instrText>
      </w:r>
      <w:r w:rsidRPr="00D76ED4">
        <w:rPr>
          <w:sz w:val="24"/>
          <w:szCs w:val="24"/>
          <w:vertAlign w:val="superscript"/>
        </w:rPr>
        <w:fldChar w:fldCharType="separate"/>
      </w:r>
      <w:r w:rsidRPr="00D76ED4">
        <w:rPr>
          <w:sz w:val="24"/>
          <w:szCs w:val="24"/>
        </w:rPr>
        <w:t>(14)</w:t>
      </w:r>
      <w:r w:rsidRPr="00D76ED4">
        <w:rPr>
          <w:sz w:val="24"/>
          <w:szCs w:val="24"/>
        </w:rPr>
        <w:fldChar w:fldCharType="end"/>
      </w:r>
      <w:r w:rsidRPr="00D76ED4">
        <w:rPr>
          <w:sz w:val="24"/>
          <w:szCs w:val="24"/>
        </w:rPr>
        <w:t xml:space="preserve">. </w:t>
      </w:r>
      <w:r w:rsidRPr="00D76ED4">
        <w:rPr>
          <w:i/>
          <w:iCs/>
          <w:sz w:val="24"/>
          <w:szCs w:val="24"/>
        </w:rPr>
        <w:t xml:space="preserve">Current understanding of mechanisms of action are summarised </w:t>
      </w:r>
      <w:r w:rsidR="00984384">
        <w:rPr>
          <w:i/>
          <w:iCs/>
          <w:sz w:val="24"/>
          <w:szCs w:val="24"/>
        </w:rPr>
        <w:t xml:space="preserve">above </w:t>
      </w:r>
      <w:r w:rsidRPr="00D76ED4">
        <w:rPr>
          <w:i/>
          <w:iCs/>
          <w:sz w:val="24"/>
          <w:szCs w:val="24"/>
        </w:rPr>
        <w:t>(</w:t>
      </w:r>
      <w:r w:rsidRPr="00984384">
        <w:rPr>
          <w:b/>
          <w:bCs/>
          <w:i/>
          <w:iCs/>
          <w:sz w:val="24"/>
          <w:szCs w:val="24"/>
        </w:rPr>
        <w:t>Figure 1</w:t>
      </w:r>
      <w:r w:rsidRPr="00D76ED4">
        <w:rPr>
          <w:i/>
          <w:iCs/>
          <w:sz w:val="24"/>
          <w:szCs w:val="24"/>
        </w:rPr>
        <w:t xml:space="preserve">) </w:t>
      </w:r>
      <w:r w:rsidRPr="00D76ED4">
        <w:rPr>
          <w:i/>
          <w:iCs/>
          <w:sz w:val="24"/>
          <w:szCs w:val="24"/>
        </w:rPr>
        <w:fldChar w:fldCharType="begin"/>
      </w:r>
      <w:r w:rsidRPr="00D76ED4">
        <w:rPr>
          <w:i/>
          <w:iCs/>
          <w:sz w:val="24"/>
          <w:szCs w:val="24"/>
        </w:rPr>
        <w:instrText xml:space="preserve"> ADDIN ZOTERO_ITEM CSL_CITATION {"citationID":"O8nkiO7O","properties":{"formattedCitation":"(15)","plainCitation":"(15)","noteIndex":0},"citationItems":[{"id":592,"uris":["http://zotero.org/users/12333076/items/U4CB4ZJ7"],"itemData":{"id":592,"type":"article-journal","abstract":"Following the publication of several landmark clinical trials such as dapagliflozin in patients with heart failure and reduced ejection fraction, dapagliflozin evaluation to improve the lives of patients with preserved ejection fraction heart failure, and empagliflozin outcome trial in patients with chronic heart failure with preserved ejection fraction, sodium-glucose cotransport 2 inhibitors have been rapidly incorporated as a guideline-directed therapy in the treatment of heart failure. Moreover, their benefits appear to extend across the spectrum of left ventricular dysfunction which in some respects, can be seen as the holy grail of heart failure pharmacotherapy. Despite its plethora of proven cardioprotective benefits, the mechanisms by which it exerts these effects remain poorly understood, however, it is clear that these extend beyond that of promotion of glycosuria and natriuresis. Several hypotheses have emerged over the years including modification of cardiovascular risk profile via weight reduction, improved glucose homeostasis, blood pressure control, and natriuretic effect; however, these mechanisms do not fully explain the potent effects of the drug demonstrated in large-scale randomized trials. Other mechanisms may be at play, specifically the down-regulation of inflammatory pathways, improved myocardial sodium homeostasis, modulation of profibrotic pathways, and activation of nutrient deprivation signaling pathways promoting autophagic flux. This review seeks to summarize the cardioprotective benefits demonstrated in major clinical trials and provide a succinct review of the current theories of mechanisms of action, based on the most recent evidence derived from both clinical and laboratory data.","container-title":"Cardiology in Review","DOI":"10.1097/CRD.0000000000000637","ISSN":"1538-4683","journalAbbreviation":"Cardiol Rev","language":"eng","note":"PMID: 38189526","source":"PubMed","title":"SGLT2 Inhibition in Heart Failure: Clues to Cardiac Effects?","title-short":"SGLT2 Inhibition in Heart Failure","author":[{"family":"Savage","given":"Patrick"},{"family":"Dixon","given":"Lana"},{"family":"Grieve","given":"David"},{"family":"Watson","given":"Chris"}],"issued":{"date-parts":[["2024",1,8]]}}}],"schema":"https://github.com/citation-style-language/schema/raw/master/csl-citation.json"} </w:instrText>
      </w:r>
      <w:r w:rsidRPr="00D76ED4">
        <w:rPr>
          <w:i/>
          <w:iCs/>
          <w:sz w:val="24"/>
          <w:szCs w:val="24"/>
        </w:rPr>
        <w:fldChar w:fldCharType="separate"/>
      </w:r>
      <w:r w:rsidRPr="00D76ED4">
        <w:rPr>
          <w:sz w:val="24"/>
          <w:szCs w:val="24"/>
        </w:rPr>
        <w:t>(15)</w:t>
      </w:r>
      <w:r w:rsidRPr="00D76ED4">
        <w:rPr>
          <w:sz w:val="24"/>
          <w:szCs w:val="24"/>
        </w:rPr>
        <w:fldChar w:fldCharType="end"/>
      </w:r>
      <w:r w:rsidRPr="00D76ED4">
        <w:rPr>
          <w:i/>
          <w:iCs/>
          <w:sz w:val="24"/>
          <w:szCs w:val="24"/>
        </w:rPr>
        <w:t>.</w:t>
      </w:r>
      <w:bookmarkStart w:id="1" w:name="_Hlk99384882"/>
    </w:p>
    <w:p w14:paraId="5A80CBF0" w14:textId="77777777" w:rsidR="005028E5" w:rsidRPr="00D76ED4" w:rsidRDefault="005028E5" w:rsidP="005028E5">
      <w:pPr>
        <w:rPr>
          <w:b/>
          <w:bCs/>
          <w:sz w:val="24"/>
          <w:szCs w:val="24"/>
        </w:rPr>
      </w:pPr>
      <w:r w:rsidRPr="00D76ED4">
        <w:rPr>
          <w:b/>
          <w:bCs/>
          <w:iCs/>
          <w:sz w:val="24"/>
          <w:szCs w:val="24"/>
        </w:rPr>
        <w:t xml:space="preserve">1.4. SGLT2 and cardiac biomarkers </w:t>
      </w:r>
      <w:r w:rsidRPr="00D76ED4">
        <w:rPr>
          <w:b/>
          <w:bCs/>
          <w:iCs/>
          <w:sz w:val="24"/>
          <w:szCs w:val="24"/>
        </w:rPr>
        <w:tab/>
      </w:r>
    </w:p>
    <w:p w14:paraId="1A1C9C9E" w14:textId="32E6E317" w:rsidR="005028E5" w:rsidRPr="00D76ED4" w:rsidRDefault="005028E5" w:rsidP="005028E5">
      <w:pPr>
        <w:rPr>
          <w:sz w:val="24"/>
          <w:szCs w:val="24"/>
        </w:rPr>
      </w:pPr>
      <w:r w:rsidRPr="00D76ED4">
        <w:rPr>
          <w:sz w:val="24"/>
          <w:szCs w:val="24"/>
        </w:rPr>
        <w:t>The measurement of cardiac biomarkers is central to the diagnosis and treatment of heart failure. Traditional heart failure pharmacotherapies have been shown to lower amino-terminal pro-B-type natriuretic peptide (NT-proBNP) and indeed, the degree of normalisation is demonstrably proportional to prognosis</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{"citationID":"8RKutf8G","properties":{"formattedCitation":"(16)","plainCitation":"(16)","noteIndex":0},"citationItems":[{"id":55,"uris":["http://zotero.org/users/12333076/items/X4YVBIJQ"],"itemData":{"id":55,"type":"article-journal","container-title":"European Heart Journal","DOI":"10.1093/eurheartj/ehab368","ISSN":"1522-9645","issue":"36","journalAbbreviation":"Eur Heart J","language":"eng","note":"PMID: 34447992","page":"3599-3726","source":"PubMed","title":"2021 ESC Guidelines for the diagnosis and treatment of acute and chronic heart failure","volume":"42","author":[{"family":"McDonagh","given":"Theresa A."},{"family":"Metra","given":"Marco"},{"family":"Adamo","given":"Marianna"},{"family":"Gardner","given":"Roy S."},{"family":"Baumbach","given":"Andreas"},{"family":"Böhm","given":"Michael"},{"family":"Burri","given":"Haran"},{"family":"Butler","given":"Javed"},{"family":"Čelutkienė","given":"Jelena"},{"family":"Chioncel","given":"Ovidiu"},{"family":"Cleland","given":"John G. F."},{"family":"Coats","given":"Andrew J. S."},{"family":"Crespo-Leiro","given":"Maria G."},{"family":"Farmakis","given":"Dimitrios"},{"family":"Gilard","given":"Martine"},{"family":"Heymans","given":"Stephane"},{"family":"Hoes","given":"Arno W."},{"family":"Jaarsma","given":"Tiny"},{"family":"Jankowska","given":"Ewa A."},{"family":"Lainscak","given":"Mitja"},{"family":"Lam","given":"Carolyn S. P."},{"family":"Lyon","given":"Alexander R."},{"family":"McMurray","given":"John J. V."},{"family":"Mebazaa","given":"Alexandre"},{"family":"Mindham","given":"Richard"},{"family":"Muneretto","given":"Claudio"},{"family":"Francesco Piepoli","given":"Massimo"},{"family":"Price","given":"Susanna"},{"family":"Rosano","given":"Giuseppe M. C."},{"family":"Ruschitzka","given":"Frank"},{"family":"Kathrine Skibelund","given":"Anne"},{"literal":"ESC Scientific Document Group"}],"issued":{"date-parts":[["2021",9,21]]}}}],"schema":"https://github.com/citation-style-language/schema/raw/master/csl-citation.json"} </w:instrText>
      </w:r>
      <w:r w:rsidRPr="00D76ED4">
        <w:rPr>
          <w:sz w:val="24"/>
          <w:szCs w:val="24"/>
          <w:vertAlign w:val="superscript"/>
        </w:rPr>
        <w:fldChar w:fldCharType="separate"/>
      </w:r>
      <w:r w:rsidRPr="00D76ED4">
        <w:rPr>
          <w:sz w:val="24"/>
          <w:szCs w:val="24"/>
        </w:rPr>
        <w:t>(16)</w:t>
      </w:r>
      <w:r w:rsidRPr="00D76ED4">
        <w:rPr>
          <w:sz w:val="24"/>
          <w:szCs w:val="24"/>
        </w:rPr>
        <w:fldChar w:fldCharType="end"/>
      </w:r>
      <w:r w:rsidRPr="00D76ED4">
        <w:rPr>
          <w:sz w:val="24"/>
          <w:szCs w:val="24"/>
        </w:rPr>
        <w:t xml:space="preserve">. However, despite the rapid clinical benefit of SGLT2 inhibition on QOL measures in heart failure, an associated lowering of NT-proBNP has not been noted in several trials. This contrasts with the rapid change in other markers such as haematocrit, volume status, </w:t>
      </w:r>
      <w:r w:rsidR="002F3761">
        <w:rPr>
          <w:sz w:val="24"/>
          <w:szCs w:val="24"/>
        </w:rPr>
        <w:t>body mass index (</w:t>
      </w:r>
      <w:r w:rsidRPr="00D76ED4">
        <w:rPr>
          <w:sz w:val="24"/>
          <w:szCs w:val="24"/>
        </w:rPr>
        <w:t>BMI</w:t>
      </w:r>
      <w:r w:rsidR="002F3761">
        <w:rPr>
          <w:sz w:val="24"/>
          <w:szCs w:val="24"/>
        </w:rPr>
        <w:t>)</w:t>
      </w:r>
      <w:r w:rsidRPr="00D76ED4">
        <w:rPr>
          <w:sz w:val="24"/>
          <w:szCs w:val="24"/>
        </w:rPr>
        <w:t xml:space="preserve"> and QOL measures, suggestive that SGLT2 inhibition has mechanistic effects distinct to standard </w:t>
      </w:r>
      <w:r w:rsidR="002F3761">
        <w:rPr>
          <w:sz w:val="24"/>
          <w:szCs w:val="24"/>
        </w:rPr>
        <w:t>HF</w:t>
      </w:r>
      <w:r w:rsidRPr="00D76ED4">
        <w:rPr>
          <w:sz w:val="24"/>
          <w:szCs w:val="24"/>
        </w:rPr>
        <w:t xml:space="preserve"> therapies</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{"citationID":"HKh697B9","properties":{"formattedCitation":"(4,9,17)","plainCitation":"(4,9,17)","noteIndex":0},"citationItems":[{"id":88,"uris":["http://zotero.org/users/12333076/items/V3SC6LGG"],"itemData":{"id":88,"type":"article-journal","abstract":"Drug therapies for people with heart failure and preserved ejection fraction (HFpEF) are often limited to diuretics to improve symptoms as no therapies demonstrate a mortality benefit in this cohort. People with diabetes have a high risk of developing HFpEF and vice versa, suggesting shared pathophysiological mechanisms exist, which in turn engenders the potential for shared treatments. Dapagliflozin is a sodium-glucose co-transporter 2 (SGLT2) inhibitor which has demonstrated significantly improved cardiovascular and hospitalisation for heart failure (HHF) outcomes in previous cardiovascular outcome trials (CVOTs). These CVOTs include the DECLARE-TIMI and DAPA-HF studies which observed significant benefits for people with heart failure and specifically those with heart failure and reduced ejection fraction (HFrEF), respectively. The ongoing DELIVER study is evaluating the use of dapagliflozin specifically in people with HFpEF, which may have enormous implications for treatment and considerable economic consequences. This will complement previous and other ongoing CVOTs evaluating dapagliflozin use. In this review we discuss the use of SGLT2 inhibitors in HFrEF and HFpEF with a focus on the DELIVER study and its potential health and economic implications.","container-title":"Diabetes Therapy: Research, Treatment and Education of Diabetes and Related Disorders","DOI":"10.1007/s13300-020-00911-0","ISSN":"1869-6953","issue":"10","journalAbbreviation":"Diabetes Ther","language":"eng","note":"PMID: 32852697\nPMCID: PMC7509021","page":"2207-2219","source":"PubMed","title":"Dapagliflozin for Heart Failure with Preserved Ejection Fraction: Will the DELIVER Study Deliver?","title-short":"Dapagliflozin for Heart Failure with Preserved Ejection Fraction","volume":"11","author":[{"family":"Williams","given":"David M."},{"family":"Evans","given":"Marc"}],"issued":{"date-parts":[["2020",10]]}}},{"id":38,"uris":["http://zotero.org/users/12333076/items/UUPFR2F7"],"itemData":{"id":38,"type":"article-journal","abstract":"Sodium-glucose cotransporter 2 inhibitors (SGLT2i), a new drug class approved for treatment of diabetes, have been shown to possess a favorable metabolic profile and to significantly reduce atherosclerotic events, hospitalization for heart failure, cardiovascular and total mortality, and progression of chronic kidney disease. Although initially considered to be only glucose-lowering agents, the effects of SGLT2i have expanded far beyond that, and their use is now being studied in the treatment of heart failure and chronic kidney disease, even in patients without diabetes. It is therefore critical for cardiologists, diabetologists, nephrologists, and primary care physicians to be familiar with this drug class. This first part of this 2-part review provides an overview of the current understanding of the mechanisms of the cardio-metabolic-renal benefits of SGLT2i. The second part summarizes the recent clinical trials of SGLT2i.","container-title":"Journal of the American College of Cardiology","DOI":"10.1016/j.jacc.2019.11.031","ISSN":"1558-3597","issue":"4","journalAbbreviation":"J Am Coll Cardiol","language":"eng","note":"PMID: 32000955","page":"422-434","source":"PubMed","title":"Mechanisms of Cardiorenal Effects of Sodium-Glucose Cotransporter 2 Inhibitors: JACC State-of-the-Art Review","title-short":"Mechanisms of Cardiorenal Effects of Sodium-Glucose Cotransporter 2 Inhibitors","volume":"75","author":[{"family":"Zelniker","given":"Thomas A."},{"family":"Braunwald","given":"Eugene"}],"issued":{"date-parts":[["2020",2,4]]}}},{"id":119,"uris":["http://zotero.org/users/12333076/items/PSYH9ANR"],"itemData":{"id":119,"type":"article-journal","abstract":"AIM: We tested the hypothesis that dapagliflozin may regress left ventricular hypertrophy (LVH) in people with type 2 diabetes (T2D).\nMETHODS AND RESULTS: We randomly assigned 66 people (mean age 67 ± 7 years, 38 males) with T2D, LVH, and controlled blood pressure (BP) to receive dapagliflozin 10 mg once daily or placebo for 12 months. Primary endpoint was change in absolute left ventricular mass (LVM), assessed by cardiac magnetic resonance imaging. In the intention-to-treat analysis, dapagliflozin significantly reduced LVM compared with placebo with an absolute mean change of -2.82g [95% confidence interval (CI): -5.13 to -0.51, P = 0.018]. Additional sensitivity analysis adjusting for baseline LVM, baseline BP, weight, and systolic BP change showed the LVM change to remain statistically significant (mean change -2.92g; 95% CI: -5.45 to -0.38, P = 0.025). Dapagliflozin significantly reduced pre-specified secondary endpoints including ambulatory 24-h systolic BP (P = 0.012), nocturnal systolic BP (P = 0.017), body weight (P &lt; 0.001), visceral adipose tissue (VAT) (P &lt; 0.001), subcutaneous adipose tissue (SCAT) (P = 0.001), insulin resistance, Homeostatic Model Assessment of Insulin Resistance (P = 0.017), and high-sensitivity C-reactive protein (hsCRP) (P = 0.049).\nCONCLUSION: Dapagliflozin treatment significantly reduced LVM in people with T2D and LVH. This reduction in LVM was accompanied by reductions in systolic BP, body weight, visceral and SCAT, insulin resistance, and hsCRP. The regression of LVM suggests dapagliflozin can initiate reverse remodelling and changes in left ventricular structure that may partly contribute to the cardio-protective effects of dapagliflozin.\nCLINICALTRIALS.GOV IDENTIFIER: NCT02956811.","container-title":"European Heart Journal","DOI":"10.1093/eurheartj/ehaa419","ISSN":"1522-9645","issue":"36","journalAbbreviation":"Eur Heart J","language":"eng","note":"PMID: 32578850\nPMCID: PMC8202417","page":"3421-3432","source":"PubMed","title":"A randomized controlled trial of dapagliflozin on left ventricular hypertrophy in people with type two diabetes: the DAPA-LVH trial","title-short":"A randomized controlled trial of dapagliflozin on left ventricular hypertrophy in people with type two diabetes","volume":"41","author":[{"family":"Brown","given":"Alexander J. M."},{"family":"Gandy","given":"Stephen"},{"family":"McCrimmon","given":"Rory"},{"family":"Houston","given":"John Graeme"},{"family":"Struthers","given":"Allan D."},{"family":"Lang","given":"Chim C."}],"issued":{"date-parts":[["2020",9,21]]}}}],"schema":"https://github.com/citation-style-language/schema/raw/master/csl-citation.json"} </w:instrText>
      </w:r>
      <w:r w:rsidRPr="00D76ED4">
        <w:rPr>
          <w:sz w:val="24"/>
          <w:szCs w:val="24"/>
          <w:vertAlign w:val="superscript"/>
        </w:rPr>
        <w:fldChar w:fldCharType="separate"/>
      </w:r>
      <w:r w:rsidRPr="00D76ED4">
        <w:rPr>
          <w:sz w:val="24"/>
          <w:szCs w:val="24"/>
        </w:rPr>
        <w:t>(4,9,17)</w:t>
      </w:r>
      <w:r w:rsidRPr="00D76ED4">
        <w:rPr>
          <w:sz w:val="24"/>
          <w:szCs w:val="24"/>
        </w:rPr>
        <w:fldChar w:fldCharType="end"/>
      </w:r>
      <w:r w:rsidRPr="00D76ED4">
        <w:rPr>
          <w:sz w:val="24"/>
          <w:szCs w:val="24"/>
        </w:rPr>
        <w:t>. Indeed, a post-</w:t>
      </w:r>
      <w:r w:rsidR="002F3761">
        <w:rPr>
          <w:sz w:val="24"/>
          <w:szCs w:val="24"/>
        </w:rPr>
        <w:t>h</w:t>
      </w:r>
      <w:r w:rsidRPr="00D76ED4">
        <w:rPr>
          <w:sz w:val="24"/>
          <w:szCs w:val="24"/>
        </w:rPr>
        <w:t>oc analysis of the original canagliflozin CV outcome trial (CANVAS) demonstrated significant reductions in tumour necrosis factor receptor (TNFR)-1, TNFR-2 and kidney injury molecule-1 (KIM-1) in the treated group vs placebo</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{"citationID":"RMMhUGlz","properties":{"formattedCitation":"(18)","plainCitation":"(18)","noteIndex":0},"citationItems":[{"id":126,"uris":["http://zotero.org/users/12333076/items/JYDZBWX7"],"itemData":{"id":126,"type":"article-journal","abstract":"AIMS/HYPOTHESIS: Higher plasma concentrations of tumour necrosis factor receptor (TNFR)-1, TNFR-2 and kidney injury molecule-1 (KIM-1) have been found to be associated with higher risk of kidney failure in individuals with type 2 diabetes in previous studies. Whether drugs can reduce these biomarkers is not well established. We measured these biomarkers in samples of the CANVAS study and examined the effect of the sodium-glucose cotransporter 2 inhibitor canagliflozin on these biomarkers and assessed whether the early change in these biomarkers predict cardiovascular and kidney outcomes in individuals with type 2 diabetes in the CANagliflozin cardioVascular Assessment Study (CANVAS).\nMETHODS: Biomarkers were measured with immunoassays (proprietary multiplex assay performed by RenalytixAI, New York, NY, USA) at baseline and years 1, 3 and 6. Mixed-effects models for repeated measures assessed the effect of canagliflozin vs placebo on the biomarkers. Associations of baseline levels and the early change (baseline to year 1) for each biomarker with the kidney outcome were assessed using multivariable-adjusted Cox regression.\nRESULTS: In total, 3523/4330 (81.4%) of the CANVAS participants had available samples at baseline. Each doubling in baseline TNFR-1, TNFR-2 and KIM-1 was associated with a higher risk of kidney outcomes, with corresponding HRs of 3.7 (95% CI 2.3, 6.1; p</w:instrText>
      </w:r>
      <w:r w:rsidRPr="00D76ED4">
        <w:rPr>
          <w:rFonts w:ascii="Arial" w:hAnsi="Arial" w:cs="Arial"/>
          <w:sz w:val="24"/>
          <w:szCs w:val="24"/>
          <w:vertAlign w:val="superscript"/>
        </w:rPr>
        <w:instrText> </w:instrText>
      </w:r>
      <w:r w:rsidRPr="00D76ED4">
        <w:rPr>
          <w:sz w:val="24"/>
          <w:szCs w:val="24"/>
          <w:vertAlign w:val="superscript"/>
        </w:rPr>
        <w:instrText>&lt;</w:instrText>
      </w:r>
      <w:r w:rsidRPr="00D76ED4">
        <w:rPr>
          <w:rFonts w:ascii="Arial" w:hAnsi="Arial" w:cs="Arial"/>
          <w:sz w:val="24"/>
          <w:szCs w:val="24"/>
          <w:vertAlign w:val="superscript"/>
        </w:rPr>
        <w:instrText> </w:instrText>
      </w:r>
      <w:r w:rsidRPr="00D76ED4">
        <w:rPr>
          <w:sz w:val="24"/>
          <w:szCs w:val="24"/>
          <w:vertAlign w:val="superscript"/>
        </w:rPr>
        <w:instrText>0.01), 2.7 (95% CI 2.0, 3.6; p</w:instrText>
      </w:r>
      <w:r w:rsidRPr="00D76ED4">
        <w:rPr>
          <w:rFonts w:ascii="Arial" w:hAnsi="Arial" w:cs="Arial"/>
          <w:sz w:val="24"/>
          <w:szCs w:val="24"/>
          <w:vertAlign w:val="superscript"/>
        </w:rPr>
        <w:instrText> </w:instrText>
      </w:r>
      <w:r w:rsidRPr="00D76ED4">
        <w:rPr>
          <w:sz w:val="24"/>
          <w:szCs w:val="24"/>
          <w:vertAlign w:val="superscript"/>
        </w:rPr>
        <w:instrText>&lt;</w:instrText>
      </w:r>
      <w:r w:rsidRPr="00D76ED4">
        <w:rPr>
          <w:rFonts w:ascii="Arial" w:hAnsi="Arial" w:cs="Arial"/>
          <w:sz w:val="24"/>
          <w:szCs w:val="24"/>
          <w:vertAlign w:val="superscript"/>
        </w:rPr>
        <w:instrText> </w:instrText>
      </w:r>
      <w:r w:rsidRPr="00D76ED4">
        <w:rPr>
          <w:sz w:val="24"/>
          <w:szCs w:val="24"/>
          <w:vertAlign w:val="superscript"/>
        </w:rPr>
        <w:instrText>0.01) and 1.5 (95% CI 1.2, 1.8; p</w:instrText>
      </w:r>
      <w:r w:rsidRPr="00D76ED4">
        <w:rPr>
          <w:rFonts w:ascii="Arial" w:hAnsi="Arial" w:cs="Arial"/>
          <w:sz w:val="24"/>
          <w:szCs w:val="24"/>
          <w:vertAlign w:val="superscript"/>
        </w:rPr>
        <w:instrText> </w:instrText>
      </w:r>
      <w:r w:rsidRPr="00D76ED4">
        <w:rPr>
          <w:sz w:val="24"/>
          <w:szCs w:val="24"/>
          <w:vertAlign w:val="superscript"/>
        </w:rPr>
        <w:instrText>&lt;</w:instrText>
      </w:r>
      <w:r w:rsidRPr="00D76ED4">
        <w:rPr>
          <w:rFonts w:ascii="Arial" w:hAnsi="Arial" w:cs="Arial"/>
          <w:sz w:val="24"/>
          <w:szCs w:val="24"/>
          <w:vertAlign w:val="superscript"/>
        </w:rPr>
        <w:instrText> </w:instrText>
      </w:r>
      <w:r w:rsidRPr="00D76ED4">
        <w:rPr>
          <w:sz w:val="24"/>
          <w:szCs w:val="24"/>
          <w:vertAlign w:val="superscript"/>
        </w:rPr>
        <w:instrText>0.01), respectively. Canagliflozin reduced the level of the plasma biomarkers with differences in TNFR-1, TNFR-2 and KIM-1 between canagliflozin and placebo during follow-up of 2.8% (95% CI 3.4%, 1.3%; p</w:instrText>
      </w:r>
      <w:r w:rsidRPr="00D76ED4">
        <w:rPr>
          <w:rFonts w:ascii="Arial" w:hAnsi="Arial" w:cs="Arial"/>
          <w:sz w:val="24"/>
          <w:szCs w:val="24"/>
          <w:vertAlign w:val="superscript"/>
        </w:rPr>
        <w:instrText> </w:instrText>
      </w:r>
      <w:r w:rsidRPr="00D76ED4">
        <w:rPr>
          <w:sz w:val="24"/>
          <w:szCs w:val="24"/>
          <w:vertAlign w:val="superscript"/>
        </w:rPr>
        <w:instrText>&lt;</w:instrText>
      </w:r>
      <w:r w:rsidRPr="00D76ED4">
        <w:rPr>
          <w:rFonts w:ascii="Arial" w:hAnsi="Arial" w:cs="Arial"/>
          <w:sz w:val="24"/>
          <w:szCs w:val="24"/>
          <w:vertAlign w:val="superscript"/>
        </w:rPr>
        <w:instrText> </w:instrText>
      </w:r>
      <w:r w:rsidRPr="00D76ED4">
        <w:rPr>
          <w:sz w:val="24"/>
          <w:szCs w:val="24"/>
          <w:vertAlign w:val="superscript"/>
        </w:rPr>
        <w:instrText>0.01), 1.9% (95% CI 3.5%, 0.2%; p</w:instrText>
      </w:r>
      <w:r w:rsidRPr="00D76ED4">
        <w:rPr>
          <w:rFonts w:ascii="Arial" w:hAnsi="Arial" w:cs="Arial"/>
          <w:sz w:val="24"/>
          <w:szCs w:val="24"/>
          <w:vertAlign w:val="superscript"/>
        </w:rPr>
        <w:instrText> </w:instrText>
      </w:r>
      <w:r w:rsidRPr="00D76ED4">
        <w:rPr>
          <w:sz w:val="24"/>
          <w:szCs w:val="24"/>
          <w:vertAlign w:val="superscript"/>
        </w:rPr>
        <w:instrText>=</w:instrText>
      </w:r>
      <w:r w:rsidRPr="00D76ED4">
        <w:rPr>
          <w:rFonts w:ascii="Arial" w:hAnsi="Arial" w:cs="Arial"/>
          <w:sz w:val="24"/>
          <w:szCs w:val="24"/>
          <w:vertAlign w:val="superscript"/>
        </w:rPr>
        <w:instrText> </w:instrText>
      </w:r>
      <w:r w:rsidRPr="00D76ED4">
        <w:rPr>
          <w:sz w:val="24"/>
          <w:szCs w:val="24"/>
          <w:vertAlign w:val="superscript"/>
        </w:rPr>
        <w:instrText>0.03) and 26.7% (95% CI 30.7%, 22.7%; p</w:instrText>
      </w:r>
      <w:r w:rsidRPr="00D76ED4">
        <w:rPr>
          <w:rFonts w:ascii="Arial" w:hAnsi="Arial" w:cs="Arial"/>
          <w:sz w:val="24"/>
          <w:szCs w:val="24"/>
          <w:vertAlign w:val="superscript"/>
        </w:rPr>
        <w:instrText> </w:instrText>
      </w:r>
      <w:r w:rsidRPr="00D76ED4">
        <w:rPr>
          <w:sz w:val="24"/>
          <w:szCs w:val="24"/>
          <w:vertAlign w:val="superscript"/>
        </w:rPr>
        <w:instrText>&lt;</w:instrText>
      </w:r>
      <w:r w:rsidRPr="00D76ED4">
        <w:rPr>
          <w:rFonts w:ascii="Arial" w:hAnsi="Arial" w:cs="Arial"/>
          <w:sz w:val="24"/>
          <w:szCs w:val="24"/>
          <w:vertAlign w:val="superscript"/>
        </w:rPr>
        <w:instrText> </w:instrText>
      </w:r>
      <w:r w:rsidRPr="00D76ED4">
        <w:rPr>
          <w:sz w:val="24"/>
          <w:szCs w:val="24"/>
          <w:vertAlign w:val="superscript"/>
        </w:rPr>
        <w:instrText>0.01), respectively. Within the canagliflozin treatment group, each 10% reduction in TNFR-1 and TNFR-2 at year 1 was associated with a lower risk of the kidney outcome (HR 0.8 [95% CI 0.7, 1.0; p</w:instrText>
      </w:r>
      <w:r w:rsidRPr="00D76ED4">
        <w:rPr>
          <w:rFonts w:ascii="Arial" w:hAnsi="Arial" w:cs="Arial"/>
          <w:sz w:val="24"/>
          <w:szCs w:val="24"/>
          <w:vertAlign w:val="superscript"/>
        </w:rPr>
        <w:instrText> </w:instrText>
      </w:r>
      <w:r w:rsidRPr="00D76ED4">
        <w:rPr>
          <w:sz w:val="24"/>
          <w:szCs w:val="24"/>
          <w:vertAlign w:val="superscript"/>
        </w:rPr>
        <w:instrText>=</w:instrText>
      </w:r>
      <w:r w:rsidRPr="00D76ED4">
        <w:rPr>
          <w:rFonts w:ascii="Arial" w:hAnsi="Arial" w:cs="Arial"/>
          <w:sz w:val="24"/>
          <w:szCs w:val="24"/>
          <w:vertAlign w:val="superscript"/>
        </w:rPr>
        <w:instrText> </w:instrText>
      </w:r>
      <w:r w:rsidRPr="00D76ED4">
        <w:rPr>
          <w:sz w:val="24"/>
          <w:szCs w:val="24"/>
          <w:vertAlign w:val="superscript"/>
        </w:rPr>
        <w:instrText>0.02] and 0.9 [95% CI 0.9, 1.0; p</w:instrText>
      </w:r>
      <w:r w:rsidRPr="00D76ED4">
        <w:rPr>
          <w:rFonts w:ascii="Arial" w:hAnsi="Arial" w:cs="Arial"/>
          <w:sz w:val="24"/>
          <w:szCs w:val="24"/>
          <w:vertAlign w:val="superscript"/>
        </w:rPr>
        <w:instrText> </w:instrText>
      </w:r>
      <w:r w:rsidRPr="00D76ED4">
        <w:rPr>
          <w:sz w:val="24"/>
          <w:szCs w:val="24"/>
          <w:vertAlign w:val="superscript"/>
        </w:rPr>
        <w:instrText>&lt;</w:instrText>
      </w:r>
      <w:r w:rsidRPr="00D76ED4">
        <w:rPr>
          <w:rFonts w:ascii="Arial" w:hAnsi="Arial" w:cs="Arial"/>
          <w:sz w:val="24"/>
          <w:szCs w:val="24"/>
          <w:vertAlign w:val="superscript"/>
        </w:rPr>
        <w:instrText> </w:instrText>
      </w:r>
      <w:r w:rsidRPr="00D76ED4">
        <w:rPr>
          <w:sz w:val="24"/>
          <w:szCs w:val="24"/>
          <w:vertAlign w:val="superscript"/>
        </w:rPr>
        <w:instrText>0.01] respectively), independent of other patient characteristics. The baseline and 1</w:instrText>
      </w:r>
      <w:r w:rsidRPr="00D76ED4">
        <w:rPr>
          <w:rFonts w:cs="Aptos"/>
          <w:sz w:val="24"/>
          <w:szCs w:val="24"/>
          <w:vertAlign w:val="superscript"/>
        </w:rPr>
        <w:instrText> </w:instrText>
      </w:r>
      <w:r w:rsidRPr="00D76ED4">
        <w:rPr>
          <w:sz w:val="24"/>
          <w:szCs w:val="24"/>
          <w:vertAlign w:val="superscript"/>
        </w:rPr>
        <w:instrText xml:space="preserve">year change in biomarkers did not associate with cardiovascular or heart failure outcomes.\nCONCLUSIONS/INTERPRETATION: Canagliflozin decreased KIM-1 and modestly reduced TNFR-1 and TNFR-2 compared with placebo in individuals with type 2 diabetes in CANVAS. Early decreases in TNFR-1 and TNFR-2 during canagliflozin treatment were independently associated with a lower risk of kidney disease progression, suggesting that TNFR-1 and TNFR-2 have the potential to be pharmacodynamic markers of response to canagliflozin.","container-title":"Diabetologia","DOI":"10.1007/s00125-021-05512-5","ISSN":"1432-0428","issue":"10","journalAbbreviation":"Diabetologia","language":"eng","note":"PMID: 34415356\nPMCID: PMC8423682","page":"2147-2158","source":"PubMed","title":"Effects of the SGLT2 inhibitor canagliflozin on plasma biomarkers TNFR-1, TNFR-2 and KIM-1 in the CANVAS trial","volume":"64","author":[{"family":"Sen","given":"Taha"},{"family":"Li","given":"Jingwei"},{"family":"Neuen","given":"Brendon L."},{"family":"Neal","given":"Bruce"},{"family":"Arnott","given":"Clare"},{"family":"Parikh","given":"Chirag R."},{"family":"Coca","given":"Steven G."},{"family":"Perkovic","given":"Vlado"},{"family":"Mahaffey","given":"Kenneth W."},{"family":"Yavin","given":"Yshai"},{"family":"Rosenthal","given":"Norman"},{"family":"Hansen","given":"Michael K."},{"family":"Heerspink","given":"Hiddo J. L."}],"issued":{"date-parts":[["2021",10]]}}}],"schema":"https://github.com/citation-style-language/schema/raw/master/csl-citation.json"} </w:instrText>
      </w:r>
      <w:r w:rsidRPr="00D76ED4">
        <w:rPr>
          <w:sz w:val="24"/>
          <w:szCs w:val="24"/>
          <w:vertAlign w:val="superscript"/>
        </w:rPr>
        <w:fldChar w:fldCharType="separate"/>
      </w:r>
      <w:r w:rsidRPr="00D76ED4">
        <w:rPr>
          <w:sz w:val="24"/>
          <w:szCs w:val="24"/>
        </w:rPr>
        <w:t>(18)</w:t>
      </w:r>
      <w:r w:rsidRPr="00D76ED4">
        <w:rPr>
          <w:sz w:val="24"/>
          <w:szCs w:val="24"/>
        </w:rPr>
        <w:fldChar w:fldCharType="end"/>
      </w:r>
      <w:r w:rsidRPr="00D76ED4">
        <w:rPr>
          <w:sz w:val="24"/>
          <w:szCs w:val="24"/>
        </w:rPr>
        <w:t>. Furthermore, greater reductions in CV events were noted in patients with higher baseline levels of high sensitivity cardiac troponin T (</w:t>
      </w:r>
      <w:proofErr w:type="spellStart"/>
      <w:r w:rsidRPr="00D76ED4">
        <w:rPr>
          <w:sz w:val="24"/>
          <w:szCs w:val="24"/>
        </w:rPr>
        <w:t>hs-cTnT</w:t>
      </w:r>
      <w:proofErr w:type="spellEnd"/>
      <w:r w:rsidRPr="00D76ED4">
        <w:rPr>
          <w:sz w:val="24"/>
          <w:szCs w:val="24"/>
        </w:rPr>
        <w:t>), soluble ST2 (sST2), and insulin-like growth factor binding protein 7 (IGFBP7).</w:t>
      </w:r>
    </w:p>
    <w:p w14:paraId="56B1187D" w14:textId="726BDA54" w:rsidR="005028E5" w:rsidRPr="00D76ED4" w:rsidRDefault="005028E5" w:rsidP="005028E5">
      <w:pPr>
        <w:rPr>
          <w:sz w:val="24"/>
          <w:szCs w:val="24"/>
        </w:rPr>
      </w:pPr>
      <w:r w:rsidRPr="00D76ED4">
        <w:rPr>
          <w:sz w:val="24"/>
          <w:szCs w:val="24"/>
        </w:rPr>
        <w:lastRenderedPageBreak/>
        <w:t xml:space="preserve">Additionally, in vivo studies have demonstrated activation of anti-inflammatory pathways via SGLT2 inhibition, lowering inflammatory/fibrotic markers such as </w:t>
      </w:r>
      <w:r w:rsidR="00FE195B">
        <w:rPr>
          <w:sz w:val="24"/>
          <w:szCs w:val="24"/>
        </w:rPr>
        <w:t>interleukin (</w:t>
      </w:r>
      <w:r>
        <w:rPr>
          <w:sz w:val="24"/>
          <w:szCs w:val="24"/>
        </w:rPr>
        <w:t>IL</w:t>
      </w:r>
      <w:r w:rsidR="00FE195B">
        <w:rPr>
          <w:sz w:val="24"/>
          <w:szCs w:val="24"/>
        </w:rPr>
        <w:t>)</w:t>
      </w:r>
      <w:r>
        <w:rPr>
          <w:sz w:val="24"/>
          <w:szCs w:val="24"/>
        </w:rPr>
        <w:t xml:space="preserve">-1β, IL-4, </w:t>
      </w:r>
      <w:r w:rsidRPr="00D76ED4">
        <w:rPr>
          <w:sz w:val="24"/>
          <w:szCs w:val="24"/>
        </w:rPr>
        <w:t>IL-6</w:t>
      </w:r>
      <w:r>
        <w:rPr>
          <w:sz w:val="24"/>
          <w:szCs w:val="24"/>
        </w:rPr>
        <w:t xml:space="preserve"> </w:t>
      </w:r>
      <w:r w:rsidRPr="00D76ED4">
        <w:rPr>
          <w:sz w:val="24"/>
          <w:szCs w:val="24"/>
        </w:rPr>
        <w:t>and the</w:t>
      </w:r>
      <w:r w:rsidR="00A9667C">
        <w:rPr>
          <w:sz w:val="24"/>
          <w:szCs w:val="24"/>
        </w:rPr>
        <w:t xml:space="preserve"> </w:t>
      </w:r>
      <w:r w:rsidR="00A9667C" w:rsidRPr="00A9667C">
        <w:rPr>
          <w:sz w:val="24"/>
          <w:szCs w:val="24"/>
        </w:rPr>
        <w:t>NOD-, LRR- and pyrin domain-containing protein 3</w:t>
      </w:r>
      <w:r w:rsidRPr="00D76ED4">
        <w:rPr>
          <w:sz w:val="24"/>
          <w:szCs w:val="24"/>
        </w:rPr>
        <w:t xml:space="preserve"> </w:t>
      </w:r>
      <w:r w:rsidR="00A9667C">
        <w:rPr>
          <w:sz w:val="24"/>
          <w:szCs w:val="24"/>
        </w:rPr>
        <w:t>(</w:t>
      </w:r>
      <w:r w:rsidRPr="00D76ED4">
        <w:rPr>
          <w:sz w:val="24"/>
          <w:szCs w:val="24"/>
        </w:rPr>
        <w:t>NLRP3</w:t>
      </w:r>
      <w:r w:rsidR="00A9667C">
        <w:rPr>
          <w:sz w:val="24"/>
          <w:szCs w:val="24"/>
        </w:rPr>
        <w:t>)</w:t>
      </w:r>
      <w:r w:rsidRPr="00D76ED4">
        <w:rPr>
          <w:sz w:val="24"/>
          <w:szCs w:val="24"/>
        </w:rPr>
        <w:t xml:space="preserve"> inflammasome</w:t>
      </w:r>
      <w:r w:rsidRPr="00D76ED4">
        <w:rPr>
          <w:sz w:val="24"/>
          <w:szCs w:val="24"/>
          <w:vertAlign w:val="superscript"/>
        </w:rPr>
        <w:t xml:space="preserve"> </w:t>
      </w:r>
      <w:r w:rsidRPr="00D76ED4">
        <w:rPr>
          <w:sz w:val="24"/>
          <w:szCs w:val="24"/>
          <w:vertAlign w:val="superscript"/>
        </w:rPr>
        <w:fldChar w:fldCharType="begin"/>
      </w:r>
      <w:r w:rsidRPr="00D76ED4">
        <w:rPr>
          <w:sz w:val="24"/>
          <w:szCs w:val="24"/>
          <w:vertAlign w:val="superscript"/>
        </w:rPr>
        <w:instrText xml:space="preserve"> ADDIN ZOTERO_ITEM CSL_CITATION {"citationID":"bMq3Zi5l","properties":{"formattedCitation":"(19)","plainCitation":"(19)","noteIndex":0},"citationItems":[{"id":129,"uris":["http://zotero.org/users/12333076/items/YJTWAA5P"],"itemData":{"id":129,"type":"article-journal","abstract":"Sodium-glucose cotransporter 2 (SGLT2) inhibitors reduce cardiovascular events in humans with type 2 diabetes (T2D); however, the underlying mechanism remains unclear. Activation of the NLR family, pyrin domain-containing 3 (NLRP3) inflammasome and subsequent interleukin (IL)-1β release induces atherosclerosis and heart failure. Here we show the effect of SGLT2 inhibitor empagliflozin on NLRP3 inflammasome activity. Patients with T2D and high cardiovascular risk receive SGLT2 inhibitor or sulfonylurea for 30 days, with NLRP3 inflammasome activation analyzed in macrophages. While the SGLT2 inhibitor's glucose-lowering capacity is similar to sulfonylurea, it shows a greater reduction in IL-1β secretion compared to sulfonylurea accompanied by increased serum β-hydroxybutyrate (BHB) and decreased serum insulin. Ex vivo experiments with macrophages verify the inhibitory effects of high BHB and low insulin levels on NLRP3 inflammasome activation. In conclusion, SGLT2 inhibitor attenuates NLRP3 inflammasome activation, which might help to explain its cardioprotective effects.","container-title":"Nature Communications","DOI":"10.1038/s41467-020-15983-6","ISSN":"2041-1723","issue":"1","journalAbbreviation":"Nat Commun","language":"eng","note":"PMID: 32358544\nPMCID: PMC7195385","page":"2127","source":"PubMed","title":"SGLT2 inhibition modulates NLRP3 inflammasome activity via ketones and insulin in diabetes with cardiovascular disease","volume":"11","author":[{"family":"Kim","given":"So Ra"},{"family":"Lee","given":"Sang-Guk"},{"family":"Kim","given":"Soo Hyun"},{"family":"Kim","given":"Jin Hee"},{"family":"Choi","given":"Eunhye"},{"family":"Cho","given":"Wonhee"},{"family":"Rim","given":"John Hoon"},{"family":"Hwang","given":"Inhwa"},{"family":"Lee","given":"Chan Joo"},{"family":"Lee","given":"Minyoung"},{"family":"Oh","given":"Chang-Myung"},{"family":"Jeon","given":"Justin Y."},{"family":"Gee","given":"Heon Yung"},{"family":"Kim","given":"Jeong-Ho"},{"family":"Lee","given":"Byung-Wan"},{"family":"Kang","given":"Eun Seok"},{"family":"Cha","given":"Bong-Soo"},{"family":"Lee","given":"Myung-Shik"},{"family":"Yu","given":"Je-Wook"},{"family":"Cho","given":"Jin Won"},{"family":"Kim","given":"Jung-Sun"},{"family":"Lee","given":"Yong-Ho"}],"issued":{"date-parts":[["2020",5,1]]}}}],"schema":"https://github.com/citation-style-language/schema/raw/master/csl-citation.json"} </w:instrText>
      </w:r>
      <w:r w:rsidRPr="00D76ED4">
        <w:rPr>
          <w:sz w:val="24"/>
          <w:szCs w:val="24"/>
          <w:vertAlign w:val="superscript"/>
        </w:rPr>
        <w:fldChar w:fldCharType="separate"/>
      </w:r>
      <w:r w:rsidRPr="00D76ED4">
        <w:rPr>
          <w:sz w:val="24"/>
          <w:szCs w:val="24"/>
        </w:rPr>
        <w:t>(19)</w:t>
      </w:r>
      <w:r w:rsidRPr="00D76ED4">
        <w:rPr>
          <w:sz w:val="24"/>
          <w:szCs w:val="24"/>
        </w:rPr>
        <w:fldChar w:fldCharType="end"/>
      </w:r>
      <w:r w:rsidRPr="00D76ED4">
        <w:rPr>
          <w:sz w:val="24"/>
          <w:szCs w:val="24"/>
        </w:rPr>
        <w:t xml:space="preserve">. Collectively, this data highlights that the mechanisms by which SGLT2 inhibition improves HF outcomes are perhaps distinct to the standard pathways (such as RAAS) which conventional HF therapies are focused. Further exploration of these novel biomarkers may serve to yield a better understanding of the mode of action of SGLT2 inhibition not only in heart failure, but also in other associated conditions. </w:t>
      </w:r>
    </w:p>
    <w:bookmarkEnd w:id="1"/>
    <w:p w14:paraId="63054B00" w14:textId="77777777" w:rsidR="005028E5" w:rsidRDefault="005028E5" w:rsidP="005028E5">
      <w:pPr>
        <w:pBdr>
          <w:bottom w:val="single" w:sz="4" w:space="1" w:color="auto"/>
        </w:pBdr>
        <w:rPr>
          <w:b/>
          <w:bCs/>
          <w:sz w:val="24"/>
          <w:szCs w:val="24"/>
        </w:rPr>
      </w:pPr>
      <w:r>
        <w:rPr>
          <w:b/>
          <w:bCs/>
          <w:sz w:val="24"/>
          <w:szCs w:val="24"/>
        </w:rPr>
        <w:t>2.0. TRIAL DESGIN &amp; METHODS</w:t>
      </w:r>
    </w:p>
    <w:p w14:paraId="5D1B25CD" w14:textId="77777777" w:rsidR="005028E5" w:rsidRDefault="005028E5" w:rsidP="005028E5">
      <w:pPr>
        <w:rPr>
          <w:b/>
          <w:bCs/>
          <w:sz w:val="24"/>
          <w:szCs w:val="24"/>
        </w:rPr>
      </w:pPr>
      <w:r>
        <w:rPr>
          <w:b/>
          <w:bCs/>
          <w:sz w:val="24"/>
          <w:szCs w:val="24"/>
        </w:rPr>
        <w:t>2.1. Design</w:t>
      </w:r>
    </w:p>
    <w:p w14:paraId="75860B67" w14:textId="771F51FA" w:rsidR="005028E5" w:rsidRPr="00D76ED4" w:rsidRDefault="005028E5" w:rsidP="005028E5">
      <w:pPr>
        <w:rPr>
          <w:sz w:val="24"/>
          <w:szCs w:val="24"/>
        </w:rPr>
      </w:pPr>
      <w:r w:rsidRPr="00D76ED4">
        <w:rPr>
          <w:sz w:val="24"/>
          <w:szCs w:val="24"/>
        </w:rPr>
        <w:t xml:space="preserve">This is a 26-week, open label, single-arm prospective evaluation of the effects of SGLT2 inhibition on cardiac biomarkers, myocardial remodeling and patient reported outcomes in </w:t>
      </w:r>
      <w:r w:rsidR="00236BFB">
        <w:rPr>
          <w:sz w:val="24"/>
          <w:szCs w:val="24"/>
        </w:rPr>
        <w:t>HF</w:t>
      </w:r>
      <w:r w:rsidRPr="00D76ED4">
        <w:rPr>
          <w:sz w:val="24"/>
          <w:szCs w:val="24"/>
        </w:rPr>
        <w:t xml:space="preserve"> with both impaired and preserved left ventricular fraction. The overall study itinerary is summarised in </w:t>
      </w:r>
      <w:r w:rsidRPr="00D76ED4">
        <w:rPr>
          <w:b/>
          <w:bCs/>
          <w:i/>
          <w:iCs/>
          <w:sz w:val="24"/>
          <w:szCs w:val="24"/>
        </w:rPr>
        <w:t>Figure 2</w:t>
      </w:r>
      <w:r w:rsidRPr="00D76ED4">
        <w:rPr>
          <w:sz w:val="24"/>
          <w:szCs w:val="24"/>
        </w:rPr>
        <w:t xml:space="preserve">.  The trial is registered as Clinical Trials.gov identifier: </w:t>
      </w:r>
      <w:r w:rsidRPr="00D76ED4">
        <w:rPr>
          <w:sz w:val="24"/>
          <w:szCs w:val="24"/>
          <w:u w:val="single"/>
        </w:rPr>
        <w:t>NCT06140251</w:t>
      </w:r>
      <w:r w:rsidRPr="00D76ED4">
        <w:rPr>
          <w:sz w:val="24"/>
          <w:szCs w:val="24"/>
        </w:rPr>
        <w:t>.</w:t>
      </w:r>
    </w:p>
    <w:p w14:paraId="327057C5" w14:textId="77777777" w:rsidR="005028E5" w:rsidRDefault="005028E5" w:rsidP="005028E5">
      <w:pPr>
        <w:rPr>
          <w:b/>
          <w:bCs/>
          <w:sz w:val="24"/>
          <w:szCs w:val="24"/>
        </w:rPr>
      </w:pPr>
      <w:r>
        <w:rPr>
          <w:b/>
          <w:bCs/>
          <w:sz w:val="24"/>
          <w:szCs w:val="24"/>
        </w:rPr>
        <w:t>2.2. Funding</w:t>
      </w:r>
    </w:p>
    <w:p w14:paraId="1AE3E308" w14:textId="77777777" w:rsidR="005028E5" w:rsidRDefault="005028E5" w:rsidP="005028E5">
      <w:pPr>
        <w:rPr>
          <w:sz w:val="24"/>
          <w:szCs w:val="24"/>
        </w:rPr>
      </w:pPr>
      <w:r w:rsidRPr="00D76ED4">
        <w:rPr>
          <w:sz w:val="24"/>
          <w:szCs w:val="24"/>
        </w:rPr>
        <w:t>This study was fully funded by way of competitive grant. The authors contributed significantly to the drafting, editing, and revision of the manuscript and are solely responsible for the design and conduct of this study, all study analyses, the drafting and editing of the paper, and its final contents. The authors received no financial support, or any other form of compensation related to the development of this manuscript.</w:t>
      </w:r>
    </w:p>
    <w:p w14:paraId="338961CE" w14:textId="77777777" w:rsidR="005028E5" w:rsidRPr="00D76ED4" w:rsidRDefault="005028E5" w:rsidP="005028E5">
      <w:pPr>
        <w:rPr>
          <w:b/>
          <w:bCs/>
          <w:sz w:val="24"/>
          <w:szCs w:val="24"/>
        </w:rPr>
      </w:pPr>
      <w:r w:rsidRPr="00D76ED4">
        <w:rPr>
          <w:b/>
          <w:bCs/>
          <w:sz w:val="24"/>
          <w:szCs w:val="24"/>
        </w:rPr>
        <w:t xml:space="preserve">2.3. Patient eligibility and enrolment </w:t>
      </w:r>
    </w:p>
    <w:p w14:paraId="3879E2A5" w14:textId="77777777" w:rsidR="005028E5" w:rsidRPr="00D76ED4" w:rsidRDefault="005028E5" w:rsidP="005028E5">
      <w:pPr>
        <w:rPr>
          <w:iCs/>
          <w:sz w:val="24"/>
          <w:szCs w:val="24"/>
        </w:rPr>
      </w:pPr>
      <w:r w:rsidRPr="00D76ED4">
        <w:rPr>
          <w:iCs/>
          <w:sz w:val="24"/>
          <w:szCs w:val="24"/>
        </w:rPr>
        <w:t>This study: “</w:t>
      </w:r>
      <w:r w:rsidRPr="00D76ED4">
        <w:rPr>
          <w:i/>
          <w:sz w:val="24"/>
          <w:szCs w:val="24"/>
        </w:rPr>
        <w:t>The impact of SGLT2 inhibition on cardiac biomarkers, remodelling and their correlation with heart failure outcome</w:t>
      </w:r>
      <w:r w:rsidRPr="00D76ED4">
        <w:rPr>
          <w:iCs/>
          <w:sz w:val="24"/>
          <w:szCs w:val="24"/>
        </w:rPr>
        <w:t xml:space="preserve">”, is a 26-week, open label, single-arm prospective evaluation of patients commenced on SGLT2 inhibition for the treatment of heart failure with preserved &amp; impaired function as per standard care. </w:t>
      </w:r>
    </w:p>
    <w:p w14:paraId="36F8A05F" w14:textId="77777777" w:rsidR="005028E5" w:rsidRPr="00D76ED4" w:rsidRDefault="005028E5" w:rsidP="005028E5">
      <w:pPr>
        <w:rPr>
          <w:iCs/>
          <w:sz w:val="24"/>
          <w:szCs w:val="24"/>
        </w:rPr>
      </w:pPr>
      <w:r w:rsidRPr="00D76ED4">
        <w:rPr>
          <w:iCs/>
          <w:sz w:val="24"/>
          <w:szCs w:val="24"/>
        </w:rPr>
        <w:t>The trial protocol, consent, recruitment procedure and enrolment were approved by the UK Research Ethics Committee with local governance approval (</w:t>
      </w:r>
      <w:r w:rsidRPr="00D76ED4">
        <w:rPr>
          <w:iCs/>
          <w:sz w:val="24"/>
          <w:szCs w:val="24"/>
          <w:u w:val="single"/>
        </w:rPr>
        <w:t xml:space="preserve">REC </w:t>
      </w:r>
      <w:r w:rsidRPr="00D76ED4">
        <w:rPr>
          <w:rFonts w:asciiTheme="majorHAnsi" w:hAnsiTheme="majorHAnsi" w:cs="Times New Roman"/>
          <w:iCs/>
          <w:u w:val="single"/>
        </w:rPr>
        <w:t>22/NW/0348</w:t>
      </w:r>
      <w:r w:rsidRPr="00D76ED4">
        <w:rPr>
          <w:rFonts w:asciiTheme="majorHAnsi" w:hAnsiTheme="majorHAnsi" w:cs="Times New Roman"/>
          <w:iCs/>
        </w:rPr>
        <w:t>).</w:t>
      </w:r>
    </w:p>
    <w:p w14:paraId="7B2D1A79" w14:textId="2EFA881E" w:rsidR="005028E5" w:rsidRPr="00D76ED4" w:rsidRDefault="005028E5" w:rsidP="005028E5">
      <w:pPr>
        <w:rPr>
          <w:iCs/>
          <w:sz w:val="24"/>
          <w:szCs w:val="24"/>
        </w:rPr>
      </w:pPr>
      <w:r w:rsidRPr="00D76ED4">
        <w:rPr>
          <w:iCs/>
          <w:sz w:val="24"/>
          <w:szCs w:val="24"/>
        </w:rPr>
        <w:t xml:space="preserve">Full inclusion and exclusion criteria are summarised in </w:t>
      </w:r>
      <w:r w:rsidRPr="00D76ED4">
        <w:rPr>
          <w:b/>
          <w:bCs/>
          <w:i/>
          <w:sz w:val="24"/>
          <w:szCs w:val="24"/>
        </w:rPr>
        <w:t>Table 1</w:t>
      </w:r>
      <w:r w:rsidRPr="00D76ED4">
        <w:rPr>
          <w:iCs/>
          <w:sz w:val="24"/>
          <w:szCs w:val="24"/>
        </w:rPr>
        <w:t>. In brief, adult patients with stable symptoms and otherwise on optimal medical therapy who are eligible for commencement on a SGLT2 inhibitor for the treatment of heart failure as per standard care guidelines. The diagnosis of HF must be confirmed with recent echocardiography &lt;1 year with a LV</w:t>
      </w:r>
      <w:r w:rsidR="000936A5">
        <w:rPr>
          <w:iCs/>
          <w:sz w:val="24"/>
          <w:szCs w:val="24"/>
        </w:rPr>
        <w:t>EF</w:t>
      </w:r>
      <w:r w:rsidRPr="00D76ED4">
        <w:rPr>
          <w:iCs/>
          <w:sz w:val="24"/>
          <w:szCs w:val="24"/>
        </w:rPr>
        <w:t xml:space="preserve"> &lt;50% on echocardiography or if &gt;50%; they must have objective evidence of cardiac dysfunction on echocardiography (</w:t>
      </w:r>
      <w:r w:rsidR="00D14000" w:rsidRPr="00D14000">
        <w:rPr>
          <w:iCs/>
          <w:sz w:val="24"/>
          <w:szCs w:val="24"/>
        </w:rPr>
        <w:t xml:space="preserve">left atrial [LA) volume index </w:t>
      </w:r>
      <w:r w:rsidRPr="00D76ED4">
        <w:rPr>
          <w:iCs/>
          <w:sz w:val="24"/>
          <w:szCs w:val="24"/>
        </w:rPr>
        <w:t xml:space="preserve">&gt;34ml/m2, E/e’ ratio &gt;9, </w:t>
      </w:r>
      <w:r w:rsidR="00736F89" w:rsidRPr="00736F89">
        <w:rPr>
          <w:iCs/>
          <w:sz w:val="24"/>
          <w:szCs w:val="24"/>
        </w:rPr>
        <w:t xml:space="preserve">tricuspid regurgitation [TR] </w:t>
      </w:r>
      <w:r w:rsidRPr="00D76ED4">
        <w:rPr>
          <w:iCs/>
          <w:sz w:val="24"/>
          <w:szCs w:val="24"/>
        </w:rPr>
        <w:t>vel</w:t>
      </w:r>
      <w:r w:rsidR="00736F89">
        <w:rPr>
          <w:iCs/>
          <w:sz w:val="24"/>
          <w:szCs w:val="24"/>
        </w:rPr>
        <w:t>ocity</w:t>
      </w:r>
      <w:r w:rsidRPr="00D76ED4">
        <w:rPr>
          <w:iCs/>
          <w:sz w:val="24"/>
          <w:szCs w:val="24"/>
        </w:rPr>
        <w:t xml:space="preserve"> &gt;2.8m/s, </w:t>
      </w:r>
      <w:r w:rsidR="00302D75" w:rsidRPr="00302D75">
        <w:rPr>
          <w:iCs/>
          <w:sz w:val="24"/>
          <w:szCs w:val="24"/>
        </w:rPr>
        <w:t>pulmonary arterial systolic pressure [PASP] &gt;25mmHg or left ventricular hypertrophy [LVH])</w:t>
      </w:r>
      <w:r w:rsidRPr="00D76ED4">
        <w:rPr>
          <w:iCs/>
          <w:sz w:val="24"/>
          <w:szCs w:val="24"/>
        </w:rPr>
        <w:t xml:space="preserve"> as outlined in current ESC Heart failure guidance </w:t>
      </w:r>
      <w:r w:rsidRPr="00D76ED4">
        <w:rPr>
          <w:iCs/>
          <w:sz w:val="24"/>
          <w:szCs w:val="24"/>
        </w:rPr>
        <w:fldChar w:fldCharType="begin"/>
      </w:r>
      <w:r w:rsidRPr="00D76ED4">
        <w:rPr>
          <w:iCs/>
          <w:sz w:val="24"/>
          <w:szCs w:val="24"/>
        </w:rPr>
        <w:instrText xml:space="preserve"> ADDIN ZOTERO_ITEM CSL_CITATION {"citationID":"rvcRL93J","properties":{"formattedCitation":"(16)","plainCitation":"(16)","noteIndex":0},"citationItems":[{"id":55,"uris":["http://zotero.org/users/12333076/items/X4YVBIJQ"],"itemData":{"id":55,"type":"article-journal","container-title":"European Heart Journal","DOI":"10.1093/eurheartj/ehab368","ISSN":"1522-9645","issue":"36","journalAbbreviation":"Eur Heart J","language":"eng","note":"PMID: 34447992","page":"3599-3726","source":"PubMed","title":"2021 ESC Guidelines for the diagnosis and treatment of acute and chronic heart failure","volume":"42","author":[{"family":"McDonagh","given":"Theresa A."},{"family":"Metra","given":"Marco"},{"family":"Adamo","given":"Marianna"},{"family":"Gardner","given":"Roy S."},{"family":"Baumbach","given":"Andreas"},{"family":"Böhm","given":"Michael"},{"family":"Burri","given":"Haran"},{"family":"Butler","given":"Javed"},{"family":"Čelutkienė","given":"Jelena"},{"family":"Chioncel","given":"Ovidiu"},{"family":"Cleland","given":"John G. F."},{"family":"Coats","given":"Andrew J. S."},{"family":"Crespo-Leiro","given":"Maria G."},{"family":"Farmakis","given":"Dimitrios"},{"family":"Gilard","given":"Martine"},{"family":"Heymans","given":"Stephane"},{"family":"Hoes","given":"Arno W."},{"family":"Jaarsma","given":"Tiny"},{"family":"Jankowska","given":"Ewa A."},{"family":"Lainscak","given":"Mitja"},{"family":"Lam","given":"Carolyn S. P."},{"family":"Lyon","given":"Alexander R."},{"family":"McMurray","given":"John J. V."},{"family":"Mebazaa","given":"Alexandre"},{"family":"Mindham","given":"Richard"},{"family":"Muneretto","given":"Claudio"},{"family":"Francesco Piepoli","given":"Massimo"},{"family":"Price","given":"Susanna"},{"family":"Rosano","given":"Giuseppe M. C."},{"family":"Ruschitzka","given":"Frank"},{"family":"Kathrine Skibelund","given":"Anne"},{"literal":"ESC Scientific Document Group"}],"issued":{"date-parts":[["2021",9,21]]}}}],"schema":"https://github.com/citation-style-language/schema/raw/master/csl-citation.json"} </w:instrText>
      </w:r>
      <w:r w:rsidRPr="00D76ED4">
        <w:rPr>
          <w:iCs/>
          <w:sz w:val="24"/>
          <w:szCs w:val="24"/>
        </w:rPr>
        <w:fldChar w:fldCharType="separate"/>
      </w:r>
      <w:r w:rsidRPr="00D76ED4">
        <w:rPr>
          <w:sz w:val="24"/>
          <w:szCs w:val="24"/>
        </w:rPr>
        <w:t>(16)</w:t>
      </w:r>
      <w:r w:rsidRPr="00D76ED4">
        <w:rPr>
          <w:sz w:val="24"/>
          <w:szCs w:val="24"/>
        </w:rPr>
        <w:fldChar w:fldCharType="end"/>
      </w:r>
      <w:r w:rsidRPr="00D76ED4">
        <w:rPr>
          <w:iCs/>
          <w:sz w:val="24"/>
          <w:szCs w:val="24"/>
        </w:rPr>
        <w:t>.</w:t>
      </w:r>
    </w:p>
    <w:p w14:paraId="7E48CC5C" w14:textId="7F67B1AE" w:rsidR="005028E5" w:rsidRPr="00F40897" w:rsidRDefault="005028E5" w:rsidP="005028E5">
      <w:pPr>
        <w:rPr>
          <w:sz w:val="24"/>
          <w:szCs w:val="24"/>
        </w:rPr>
      </w:pPr>
      <w:r w:rsidRPr="00D76ED4">
        <w:rPr>
          <w:sz w:val="24"/>
          <w:szCs w:val="24"/>
        </w:rPr>
        <w:lastRenderedPageBreak/>
        <w:t>Key exclusion criteria include</w:t>
      </w:r>
      <w:r>
        <w:rPr>
          <w:sz w:val="24"/>
          <w:szCs w:val="24"/>
        </w:rPr>
        <w:t xml:space="preserve"> </w:t>
      </w:r>
      <w:r w:rsidRPr="00D76ED4">
        <w:rPr>
          <w:sz w:val="24"/>
          <w:szCs w:val="24"/>
        </w:rPr>
        <w:t xml:space="preserve">hospitalisation for heart failure within 4 weeks prior to enrolment, </w:t>
      </w:r>
      <w:r>
        <w:rPr>
          <w:sz w:val="24"/>
          <w:szCs w:val="24"/>
        </w:rPr>
        <w:t>e</w:t>
      </w:r>
      <w:r w:rsidRPr="00D76ED4">
        <w:rPr>
          <w:sz w:val="24"/>
          <w:szCs w:val="24"/>
        </w:rPr>
        <w:t xml:space="preserve">GFR </w:t>
      </w:r>
      <w:r w:rsidRPr="00D76ED4">
        <w:rPr>
          <w:iCs/>
          <w:sz w:val="24"/>
          <w:szCs w:val="24"/>
        </w:rPr>
        <w:t>&lt;</w:t>
      </w:r>
      <w:r w:rsidRPr="00D76ED4">
        <w:rPr>
          <w:sz w:val="24"/>
          <w:szCs w:val="24"/>
        </w:rPr>
        <w:t xml:space="preserve">25 mL/min/1.73m2 at screening, type 1 diabetes, suspected cardiac amyloid, myo- or pericarditis, infiltrative cardiomyopathy or uncorrected primary valvular disease. </w:t>
      </w:r>
    </w:p>
    <w:p w14:paraId="49D4CFAC" w14:textId="77777777" w:rsidR="005028E5" w:rsidRPr="00D76ED4" w:rsidRDefault="005028E5" w:rsidP="005028E5">
      <w:pPr>
        <w:rPr>
          <w:iCs/>
          <w:sz w:val="24"/>
          <w:szCs w:val="24"/>
        </w:rPr>
      </w:pPr>
      <w:r w:rsidRPr="00D76ED4">
        <w:rPr>
          <w:iCs/>
          <w:sz w:val="24"/>
          <w:szCs w:val="24"/>
        </w:rPr>
        <w:t>Enrolment began on 31</w:t>
      </w:r>
      <w:r w:rsidRPr="00D76ED4">
        <w:rPr>
          <w:iCs/>
          <w:sz w:val="24"/>
          <w:szCs w:val="24"/>
          <w:vertAlign w:val="superscript"/>
        </w:rPr>
        <w:t>st</w:t>
      </w:r>
      <w:r w:rsidRPr="00D76ED4">
        <w:rPr>
          <w:iCs/>
          <w:sz w:val="24"/>
          <w:szCs w:val="24"/>
        </w:rPr>
        <w:t xml:space="preserve"> August 2023 following ethical committee approval and local research governance approval. The study is being conducted in accordance with Good Clinical Practice and the Declaration of Helsinki.</w:t>
      </w:r>
    </w:p>
    <w:p w14:paraId="042FC2D8" w14:textId="77777777" w:rsidR="005028E5" w:rsidRPr="003B6BFD" w:rsidRDefault="005028E5" w:rsidP="005028E5">
      <w:pPr>
        <w:rPr>
          <w:b/>
          <w:bCs/>
          <w:sz w:val="24"/>
          <w:szCs w:val="24"/>
        </w:rPr>
      </w:pPr>
      <w:r w:rsidRPr="003B6BFD">
        <w:rPr>
          <w:b/>
          <w:bCs/>
          <w:sz w:val="24"/>
          <w:szCs w:val="24"/>
        </w:rPr>
        <w:t>2.4. Enrolment and follow-up</w:t>
      </w:r>
    </w:p>
    <w:p w14:paraId="37528547" w14:textId="04FEF941" w:rsidR="005028E5" w:rsidRPr="003B6BFD" w:rsidRDefault="005028E5" w:rsidP="005028E5">
      <w:pPr>
        <w:rPr>
          <w:iCs/>
          <w:sz w:val="24"/>
          <w:szCs w:val="24"/>
        </w:rPr>
      </w:pPr>
      <w:r w:rsidRPr="003B6BFD">
        <w:rPr>
          <w:iCs/>
          <w:sz w:val="24"/>
          <w:szCs w:val="24"/>
        </w:rPr>
        <w:t xml:space="preserve">           Patients identified with </w:t>
      </w:r>
      <w:r w:rsidR="00F40897">
        <w:rPr>
          <w:iCs/>
          <w:sz w:val="24"/>
          <w:szCs w:val="24"/>
        </w:rPr>
        <w:t>HF</w:t>
      </w:r>
      <w:r w:rsidRPr="003B6BFD">
        <w:rPr>
          <w:iCs/>
          <w:sz w:val="24"/>
          <w:szCs w:val="24"/>
        </w:rPr>
        <w:t xml:space="preserve"> (both reduced ejection fraction and preserved) who are on optimal standard therapy and are candidates for treatment with SGLT2 inhibition will be identified from our local heart failure database, and local heart failure clinics. Following signed, informed consent and screening, patients will be allocated a first appointment where baseline clinical assessment and biomarker analysis will be obtained along with commencement on a SGLT2 inhibitor. Repeat assessment will be performed following a minimum period of 26 weeks. Recruitment will continue for one-year following first patient enrolment.  A schematic of the enrolment and follow-up process is supplied in </w:t>
      </w:r>
      <w:r w:rsidRPr="003B6BFD">
        <w:rPr>
          <w:b/>
          <w:bCs/>
          <w:i/>
          <w:sz w:val="24"/>
          <w:szCs w:val="24"/>
        </w:rPr>
        <w:t>Figure 3</w:t>
      </w:r>
      <w:r w:rsidRPr="003B6BFD">
        <w:rPr>
          <w:iCs/>
          <w:sz w:val="24"/>
          <w:szCs w:val="24"/>
        </w:rPr>
        <w:t xml:space="preserve">. </w:t>
      </w:r>
    </w:p>
    <w:p w14:paraId="73CFC018" w14:textId="77777777" w:rsidR="005028E5" w:rsidRPr="003B6BFD" w:rsidRDefault="005028E5" w:rsidP="005028E5">
      <w:pPr>
        <w:rPr>
          <w:b/>
          <w:bCs/>
          <w:iCs/>
          <w:sz w:val="24"/>
          <w:szCs w:val="24"/>
        </w:rPr>
      </w:pPr>
      <w:r w:rsidRPr="003B6BFD">
        <w:rPr>
          <w:b/>
          <w:bCs/>
          <w:iCs/>
          <w:sz w:val="24"/>
          <w:szCs w:val="24"/>
        </w:rPr>
        <w:t>2.5. Study Outcomes</w:t>
      </w:r>
    </w:p>
    <w:p w14:paraId="0409479E" w14:textId="77777777" w:rsidR="005028E5" w:rsidRPr="003B6BFD" w:rsidRDefault="005028E5" w:rsidP="005028E5">
      <w:pPr>
        <w:rPr>
          <w:iCs/>
          <w:sz w:val="24"/>
          <w:szCs w:val="24"/>
        </w:rPr>
      </w:pPr>
      <w:r w:rsidRPr="003B6BFD">
        <w:rPr>
          <w:iCs/>
          <w:sz w:val="24"/>
          <w:szCs w:val="24"/>
        </w:rPr>
        <w:t xml:space="preserve">The </w:t>
      </w:r>
      <w:r w:rsidRPr="003B6BFD">
        <w:rPr>
          <w:i/>
          <w:sz w:val="24"/>
          <w:szCs w:val="24"/>
        </w:rPr>
        <w:t>primary study outcome</w:t>
      </w:r>
      <w:r w:rsidRPr="003B6BFD">
        <w:rPr>
          <w:iCs/>
          <w:sz w:val="24"/>
          <w:szCs w:val="24"/>
        </w:rPr>
        <w:t xml:space="preserve"> is to evaluate whether SGLT2 inhibition in heart failure effects changes in novel cardiac biomarkers </w:t>
      </w:r>
      <w:r w:rsidRPr="003B6BFD">
        <w:rPr>
          <w:b/>
          <w:bCs/>
          <w:i/>
          <w:sz w:val="24"/>
          <w:szCs w:val="24"/>
        </w:rPr>
        <w:t>Table 2</w:t>
      </w:r>
      <w:r w:rsidRPr="003B6BFD">
        <w:rPr>
          <w:iCs/>
          <w:sz w:val="24"/>
          <w:szCs w:val="24"/>
        </w:rPr>
        <w:t>. This endpoint will be assessed in the full study population across the spectrum of heart failure phenotypes enrolled in the study. This is an exploratory evaluation of novel cardiac pathways which may serve to establish</w:t>
      </w:r>
      <w:r>
        <w:rPr>
          <w:iCs/>
          <w:sz w:val="24"/>
          <w:szCs w:val="24"/>
        </w:rPr>
        <w:t xml:space="preserve"> </w:t>
      </w:r>
      <w:r w:rsidRPr="003B6BFD">
        <w:rPr>
          <w:iCs/>
          <w:sz w:val="24"/>
          <w:szCs w:val="24"/>
        </w:rPr>
        <w:t xml:space="preserve">unknown, therapeutic mechanisms of action of SGLT2 inhibition in heart failure. </w:t>
      </w:r>
    </w:p>
    <w:p w14:paraId="730D2547" w14:textId="21106646" w:rsidR="005028E5" w:rsidRPr="003B6BFD" w:rsidRDefault="005028E5" w:rsidP="005028E5">
      <w:pPr>
        <w:rPr>
          <w:iCs/>
          <w:sz w:val="24"/>
          <w:szCs w:val="24"/>
        </w:rPr>
      </w:pPr>
      <w:r w:rsidRPr="003B6BFD">
        <w:rPr>
          <w:i/>
          <w:sz w:val="24"/>
          <w:szCs w:val="24"/>
        </w:rPr>
        <w:t>Secondary outcomes</w:t>
      </w:r>
      <w:r w:rsidRPr="003B6BFD">
        <w:rPr>
          <w:iCs/>
          <w:sz w:val="24"/>
          <w:szCs w:val="24"/>
        </w:rPr>
        <w:t xml:space="preserve"> will evaluate changes in standard of care biomarkers in response to SGLT2 inhibition in heart failure. Additionally, data extracted from standard of care follow-up will be analysed and correlated with novel biomarker data; specifically, interval echocardiography and Qo</w:t>
      </w:r>
      <w:r w:rsidR="00CB226B">
        <w:rPr>
          <w:iCs/>
          <w:sz w:val="24"/>
          <w:szCs w:val="24"/>
        </w:rPr>
        <w:t>L</w:t>
      </w:r>
      <w:r w:rsidRPr="003B6BFD">
        <w:rPr>
          <w:iCs/>
          <w:sz w:val="24"/>
          <w:szCs w:val="24"/>
        </w:rPr>
        <w:t xml:space="preserve"> heart failure outcomes. </w:t>
      </w:r>
    </w:p>
    <w:p w14:paraId="5A5C0D6D" w14:textId="77777777" w:rsidR="005028E5" w:rsidRPr="003B6BFD" w:rsidRDefault="005028E5" w:rsidP="005028E5">
      <w:pPr>
        <w:rPr>
          <w:b/>
          <w:bCs/>
          <w:iCs/>
          <w:sz w:val="24"/>
          <w:szCs w:val="24"/>
        </w:rPr>
      </w:pPr>
      <w:r w:rsidRPr="003B6BFD">
        <w:rPr>
          <w:b/>
          <w:bCs/>
          <w:iCs/>
          <w:sz w:val="24"/>
          <w:szCs w:val="24"/>
        </w:rPr>
        <w:t>2.6. Clinical assessment</w:t>
      </w:r>
    </w:p>
    <w:p w14:paraId="187BF986" w14:textId="4021715E" w:rsidR="005028E5" w:rsidRPr="003B6BFD" w:rsidRDefault="005028E5" w:rsidP="005028E5">
      <w:pPr>
        <w:rPr>
          <w:iCs/>
          <w:sz w:val="24"/>
          <w:szCs w:val="24"/>
        </w:rPr>
      </w:pPr>
      <w:r w:rsidRPr="003B6BFD">
        <w:rPr>
          <w:iCs/>
          <w:sz w:val="24"/>
          <w:szCs w:val="24"/>
        </w:rPr>
        <w:t xml:space="preserve">All study patients will undergo a full history and physical examination. Physical evaluation will include measurement of BMI, heart rate pulse oximetry and blood pressure measurement. History will include calculation of </w:t>
      </w:r>
      <w:r w:rsidR="00CB226B">
        <w:rPr>
          <w:iCs/>
          <w:sz w:val="24"/>
          <w:szCs w:val="24"/>
        </w:rPr>
        <w:t>New York Heart Association (</w:t>
      </w:r>
      <w:r w:rsidRPr="003B6BFD">
        <w:rPr>
          <w:iCs/>
          <w:sz w:val="24"/>
          <w:szCs w:val="24"/>
        </w:rPr>
        <w:t>NYHA</w:t>
      </w:r>
      <w:r w:rsidR="00CB226B">
        <w:rPr>
          <w:iCs/>
          <w:sz w:val="24"/>
          <w:szCs w:val="24"/>
        </w:rPr>
        <w:t>)</w:t>
      </w:r>
      <w:r w:rsidRPr="003B6BFD">
        <w:rPr>
          <w:iCs/>
          <w:sz w:val="24"/>
          <w:szCs w:val="24"/>
        </w:rPr>
        <w:t xml:space="preserve"> score and completion of Kansas City Cardiomyopathy Questionnaire (KCCQ)</w:t>
      </w:r>
      <w:r w:rsidR="00CB226B">
        <w:rPr>
          <w:iCs/>
          <w:sz w:val="24"/>
          <w:szCs w:val="24"/>
        </w:rPr>
        <w:t>-12</w:t>
      </w:r>
      <w:r w:rsidRPr="003B6BFD">
        <w:rPr>
          <w:iCs/>
          <w:sz w:val="24"/>
          <w:szCs w:val="24"/>
        </w:rPr>
        <w:t xml:space="preserve">. </w:t>
      </w:r>
    </w:p>
    <w:p w14:paraId="672044DF" w14:textId="77777777" w:rsidR="005028E5" w:rsidRPr="003B6BFD" w:rsidRDefault="005028E5" w:rsidP="005028E5">
      <w:pPr>
        <w:rPr>
          <w:b/>
          <w:bCs/>
          <w:iCs/>
          <w:sz w:val="24"/>
          <w:szCs w:val="24"/>
        </w:rPr>
      </w:pPr>
      <w:r w:rsidRPr="003B6BFD">
        <w:rPr>
          <w:b/>
          <w:bCs/>
          <w:iCs/>
          <w:sz w:val="24"/>
          <w:szCs w:val="24"/>
        </w:rPr>
        <w:t>2.7. Biomarker sampling &amp; analysis</w:t>
      </w:r>
    </w:p>
    <w:p w14:paraId="5BFF0BE2" w14:textId="3C4B5A00" w:rsidR="005028E5" w:rsidRDefault="005028E5" w:rsidP="005028E5">
      <w:pPr>
        <w:rPr>
          <w:iCs/>
          <w:sz w:val="24"/>
          <w:szCs w:val="24"/>
        </w:rPr>
      </w:pPr>
      <w:r w:rsidRPr="003B6BFD">
        <w:rPr>
          <w:iCs/>
          <w:sz w:val="24"/>
          <w:szCs w:val="24"/>
        </w:rPr>
        <w:t xml:space="preserve">As part of biomarker evaluation, peripheral venous blood sampling will take place at both baseline and following a minimum of 26 weeks treatment with a SGLT2 inhibitor. Standard of care blood sampling will be processed directly at a central laboratory in the Royal Victoria Hospital, Belfast. Standard of care biomarkers will include NT-proBNP, </w:t>
      </w:r>
      <w:r w:rsidR="001563A8">
        <w:rPr>
          <w:iCs/>
          <w:sz w:val="24"/>
          <w:szCs w:val="24"/>
        </w:rPr>
        <w:lastRenderedPageBreak/>
        <w:t>high sensitivity troponin (</w:t>
      </w:r>
      <w:proofErr w:type="spellStart"/>
      <w:r w:rsidRPr="003B6BFD">
        <w:rPr>
          <w:iCs/>
          <w:sz w:val="24"/>
          <w:szCs w:val="24"/>
        </w:rPr>
        <w:t>hs-TnT</w:t>
      </w:r>
      <w:proofErr w:type="spellEnd"/>
      <w:r w:rsidR="001563A8">
        <w:rPr>
          <w:iCs/>
          <w:sz w:val="24"/>
          <w:szCs w:val="24"/>
        </w:rPr>
        <w:t>)</w:t>
      </w:r>
      <w:r w:rsidRPr="003B6BFD">
        <w:rPr>
          <w:iCs/>
          <w:sz w:val="24"/>
          <w:szCs w:val="24"/>
        </w:rPr>
        <w:t>,</w:t>
      </w:r>
      <w:r w:rsidR="001563A8">
        <w:rPr>
          <w:iCs/>
          <w:sz w:val="24"/>
          <w:szCs w:val="24"/>
        </w:rPr>
        <w:t xml:space="preserve"> C-reactive protein (</w:t>
      </w:r>
      <w:r w:rsidRPr="003B6BFD">
        <w:rPr>
          <w:iCs/>
          <w:sz w:val="24"/>
          <w:szCs w:val="24"/>
        </w:rPr>
        <w:t>CRP</w:t>
      </w:r>
      <w:r w:rsidR="001563A8">
        <w:rPr>
          <w:iCs/>
          <w:sz w:val="24"/>
          <w:szCs w:val="24"/>
        </w:rPr>
        <w:t>)</w:t>
      </w:r>
      <w:r w:rsidRPr="003B6BFD">
        <w:rPr>
          <w:iCs/>
          <w:sz w:val="24"/>
          <w:szCs w:val="24"/>
        </w:rPr>
        <w:t>, lipid profile, HbA1c, full blood count and renal profile. Additionally, saliva samples will be collected at both time points using a commercially available kit (</w:t>
      </w:r>
      <w:proofErr w:type="spellStart"/>
      <w:r w:rsidRPr="003B6BFD">
        <w:rPr>
          <w:iCs/>
          <w:sz w:val="24"/>
          <w:szCs w:val="24"/>
        </w:rPr>
        <w:t>SalivaBio</w:t>
      </w:r>
      <w:proofErr w:type="spellEnd"/>
      <w:r w:rsidRPr="003B6BFD">
        <w:rPr>
          <w:iCs/>
          <w:sz w:val="24"/>
          <w:szCs w:val="24"/>
        </w:rPr>
        <w:t xml:space="preserve"> Oral Swab Device, </w:t>
      </w:r>
      <w:proofErr w:type="spellStart"/>
      <w:r w:rsidRPr="003B6BFD">
        <w:rPr>
          <w:iCs/>
          <w:sz w:val="24"/>
          <w:szCs w:val="24"/>
        </w:rPr>
        <w:t>Salimetrics</w:t>
      </w:r>
      <w:proofErr w:type="spellEnd"/>
      <w:r w:rsidRPr="003B6BFD">
        <w:rPr>
          <w:iCs/>
          <w:sz w:val="24"/>
          <w:szCs w:val="24"/>
        </w:rPr>
        <w:t xml:space="preserve"> LLC, Carlsbad, CA, USA).</w:t>
      </w:r>
    </w:p>
    <w:p w14:paraId="6277B404" w14:textId="680763BE" w:rsidR="005028E5" w:rsidRPr="003B6BFD" w:rsidRDefault="005028E5" w:rsidP="005028E5">
      <w:pPr>
        <w:rPr>
          <w:iCs/>
          <w:sz w:val="24"/>
          <w:szCs w:val="24"/>
        </w:rPr>
      </w:pPr>
      <w:r w:rsidRPr="003B6BFD">
        <w:rPr>
          <w:iCs/>
          <w:sz w:val="24"/>
          <w:szCs w:val="24"/>
        </w:rPr>
        <w:t xml:space="preserve">Samples for novel biomarkers will undergo centrifugation at 2500 g for 10 min with subsequent aliquoting and storage −80 </w:t>
      </w:r>
      <w:r w:rsidRPr="003B6BFD">
        <w:rPr>
          <w:rFonts w:ascii="Cambria Math" w:hAnsi="Cambria Math" w:cs="Cambria Math"/>
          <w:iCs/>
          <w:sz w:val="24"/>
          <w:szCs w:val="24"/>
        </w:rPr>
        <w:t>∘</w:t>
      </w:r>
      <w:r w:rsidRPr="003B6BFD">
        <w:rPr>
          <w:iCs/>
          <w:sz w:val="24"/>
          <w:szCs w:val="24"/>
        </w:rPr>
        <w:t xml:space="preserve">C until required. All novel cardiac biomarkers will be processed at a single timepoint to mitigate the risk of error due to variation in sample processing.  </w:t>
      </w:r>
    </w:p>
    <w:p w14:paraId="2541F245" w14:textId="77777777" w:rsidR="005028E5" w:rsidRPr="003B6BFD" w:rsidRDefault="005028E5" w:rsidP="005028E5">
      <w:pPr>
        <w:rPr>
          <w:iCs/>
          <w:sz w:val="24"/>
          <w:szCs w:val="24"/>
        </w:rPr>
      </w:pPr>
      <w:r w:rsidRPr="003B6BFD">
        <w:rPr>
          <w:iCs/>
          <w:sz w:val="24"/>
          <w:szCs w:val="24"/>
        </w:rPr>
        <w:t>Enzyme-linked immunosorbent assay (ELISA) based assays will be used to quantify serum levels of sST2,</w:t>
      </w:r>
      <w:r>
        <w:rPr>
          <w:iCs/>
          <w:sz w:val="24"/>
          <w:szCs w:val="24"/>
        </w:rPr>
        <w:t xml:space="preserve"> IGFBP-1, </w:t>
      </w:r>
      <w:r w:rsidRPr="003B6BFD">
        <w:rPr>
          <w:iCs/>
          <w:sz w:val="24"/>
          <w:szCs w:val="24"/>
        </w:rPr>
        <w:t>IL</w:t>
      </w:r>
      <w:r>
        <w:rPr>
          <w:iCs/>
          <w:sz w:val="24"/>
          <w:szCs w:val="24"/>
        </w:rPr>
        <w:t>-1β, IL-4 and IL-6 levels in p</w:t>
      </w:r>
      <w:r w:rsidRPr="003B6BFD">
        <w:rPr>
          <w:iCs/>
          <w:sz w:val="24"/>
          <w:szCs w:val="24"/>
        </w:rPr>
        <w:t xml:space="preserve">atients at baseline and 26 weeks post SGLT2i initiation. </w:t>
      </w:r>
      <w:r>
        <w:rPr>
          <w:iCs/>
          <w:sz w:val="24"/>
          <w:szCs w:val="24"/>
        </w:rPr>
        <w:t>This panel may be expanded based on data noted in current literature.</w:t>
      </w:r>
    </w:p>
    <w:p w14:paraId="6DF7FB5C" w14:textId="77777777" w:rsidR="005028E5" w:rsidRPr="003B6BFD" w:rsidRDefault="005028E5" w:rsidP="005028E5">
      <w:pPr>
        <w:rPr>
          <w:iCs/>
          <w:sz w:val="24"/>
          <w:szCs w:val="24"/>
        </w:rPr>
      </w:pPr>
      <w:r w:rsidRPr="003B6BFD">
        <w:rPr>
          <w:iCs/>
          <w:sz w:val="24"/>
          <w:szCs w:val="24"/>
        </w:rPr>
        <w:t xml:space="preserve">Additionally, serum proteome will be profiled from samples obtained at baseline and 26-weeks. This will identify novel circulating proteins that could be of clinical value in risk prediction and monitoring response to therapy, as well as provide insights into potential mechanisms and pathways by which SGLT2i have cardiac benefit. Proteome screening will be conducted in patient serum samples using label-free LC MS/MS mass spectrometry and bioinformatics analysis which can identify over 2000 proteins in the blood. </w:t>
      </w:r>
      <w:r>
        <w:rPr>
          <w:iCs/>
          <w:sz w:val="24"/>
          <w:szCs w:val="24"/>
        </w:rPr>
        <w:t xml:space="preserve">ELISA based validation of proteins of interest will be performed. </w:t>
      </w:r>
    </w:p>
    <w:p w14:paraId="5D72DE66" w14:textId="77777777" w:rsidR="005028E5" w:rsidRPr="003B6BFD" w:rsidRDefault="005028E5" w:rsidP="005028E5">
      <w:pPr>
        <w:rPr>
          <w:b/>
          <w:bCs/>
          <w:iCs/>
          <w:sz w:val="24"/>
          <w:szCs w:val="24"/>
        </w:rPr>
      </w:pPr>
      <w:r w:rsidRPr="003B6BFD">
        <w:rPr>
          <w:b/>
          <w:bCs/>
          <w:iCs/>
          <w:sz w:val="24"/>
          <w:szCs w:val="24"/>
        </w:rPr>
        <w:t>2.8. Echocardiography data extraction and analysis</w:t>
      </w:r>
    </w:p>
    <w:p w14:paraId="1ACAD123" w14:textId="506E4DDD" w:rsidR="005028E5" w:rsidRPr="003B6BFD" w:rsidRDefault="005028E5" w:rsidP="005028E5">
      <w:pPr>
        <w:rPr>
          <w:iCs/>
          <w:sz w:val="24"/>
          <w:szCs w:val="24"/>
        </w:rPr>
      </w:pPr>
      <w:r w:rsidRPr="003B6BFD">
        <w:rPr>
          <w:iCs/>
          <w:sz w:val="24"/>
          <w:szCs w:val="24"/>
        </w:rPr>
        <w:t xml:space="preserve">Baseline and interval echocardiography will be extracted from standard of care imaging performed at baseline and at a minimum of 26-weeks following SGLT2i initiation. All echocardiographic images will be obtained by a </w:t>
      </w:r>
      <w:r w:rsidR="003B23C1">
        <w:rPr>
          <w:iCs/>
          <w:sz w:val="24"/>
          <w:szCs w:val="24"/>
        </w:rPr>
        <w:t>British Society Echocardiography (</w:t>
      </w:r>
      <w:r w:rsidRPr="003B6BFD">
        <w:rPr>
          <w:iCs/>
          <w:sz w:val="24"/>
          <w:szCs w:val="24"/>
        </w:rPr>
        <w:t>BSE</w:t>
      </w:r>
      <w:r w:rsidR="003B23C1">
        <w:rPr>
          <w:iCs/>
          <w:sz w:val="24"/>
          <w:szCs w:val="24"/>
        </w:rPr>
        <w:t>)</w:t>
      </w:r>
      <w:r w:rsidRPr="003B6BFD">
        <w:rPr>
          <w:iCs/>
          <w:sz w:val="24"/>
          <w:szCs w:val="24"/>
        </w:rPr>
        <w:t xml:space="preserve"> accredited operator </w:t>
      </w:r>
      <w:r>
        <w:rPr>
          <w:iCs/>
          <w:sz w:val="24"/>
          <w:szCs w:val="24"/>
        </w:rPr>
        <w:t xml:space="preserve">using a </w:t>
      </w:r>
      <w:r w:rsidR="00A47DBD">
        <w:rPr>
          <w:rFonts w:cs="Calibri"/>
          <w:iCs/>
          <w:sz w:val="24"/>
          <w:szCs w:val="24"/>
        </w:rPr>
        <w:t>Phillips EPIC™ CVX model echocardiography machine</w:t>
      </w:r>
      <w:r>
        <w:rPr>
          <w:iCs/>
          <w:sz w:val="24"/>
          <w:szCs w:val="24"/>
        </w:rPr>
        <w:t xml:space="preserve">. All datasets </w:t>
      </w:r>
      <w:r w:rsidRPr="003B6BFD">
        <w:rPr>
          <w:iCs/>
          <w:sz w:val="24"/>
          <w:szCs w:val="24"/>
        </w:rPr>
        <w:t xml:space="preserve">will include the full standard BSE dataset will averages of measurements taken on sequential cardiac cycles. </w:t>
      </w:r>
      <w:r w:rsidR="00A6257D" w:rsidRPr="00A6257D">
        <w:rPr>
          <w:iCs/>
          <w:sz w:val="24"/>
          <w:szCs w:val="24"/>
        </w:rPr>
        <w:t>Left ventricular internal diameter at end diastole (</w:t>
      </w:r>
      <w:r w:rsidR="00A6257D" w:rsidRPr="00497DC5">
        <w:rPr>
          <w:iCs/>
          <w:sz w:val="24"/>
          <w:szCs w:val="24"/>
        </w:rPr>
        <w:t>LVIDd</w:t>
      </w:r>
      <w:r w:rsidR="00A6257D" w:rsidRPr="00A6257D">
        <w:rPr>
          <w:iCs/>
          <w:sz w:val="24"/>
          <w:szCs w:val="24"/>
        </w:rPr>
        <w:t xml:space="preserve">) and end systole (LVIDs), interventricular septum diameter (IVSd) and </w:t>
      </w:r>
      <w:r w:rsidR="00A6257D" w:rsidRPr="00A6257D">
        <w:rPr>
          <w:iCs/>
          <w:sz w:val="24"/>
          <w:szCs w:val="24"/>
          <w:lang w:val="en-US"/>
        </w:rPr>
        <w:t>left ventricular posterior wall thickness in diastole (LVPWd)</w:t>
      </w:r>
      <w:r w:rsidR="00A6257D" w:rsidRPr="00A6257D">
        <w:rPr>
          <w:iCs/>
          <w:sz w:val="24"/>
          <w:szCs w:val="24"/>
        </w:rPr>
        <w:t xml:space="preserve"> </w:t>
      </w:r>
      <w:r w:rsidR="00A6257D" w:rsidRPr="00497DC5">
        <w:rPr>
          <w:iCs/>
          <w:sz w:val="24"/>
          <w:szCs w:val="24"/>
        </w:rPr>
        <w:t>measurements</w:t>
      </w:r>
      <w:r w:rsidRPr="003B6BFD">
        <w:rPr>
          <w:iCs/>
          <w:sz w:val="24"/>
          <w:szCs w:val="24"/>
        </w:rPr>
        <w:t xml:space="preserve"> will be obtained in the parasternal long axis (PSAX) views. Left atrial volume</w:t>
      </w:r>
      <w:r w:rsidR="00A6257D">
        <w:rPr>
          <w:iCs/>
          <w:sz w:val="24"/>
          <w:szCs w:val="24"/>
        </w:rPr>
        <w:t xml:space="preserve"> (LAV)</w:t>
      </w:r>
      <w:r w:rsidRPr="003B6BFD">
        <w:rPr>
          <w:iCs/>
          <w:sz w:val="24"/>
          <w:szCs w:val="24"/>
        </w:rPr>
        <w:t xml:space="preserve">, left ventricular volumes and LVEF will be calculated using biplane volumes and indexed to body surface area (BSA). Where image quality is sub-optimal for Simpson’s biplane assessment of LVEF, a visual estimate will be given. </w:t>
      </w:r>
    </w:p>
    <w:p w14:paraId="71C5FCA2" w14:textId="18234EAA" w:rsidR="005028E5" w:rsidRPr="003B6BFD" w:rsidRDefault="00B0047D" w:rsidP="005028E5">
      <w:pPr>
        <w:rPr>
          <w:iCs/>
          <w:sz w:val="24"/>
          <w:szCs w:val="24"/>
        </w:rPr>
      </w:pPr>
      <w:r w:rsidRPr="00B0047D">
        <w:rPr>
          <w:iCs/>
          <w:sz w:val="24"/>
          <w:szCs w:val="24"/>
        </w:rPr>
        <w:t>The maximum velocity of early filling (E-wave) during diastole (EVmax), ratio of early ventricular diastolic (E-wave) and atrial filling (A-wave), and deceleration time of the mitral E-wave (DT)</w:t>
      </w:r>
      <w:r>
        <w:rPr>
          <w:iCs/>
          <w:sz w:val="24"/>
          <w:szCs w:val="24"/>
        </w:rPr>
        <w:t xml:space="preserve"> will be measured </w:t>
      </w:r>
      <w:r w:rsidR="005028E5" w:rsidRPr="003B6BFD">
        <w:rPr>
          <w:iCs/>
          <w:sz w:val="24"/>
          <w:szCs w:val="24"/>
        </w:rPr>
        <w:t xml:space="preserve">in the apical four chamber view (A4C) using pulsed wave doppler at the level of the MV leaflet tips at end expiration. </w:t>
      </w:r>
      <w:r w:rsidR="00B55335">
        <w:rPr>
          <w:iCs/>
          <w:sz w:val="24"/>
          <w:szCs w:val="24"/>
        </w:rPr>
        <w:t xml:space="preserve">Additionally, </w:t>
      </w:r>
      <w:r w:rsidR="00B55335" w:rsidRPr="00B55335">
        <w:rPr>
          <w:iCs/>
          <w:sz w:val="24"/>
          <w:szCs w:val="24"/>
          <w:lang w:val="en-US"/>
        </w:rPr>
        <w:t xml:space="preserve">the velocity of early myocardial relaxation </w:t>
      </w:r>
      <w:r w:rsidR="00B55335" w:rsidRPr="00B55335">
        <w:rPr>
          <w:iCs/>
          <w:sz w:val="24"/>
          <w:szCs w:val="24"/>
        </w:rPr>
        <w:t>(</w:t>
      </w:r>
      <w:r w:rsidR="00B55335" w:rsidRPr="00497DC5">
        <w:rPr>
          <w:iCs/>
          <w:sz w:val="24"/>
          <w:szCs w:val="24"/>
        </w:rPr>
        <w:t>e′</w:t>
      </w:r>
      <w:r w:rsidR="00B55335" w:rsidRPr="00B55335">
        <w:rPr>
          <w:iCs/>
          <w:sz w:val="24"/>
          <w:szCs w:val="24"/>
        </w:rPr>
        <w:t>)</w:t>
      </w:r>
      <w:r w:rsidR="00B55335" w:rsidRPr="00497DC5">
        <w:rPr>
          <w:iCs/>
          <w:sz w:val="24"/>
          <w:szCs w:val="24"/>
        </w:rPr>
        <w:t>,</w:t>
      </w:r>
      <w:r w:rsidR="00B55335" w:rsidRPr="00B55335">
        <w:rPr>
          <w:iCs/>
          <w:sz w:val="24"/>
          <w:szCs w:val="24"/>
        </w:rPr>
        <w:t xml:space="preserve"> velocity of myocardial tissue during ventricular systole (s’) and </w:t>
      </w:r>
      <w:r w:rsidR="00B55335" w:rsidRPr="00B55335">
        <w:rPr>
          <w:iCs/>
          <w:sz w:val="24"/>
          <w:szCs w:val="24"/>
          <w:lang w:val="en-US"/>
        </w:rPr>
        <w:t xml:space="preserve">E to early diastolic mitral annular tissue velocity </w:t>
      </w:r>
      <w:r w:rsidR="00B55335" w:rsidRPr="00B55335">
        <w:rPr>
          <w:iCs/>
          <w:sz w:val="24"/>
          <w:szCs w:val="24"/>
        </w:rPr>
        <w:t>(</w:t>
      </w:r>
      <w:r w:rsidR="00B55335" w:rsidRPr="00497DC5">
        <w:rPr>
          <w:iCs/>
          <w:sz w:val="24"/>
          <w:szCs w:val="24"/>
        </w:rPr>
        <w:t>E/e′</w:t>
      </w:r>
      <w:r w:rsidR="00B55335" w:rsidRPr="00B55335">
        <w:rPr>
          <w:iCs/>
          <w:sz w:val="24"/>
          <w:szCs w:val="24"/>
        </w:rPr>
        <w:t>)</w:t>
      </w:r>
      <w:r w:rsidR="00B55335" w:rsidRPr="00497DC5">
        <w:rPr>
          <w:iCs/>
          <w:sz w:val="24"/>
          <w:szCs w:val="24"/>
        </w:rPr>
        <w:t xml:space="preserve"> will be measured</w:t>
      </w:r>
      <w:r w:rsidR="005028E5" w:rsidRPr="003B6BFD">
        <w:rPr>
          <w:iCs/>
          <w:sz w:val="24"/>
          <w:szCs w:val="24"/>
        </w:rPr>
        <w:t xml:space="preserve"> in the A4C view using tissue doppler imaging. Global Two-dimensional speckle tracking will be performed in the two, three and four chamber views to obtain values for global longitudinal strain</w:t>
      </w:r>
      <w:r w:rsidR="00B55335">
        <w:rPr>
          <w:iCs/>
          <w:sz w:val="24"/>
          <w:szCs w:val="24"/>
        </w:rPr>
        <w:t xml:space="preserve"> (GLS)</w:t>
      </w:r>
      <w:r w:rsidR="005028E5" w:rsidRPr="003B6BFD">
        <w:rPr>
          <w:iCs/>
          <w:sz w:val="24"/>
          <w:szCs w:val="24"/>
        </w:rPr>
        <w:t xml:space="preserve">. The endocardial border will be traced </w:t>
      </w:r>
      <w:r w:rsidR="005028E5" w:rsidRPr="003B6BFD">
        <w:rPr>
          <w:iCs/>
          <w:sz w:val="24"/>
          <w:szCs w:val="24"/>
        </w:rPr>
        <w:lastRenderedPageBreak/>
        <w:t xml:space="preserve">automatically along the region of interest at end systole and adjusted as appropriate. Peak GLS will be calculated as an average of the peak strain from the three projections. In the case of sub-optimal image quality, the data will be excluded from the final analysis. </w:t>
      </w:r>
    </w:p>
    <w:p w14:paraId="5379D9A6" w14:textId="77777777" w:rsidR="005028E5" w:rsidRPr="003B6BFD" w:rsidRDefault="005028E5" w:rsidP="005028E5">
      <w:pPr>
        <w:rPr>
          <w:b/>
          <w:bCs/>
          <w:iCs/>
          <w:sz w:val="24"/>
          <w:szCs w:val="24"/>
        </w:rPr>
      </w:pPr>
      <w:r w:rsidRPr="003B6BFD">
        <w:rPr>
          <w:b/>
          <w:bCs/>
          <w:iCs/>
          <w:sz w:val="24"/>
          <w:szCs w:val="24"/>
        </w:rPr>
        <w:t>2.</w:t>
      </w:r>
      <w:r>
        <w:rPr>
          <w:b/>
          <w:bCs/>
          <w:iCs/>
          <w:sz w:val="24"/>
          <w:szCs w:val="24"/>
        </w:rPr>
        <w:t>9</w:t>
      </w:r>
      <w:r w:rsidRPr="003B6BFD">
        <w:rPr>
          <w:b/>
          <w:bCs/>
          <w:iCs/>
          <w:sz w:val="24"/>
          <w:szCs w:val="24"/>
        </w:rPr>
        <w:t>. Statistical analysis</w:t>
      </w:r>
    </w:p>
    <w:p w14:paraId="049F8675" w14:textId="6A650699" w:rsidR="005028E5" w:rsidRPr="003B6BFD" w:rsidRDefault="005028E5" w:rsidP="005028E5">
      <w:pPr>
        <w:rPr>
          <w:iCs/>
          <w:sz w:val="24"/>
          <w:szCs w:val="24"/>
        </w:rPr>
      </w:pPr>
      <w:r w:rsidRPr="003B6BFD">
        <w:rPr>
          <w:iCs/>
          <w:sz w:val="24"/>
          <w:szCs w:val="24"/>
        </w:rPr>
        <w:t>Statistical analysis will be performed using IBM SPSS Statistics software (version 2</w:t>
      </w:r>
      <w:r w:rsidR="007D3951">
        <w:rPr>
          <w:iCs/>
          <w:sz w:val="24"/>
          <w:szCs w:val="24"/>
        </w:rPr>
        <w:t>8.0</w:t>
      </w:r>
      <w:r w:rsidRPr="003B6BFD">
        <w:rPr>
          <w:iCs/>
          <w:sz w:val="24"/>
          <w:szCs w:val="24"/>
        </w:rPr>
        <w:t>)</w:t>
      </w:r>
      <w:r w:rsidR="007D3951">
        <w:rPr>
          <w:iCs/>
          <w:sz w:val="24"/>
          <w:szCs w:val="24"/>
        </w:rPr>
        <w:t xml:space="preserve">. </w:t>
      </w:r>
      <w:r w:rsidRPr="003B6BFD">
        <w:rPr>
          <w:iCs/>
          <w:sz w:val="24"/>
          <w:szCs w:val="24"/>
        </w:rPr>
        <w:t xml:space="preserve">Changes in continuous clinical variables and biomarker levels between baseline and follow up will be evaluated using paired t-tests.  Linear regression correlations (Pearson) will be performed to assess relationships between novel </w:t>
      </w:r>
      <w:r w:rsidR="00DE3D07">
        <w:rPr>
          <w:iCs/>
          <w:sz w:val="24"/>
          <w:szCs w:val="24"/>
        </w:rPr>
        <w:t xml:space="preserve">and standard of care </w:t>
      </w:r>
      <w:r w:rsidRPr="003B6BFD">
        <w:rPr>
          <w:iCs/>
          <w:sz w:val="24"/>
          <w:szCs w:val="24"/>
        </w:rPr>
        <w:t xml:space="preserve">biomarkers </w:t>
      </w:r>
      <w:r w:rsidR="00DE3D07">
        <w:rPr>
          <w:iCs/>
          <w:sz w:val="24"/>
          <w:szCs w:val="24"/>
        </w:rPr>
        <w:t>in addition to ech</w:t>
      </w:r>
      <w:r w:rsidR="007D7C0A">
        <w:rPr>
          <w:iCs/>
          <w:sz w:val="24"/>
          <w:szCs w:val="24"/>
        </w:rPr>
        <w:t xml:space="preserve">ocardiographic data. </w:t>
      </w:r>
      <w:r w:rsidRPr="003B6BFD">
        <w:rPr>
          <w:iCs/>
          <w:sz w:val="24"/>
          <w:szCs w:val="24"/>
        </w:rPr>
        <w:t xml:space="preserve">Differences in qualitative variables will be evaluated using Chi-squared analysis. </w:t>
      </w:r>
      <w:r w:rsidR="00444F51">
        <w:rPr>
          <w:iCs/>
          <w:sz w:val="24"/>
          <w:szCs w:val="24"/>
        </w:rPr>
        <w:t>Non</w:t>
      </w:r>
      <w:r w:rsidRPr="003B6BFD">
        <w:rPr>
          <w:iCs/>
          <w:sz w:val="24"/>
          <w:szCs w:val="24"/>
        </w:rPr>
        <w:t xml:space="preserve">-parametric methods will be utilised for </w:t>
      </w:r>
      <w:r w:rsidR="00444F51">
        <w:rPr>
          <w:iCs/>
          <w:sz w:val="24"/>
          <w:szCs w:val="24"/>
        </w:rPr>
        <w:t xml:space="preserve">non-normally distributed variables as appropriate. </w:t>
      </w:r>
      <w:r w:rsidRPr="003B6BFD">
        <w:rPr>
          <w:iCs/>
          <w:sz w:val="24"/>
          <w:szCs w:val="24"/>
        </w:rPr>
        <w:t xml:space="preserve"> </w:t>
      </w:r>
    </w:p>
    <w:p w14:paraId="76F5DF1D" w14:textId="77777777" w:rsidR="005028E5" w:rsidRPr="003B6BFD" w:rsidRDefault="005028E5" w:rsidP="005028E5">
      <w:pPr>
        <w:rPr>
          <w:b/>
          <w:bCs/>
          <w:iCs/>
          <w:sz w:val="24"/>
          <w:szCs w:val="24"/>
        </w:rPr>
      </w:pPr>
      <w:r w:rsidRPr="003B6BFD">
        <w:rPr>
          <w:b/>
          <w:bCs/>
          <w:iCs/>
          <w:sz w:val="24"/>
          <w:szCs w:val="24"/>
        </w:rPr>
        <w:t>3.0</w:t>
      </w:r>
      <w:r>
        <w:rPr>
          <w:b/>
          <w:bCs/>
          <w:iCs/>
          <w:sz w:val="24"/>
          <w:szCs w:val="24"/>
        </w:rPr>
        <w:t>.</w:t>
      </w:r>
      <w:r w:rsidRPr="003B6BFD">
        <w:rPr>
          <w:b/>
          <w:bCs/>
          <w:iCs/>
          <w:sz w:val="24"/>
          <w:szCs w:val="24"/>
        </w:rPr>
        <w:t xml:space="preserve"> Power calculations &amp; sample size</w:t>
      </w:r>
    </w:p>
    <w:p w14:paraId="517D469B" w14:textId="77777777" w:rsidR="005028E5" w:rsidRPr="003B6BFD" w:rsidRDefault="005028E5" w:rsidP="005028E5">
      <w:pPr>
        <w:rPr>
          <w:iCs/>
          <w:sz w:val="24"/>
          <w:szCs w:val="24"/>
        </w:rPr>
      </w:pPr>
      <w:r w:rsidRPr="003B6BFD">
        <w:rPr>
          <w:iCs/>
          <w:sz w:val="24"/>
          <w:szCs w:val="24"/>
        </w:rPr>
        <w:t xml:space="preserve">For the primary objective exploring changes in novel cardiac biomarkers following SGLT2 inhibitor initiation, several proteins of interest were identified from in vivo studies. This analysis has been powered based on previously reported changes in IL-6 levels following treatment with empagliflozin (PMID:37445493) </w:t>
      </w:r>
      <w:r w:rsidRPr="003B6BFD">
        <w:rPr>
          <w:iCs/>
          <w:sz w:val="24"/>
          <w:szCs w:val="24"/>
        </w:rPr>
        <w:fldChar w:fldCharType="begin"/>
      </w:r>
      <w:r w:rsidRPr="003B6BFD">
        <w:rPr>
          <w:iCs/>
          <w:sz w:val="24"/>
          <w:szCs w:val="24"/>
        </w:rPr>
        <w:instrText xml:space="preserve"> ADDIN ZOTERO_ITEM CSL_CITATION {"citationID":"AxQwBLKU","properties":{"formattedCitation":"(20)","plainCitation":"(20)","noteIndex":0},"citationItems":[{"id":583,"uris":["http://zotero.org/users/12333076/items/6V3IXD7H"],"itemData":{"id":583,"type":"article-journal","abstract":"Background: The inhibition of sodium-glucose co-transporter 2 (SGLT-2) has been shown to be beneficial in the treatment of diabetic and non-diabetic patients with heart failure. The underlying mechanisms are incompletely understood. The present prospective study investigates for the first time the effect of empagliflozin on various soluble markers of inflammation in patients with reduced ejection fraction (HFrEF). Methods: We included 50 inpatients with HFrEF and diabetes mellitus type 2. A total of 25 patients received a therapy with the SGLT-2-inhibitor empagliflozin in addition to standard medication; the other 25 patients did not receive empagliflozin and were considered the control group. Quality of life, functional status and soluble immunological parameters in serum were assessed at baseline and after 3 months. Results: The baseline characteristics of both groups revealed no significant differences. Patients on empagliflozin demonstrated a significant improvement in the Minnesota living with heart failure questionnaire (baseline 44.2 ± 20.2 vs. 24 ± 17.7; p &lt; 0.001), in distance in the 6-min walk test (baseline 343 ± 145 m vs. 450 ± 115 m; p &lt; 0.001) and in soluble interleukin-6 level (baseline 21.7 ± 21.8 pg/mL vs. 13.7 ± 15.8 pg/mL; p = 0.008). There was no significant change of these or other parameters in the control group (p &gt; 0.05 each). Conclusions: The empagliflozin-induced improvement of quality of life and functional capacity in patients with HFrEF and type 2 diabetes mellitus is accompanied by a substantial reduction of interleukin-6 levels. Thus, anti-inflammatory effects may contribute to the benefits of SGLT-2-inhibitors in heart failure.","container-title":"Journal of Clinical Medicine","DOI":"10.3390/jcm12134458","ISSN":"2077-0383","issue":"13","journalAbbreviation":"J Clin Med","language":"eng","note":"PMID: 37445494\nPMCID: PMC10342830","page":"4458","source":"PubMed","title":"Empagliflozin Reduces Interleukin-6 Levels in Patients with Heart Failure","volume":"12","author":[{"family":"Gotzmann","given":"Michael"},{"family":"Henk","given":"Pauline"},{"family":"Stervbo","given":"Ulrik"},{"family":"Blázquez-Navarro","given":"Arturo"},{"family":"Mügge","given":"Andreas"},{"family":"Babel","given":"Nina"},{"family":"Westhoff","given":"Timm H."}],"issued":{"date-parts":[["2023",7,3]]}},"label":"page"}],"schema":"https://github.com/citation-style-language/schema/raw/master/csl-citation.json"} </w:instrText>
      </w:r>
      <w:r w:rsidRPr="003B6BFD">
        <w:rPr>
          <w:iCs/>
          <w:sz w:val="24"/>
          <w:szCs w:val="24"/>
        </w:rPr>
        <w:fldChar w:fldCharType="separate"/>
      </w:r>
      <w:r w:rsidRPr="003B6BFD">
        <w:rPr>
          <w:sz w:val="24"/>
          <w:szCs w:val="24"/>
        </w:rPr>
        <w:t>(20)</w:t>
      </w:r>
      <w:r w:rsidRPr="003B6BFD">
        <w:rPr>
          <w:sz w:val="24"/>
          <w:szCs w:val="24"/>
        </w:rPr>
        <w:fldChar w:fldCharType="end"/>
      </w:r>
      <w:r w:rsidRPr="003B6BFD">
        <w:rPr>
          <w:iCs/>
          <w:sz w:val="24"/>
          <w:szCs w:val="24"/>
        </w:rPr>
        <w:t xml:space="preserve">. To achieve a power of 80% (α=0.05), a minimum sample size of 38 will be required, to account for dropout of 10%, a sample size of 42 will be required.   No clinical data in a heart failure population treated with SGLT2 inhibitors for the remaining biomarkers are currently available Therefore sample size calculation was based on known differences in baseline levels of biomarkers of interest in HF populations; namely Sst2 (PMID: 37176577) and IL4 (PMID: 17663863). A minimum sample size of 30 patients will be required to detect meaningful changes in these proteins with a power of 80% (α=0.05) </w:t>
      </w:r>
      <w:r w:rsidRPr="003B6BFD">
        <w:rPr>
          <w:iCs/>
          <w:sz w:val="24"/>
          <w:szCs w:val="24"/>
        </w:rPr>
        <w:fldChar w:fldCharType="begin"/>
      </w:r>
      <w:r w:rsidRPr="003B6BFD">
        <w:rPr>
          <w:iCs/>
          <w:sz w:val="24"/>
          <w:szCs w:val="24"/>
        </w:rPr>
        <w:instrText xml:space="preserve"> ADDIN ZOTERO_ITEM CSL_CITATION {"citationID":"c23g4K3M","properties":{"formattedCitation":"(21,22)","plainCitation":"(21,22)","noteIndex":0},"citationItems":[{"id":504,"uris":["http://zotero.org/users/12333076/items/HII3R2XG"],"itemData":{"id":504,"type":"article-journal","abstract":"New parameters and markers are constantly being sought to help better assess patients with heart failure (HF). ST2 protein has gained interest as a potential biomarker in cardiovascular disease. It is known that the IL-33/ST2L system belongs to the cardioprotective pathway, which prevents the fibrosis, hypertrophy, and apoptosis of cardiomyocytes and also inhibits the inflammatory response. Soluble ST2 (sST2) is involved in the immune response and secreted in response to the mechanical overload of the myocardium, thus providing information on the processes of myocardial remodeling and fibrosis. A total of 110 hospitalized patients diagnosed with heart failure with reduced ejection fraction (HFrEF) were included in the study. Clinical and biochemical parameters were studied. During the follow-up, 30.9% patients died and 57.3% patients reached the composite endpoint. Using ROC curves, the reference cut-off point for sST2 was determined to be 45.818 pg/mL for all-cause deaths. Significantly higher concentrations of inflammatory parameters and natriuretic peptides were found in the group of patients with higher sST2 concentrations. sST2 protein is an independent risk factor for all-cause deaths of patients with HFrEF.","container-title":"Journal of Clinical Medicine","DOI":"10.3390/jcm12093136","ISSN":"2077-0383","issue":"9","journalAbbreviation":"J Clin Med","note":"PMID: 37176577\nPMCID: PMC10179304","page":"3136","source":"PubMed Central","title":"sST2 and Heart Failure—Clinical Utility and Prognosis","volume":"12","author":[{"family":"Dudek","given":"Magdalena"},{"family":"Kałużna-Oleksy","given":"Marta"},{"family":"Migaj","given":"Jacek"},{"family":"Sawczak","given":"Filip"},{"family":"Krysztofiak","given":"Helena"},{"family":"Lesiak","given":"Maciej"},{"family":"Straburzyńska-Migaj","given":"Ewa"}],"issued":{"date-parts":[["2023",4,26]]}}},{"id":506,"uris":["http://zotero.org/users/12333076/items/LRAB3XZL"],"itemData":{"id":506,"type":"article-journal","abstract":"Interleukin-4 (IL-4) stimulates inflammatory responses, activates collagen synthesis, promotes fibrosis progression, and inhibits the production of inflammatory cytokines. We studied the relationship between the urinary IL-4 level and levels of markers of cardiac fibrosis and left ventricular volume in 98 patients with heart failure (HF). The left ventricular end-systolic volume index (LVESVI) and left ventricular end-diastolic volume index (LVEDVI) were calculated, and IL-4, tumor necrosis factor-alpha (TNF-alpha), IL-6, and aminoterminal propeptide of procollagen type III (PIIINP) levels were recorded. Comparison of urinary IL-4 and PIIINP levels in patients and control subjects gave values of 12 (12) pg/mL and 4 (3) pg/mL (P&lt;.0001), respectively, and 5 (2) ng/mL and 4 (1) ng/mL (P&lt;.0001), respectively. The IL-4 level correlated with LVESVI and LVEDVI (r = -0.22, P&lt;.05), and with PIIINP (r = 0.24, P&lt;.05). In patients with hypertensive cardiomyopathy, there was a good correlation between IL-4 and PIIINP levels (r = 0.7, P&lt;.01). Correlations were also observed between IL-4 and TNF-alpha (r = 0.3, P&lt;.01) and IL-6 (r = 0.5, P&lt;.0001). The urinary IL-4 level correlated with cardiac fibrosis and remodeling in patients with HF. The relationship was stronger in those with hypertensive cardiomyopathy.","container-title":"Revista Espanola De Cardiologia","ISSN":"1579-2242","issue":"7","journalAbbreviation":"Rev Esp Cardiol","language":"spa","note":"PMID: 17663863","page":"777-780","source":"PubMed","title":"[Interleukin-4 and cardiac fibrosis in patients with heart failure]","volume":"60","author":[{"family":"Roselló-Lletí","given":"Esther"},{"family":"Rivera","given":"Miguel"},{"family":"Bertomeu","given":"Vicente"},{"family":"Cortés","given":"Raquel"},{"family":"Jordán","given":"Alejandro"},{"family":"González-Molina","given":"Andrés"}],"issued":{"date-parts":[["2007",7]]}}}],"schema":"https://github.com/citation-style-language/schema/raw/master/csl-citation.json"} </w:instrText>
      </w:r>
      <w:r w:rsidRPr="003B6BFD">
        <w:rPr>
          <w:iCs/>
          <w:sz w:val="24"/>
          <w:szCs w:val="24"/>
        </w:rPr>
        <w:fldChar w:fldCharType="separate"/>
      </w:r>
      <w:r w:rsidRPr="003B6BFD">
        <w:rPr>
          <w:sz w:val="24"/>
          <w:szCs w:val="24"/>
        </w:rPr>
        <w:t>(21,22)</w:t>
      </w:r>
      <w:r w:rsidRPr="003B6BFD">
        <w:rPr>
          <w:sz w:val="24"/>
          <w:szCs w:val="24"/>
        </w:rPr>
        <w:fldChar w:fldCharType="end"/>
      </w:r>
      <w:r w:rsidRPr="003B6BFD">
        <w:rPr>
          <w:iCs/>
          <w:sz w:val="24"/>
          <w:szCs w:val="24"/>
        </w:rPr>
        <w:t xml:space="preserve">. Accounting for a potential 10% dropout rate, a minimum of 33 patients will be needed. </w:t>
      </w:r>
    </w:p>
    <w:p w14:paraId="4E0A97E0" w14:textId="391E69A1" w:rsidR="005028E5" w:rsidRPr="003B6BFD" w:rsidRDefault="005028E5" w:rsidP="005028E5">
      <w:pPr>
        <w:rPr>
          <w:iCs/>
          <w:sz w:val="24"/>
          <w:szCs w:val="24"/>
        </w:rPr>
      </w:pPr>
      <w:r w:rsidRPr="003B6BFD">
        <w:rPr>
          <w:iCs/>
          <w:sz w:val="24"/>
          <w:szCs w:val="24"/>
        </w:rPr>
        <w:t xml:space="preserve">A secondary analysis of this study is to evaluate changes in </w:t>
      </w:r>
      <w:r w:rsidR="0093692B">
        <w:rPr>
          <w:iCs/>
          <w:sz w:val="24"/>
          <w:szCs w:val="24"/>
        </w:rPr>
        <w:t>left ventricular (</w:t>
      </w:r>
      <w:r w:rsidRPr="003B6BFD">
        <w:rPr>
          <w:iCs/>
          <w:sz w:val="24"/>
          <w:szCs w:val="24"/>
        </w:rPr>
        <w:t>LV</w:t>
      </w:r>
      <w:r w:rsidR="0093692B">
        <w:rPr>
          <w:iCs/>
          <w:sz w:val="24"/>
          <w:szCs w:val="24"/>
        </w:rPr>
        <w:t>)</w:t>
      </w:r>
      <w:r w:rsidRPr="003B6BFD">
        <w:rPr>
          <w:iCs/>
          <w:sz w:val="24"/>
          <w:szCs w:val="24"/>
        </w:rPr>
        <w:t xml:space="preserve"> structure and function following SGLT2 inhibition and its correlation with changes in novel cardiac biomarkers. This analysis has been powered based on previously reported changes in global longitudinal strain in HF patients treated with SGLT2 inhibition for 3 months (PMID: 37155137) </w:t>
      </w:r>
      <w:r w:rsidRPr="003B6BFD">
        <w:rPr>
          <w:iCs/>
          <w:sz w:val="24"/>
          <w:szCs w:val="24"/>
        </w:rPr>
        <w:fldChar w:fldCharType="begin"/>
      </w:r>
      <w:r w:rsidRPr="003B6BFD">
        <w:rPr>
          <w:iCs/>
          <w:sz w:val="24"/>
          <w:szCs w:val="24"/>
        </w:rPr>
        <w:instrText xml:space="preserve"> ADDIN ZOTERO_ITEM CSL_CITATION {"citationID":"UTfaEGps","properties":{"formattedCitation":"(23)","plainCitation":"(23)","noteIndex":0},"citationItems":[{"id":589,"uris":["http://zotero.org/users/12333076/items/8LHX7WZG"],"itemData":{"id":589,"type":"article-journal","abstract":"Not much is known about the effects of sodium-glucose cotransporter 2 inhibitors (SGLT2i) on echocardiographic parameters of left ventricular (LV) systolic function in patients with heart failure and reduced ejection fraction (HFrEF).We prospectively included 59 outpatients with HFrEF: 41 patients received SGLT2i with OMT (SGLT2i+ group), whereas eighteen patients received OMT without SGLT2i (SGLT2i- group). Myocardial work index (MWI), 3D ejection fraction (3D LVEF), and global longitudinal strain (GLS) were measured at baseline and after 3 months following treatment. At 3-month follow-up, the SGLT2i+ group showed significantly greater improvement in MWI than the SGLT2i- group. In both groups, there was a significant improvement in 3D LVEF and LV GLS, circulating NT-proBNP levels, and NYHA functional class, with significantly greater improvement in the SGLT2i+ group.In conclusion, the addition of SGLT2i to fully optimized background medical therapy resulted in a greater improvement of LV systolic function among outpatients with HFrEF.","container-title":"Journal of Cardiovascular Translational Research","DOI":"10.1007/s12265-023-10389-3","ISSN":"1937-5395","issue":"5","journalAbbreviation":"J Cardiovasc Transl Res","language":"eng","note":"PMID: 37155137\nPMCID: PMC10166024","page":"987-998","source":"PubMed","title":"Left Ventricular Systolic Function After 3 Months of SGLT2 Inhibitor Therapy in Heart Failure Patients with Reduced Ejection Fraction","volume":"16","author":[{"family":"Mustapic","given":"Ivona"},{"family":"Bakovic","given":"Darija"},{"family":"Susilovic-Grabovac","given":"Zora"},{"family":"Borovac","given":"Josip Andjelo"}],"issued":{"date-parts":[["2023",10]]}}}],"schema":"https://github.com/citation-style-language/schema/raw/master/csl-citation.json"} </w:instrText>
      </w:r>
      <w:r w:rsidRPr="003B6BFD">
        <w:rPr>
          <w:iCs/>
          <w:sz w:val="24"/>
          <w:szCs w:val="24"/>
        </w:rPr>
        <w:fldChar w:fldCharType="separate"/>
      </w:r>
      <w:r w:rsidRPr="003B6BFD">
        <w:rPr>
          <w:sz w:val="24"/>
          <w:szCs w:val="24"/>
        </w:rPr>
        <w:t>(23)</w:t>
      </w:r>
      <w:r w:rsidRPr="003B6BFD">
        <w:rPr>
          <w:sz w:val="24"/>
          <w:szCs w:val="24"/>
        </w:rPr>
        <w:fldChar w:fldCharType="end"/>
      </w:r>
      <w:r w:rsidRPr="003B6BFD">
        <w:rPr>
          <w:iCs/>
          <w:sz w:val="24"/>
          <w:szCs w:val="24"/>
        </w:rPr>
        <w:t>. A minimum sample size of 19 patients will be required to detect a meaningful change in global longitudinal strain with a power of 99% (α=0.05). To compensate for the potential 10% drop-out rate, a minimum of 22 patients will be recruited. Power calculations were performed using the ‘</w:t>
      </w:r>
      <w:proofErr w:type="spellStart"/>
      <w:r w:rsidRPr="003B6BFD">
        <w:rPr>
          <w:iCs/>
          <w:sz w:val="24"/>
          <w:szCs w:val="24"/>
        </w:rPr>
        <w:t>power.t.test</w:t>
      </w:r>
      <w:proofErr w:type="spellEnd"/>
      <w:r w:rsidRPr="003B6BFD">
        <w:rPr>
          <w:iCs/>
          <w:sz w:val="24"/>
          <w:szCs w:val="24"/>
        </w:rPr>
        <w:t xml:space="preserve">’ function for paired analyses in R. </w:t>
      </w:r>
    </w:p>
    <w:p w14:paraId="077157FA" w14:textId="77777777" w:rsidR="005028E5" w:rsidRDefault="005028E5" w:rsidP="005028E5">
      <w:pPr>
        <w:rPr>
          <w:sz w:val="24"/>
          <w:szCs w:val="24"/>
        </w:rPr>
      </w:pPr>
    </w:p>
    <w:p w14:paraId="2248BF01" w14:textId="77777777" w:rsidR="005028E5" w:rsidRDefault="005028E5" w:rsidP="005028E5">
      <w:pPr>
        <w:rPr>
          <w:sz w:val="24"/>
          <w:szCs w:val="24"/>
        </w:rPr>
      </w:pPr>
    </w:p>
    <w:p w14:paraId="5BD45125" w14:textId="77777777" w:rsidR="005028E5" w:rsidRDefault="005028E5" w:rsidP="005028E5">
      <w:pPr>
        <w:rPr>
          <w:sz w:val="24"/>
          <w:szCs w:val="24"/>
        </w:rPr>
      </w:pPr>
    </w:p>
    <w:p w14:paraId="7B39D2BA" w14:textId="77777777" w:rsidR="005028E5" w:rsidRDefault="005028E5" w:rsidP="005028E5">
      <w:pPr>
        <w:rPr>
          <w:sz w:val="24"/>
          <w:szCs w:val="24"/>
        </w:rPr>
      </w:pPr>
    </w:p>
    <w:p w14:paraId="606EAE26" w14:textId="77777777" w:rsidR="00A07FAF" w:rsidRDefault="00A07FAF" w:rsidP="005028E5">
      <w:pPr>
        <w:pBdr>
          <w:bottom w:val="single" w:sz="4" w:space="1" w:color="auto"/>
        </w:pBdr>
        <w:rPr>
          <w:sz w:val="24"/>
          <w:szCs w:val="24"/>
        </w:rPr>
      </w:pPr>
    </w:p>
    <w:p w14:paraId="3483E268" w14:textId="3A04AD07" w:rsidR="005028E5" w:rsidRPr="003B6BFD" w:rsidRDefault="005028E5" w:rsidP="005028E5">
      <w:pPr>
        <w:pBdr>
          <w:bottom w:val="single" w:sz="4" w:space="1" w:color="auto"/>
        </w:pBdr>
        <w:rPr>
          <w:b/>
          <w:bCs/>
          <w:sz w:val="24"/>
          <w:szCs w:val="24"/>
        </w:rPr>
      </w:pPr>
      <w:r w:rsidRPr="003B6BFD">
        <w:rPr>
          <w:b/>
          <w:bCs/>
          <w:sz w:val="24"/>
          <w:szCs w:val="24"/>
        </w:rPr>
        <w:lastRenderedPageBreak/>
        <w:t>3.0. DISCUSSION</w:t>
      </w:r>
    </w:p>
    <w:p w14:paraId="42918A38" w14:textId="77777777" w:rsidR="005028E5" w:rsidRPr="003B6BFD" w:rsidRDefault="005028E5" w:rsidP="005028E5">
      <w:pPr>
        <w:rPr>
          <w:iCs/>
          <w:sz w:val="24"/>
          <w:szCs w:val="24"/>
        </w:rPr>
      </w:pPr>
      <w:r w:rsidRPr="003B6BFD">
        <w:rPr>
          <w:sz w:val="24"/>
          <w:szCs w:val="24"/>
        </w:rPr>
        <w:t xml:space="preserve">The primary aims of this study are to </w:t>
      </w:r>
      <w:r w:rsidRPr="003B6BFD">
        <w:rPr>
          <w:iCs/>
          <w:sz w:val="24"/>
          <w:szCs w:val="24"/>
        </w:rPr>
        <w:t>evaluate whether SGLT2 inhibition in patients with heart failure effects changes in novel cardiac biomarkers. This is an exploratory evaluation of novel cardiac pathways which may serve to establish</w:t>
      </w:r>
      <w:r>
        <w:rPr>
          <w:iCs/>
          <w:sz w:val="24"/>
          <w:szCs w:val="24"/>
        </w:rPr>
        <w:t xml:space="preserve"> </w:t>
      </w:r>
      <w:r w:rsidRPr="003B6BFD">
        <w:rPr>
          <w:iCs/>
          <w:sz w:val="24"/>
          <w:szCs w:val="24"/>
        </w:rPr>
        <w:t xml:space="preserve">unknown, therapeutic mechanisms of action of SGLT2 inhibition in heart failure. Secondary aims include evaluation of changes in standard of care biomarkers following SGLT2 inhibition and changes in markers of cardiac remodelling as identified on echocardiography. Further exploratory analysis will seek to correlate changes in quantitative and qualitative heart failure outcomes with changes in both novel and standard of care cardiac biomarkers. </w:t>
      </w:r>
    </w:p>
    <w:p w14:paraId="64706966" w14:textId="30637105" w:rsidR="005028E5" w:rsidRPr="003B6BFD" w:rsidRDefault="005028E5" w:rsidP="005028E5">
      <w:pPr>
        <w:rPr>
          <w:iCs/>
          <w:sz w:val="24"/>
          <w:szCs w:val="24"/>
        </w:rPr>
      </w:pPr>
      <w:r w:rsidRPr="003B6BFD">
        <w:rPr>
          <w:iCs/>
          <w:sz w:val="24"/>
          <w:szCs w:val="24"/>
        </w:rPr>
        <w:t xml:space="preserve">The use of standard of care cardiac biomarkers has been well established in clinical practice </w:t>
      </w:r>
      <w:r w:rsidRPr="003B6BFD">
        <w:rPr>
          <w:iCs/>
          <w:sz w:val="24"/>
          <w:szCs w:val="24"/>
        </w:rPr>
        <w:fldChar w:fldCharType="begin"/>
      </w:r>
      <w:r w:rsidRPr="003B6BFD">
        <w:rPr>
          <w:iCs/>
          <w:sz w:val="24"/>
          <w:szCs w:val="24"/>
        </w:rPr>
        <w:instrText xml:space="preserve"> ADDIN ZOTERO_ITEM CSL_CITATION {"citationID":"9LKzb9Du","properties":{"formattedCitation":"(16)","plainCitation":"(16)","noteIndex":0},"citationItems":[{"id":55,"uris":["http://zotero.org/users/12333076/items/X4YVBIJQ"],"itemData":{"id":55,"type":"article-journal","container-title":"European Heart Journal","DOI":"10.1093/eurheartj/ehab368","ISSN":"1522-9645","issue":"36","journalAbbreviation":"Eur Heart J","language":"eng","note":"PMID: 34447992","page":"3599-3726","source":"PubMed","title":"2021 ESC Guidelines for the diagnosis and treatment of acute and chronic heart failure","volume":"42","author":[{"family":"McDonagh","given":"Theresa A."},{"family":"Metra","given":"Marco"},{"family":"Adamo","given":"Marianna"},{"family":"Gardner","given":"Roy S."},{"family":"Baumbach","given":"Andreas"},{"family":"Böhm","given":"Michael"},{"family":"Burri","given":"Haran"},{"family":"Butler","given":"Javed"},{"family":"Čelutkienė","given":"Jelena"},{"family":"Chioncel","given":"Ovidiu"},{"family":"Cleland","given":"John G. F."},{"family":"Coats","given":"Andrew J. S."},{"family":"Crespo-Leiro","given":"Maria G."},{"family":"Farmakis","given":"Dimitrios"},{"family":"Gilard","given":"Martine"},{"family":"Heymans","given":"Stephane"},{"family":"Hoes","given":"Arno W."},{"family":"Jaarsma","given":"Tiny"},{"family":"Jankowska","given":"Ewa A."},{"family":"Lainscak","given":"Mitja"},{"family":"Lam","given":"Carolyn S. P."},{"family":"Lyon","given":"Alexander R."},{"family":"McMurray","given":"John J. V."},{"family":"Mebazaa","given":"Alexandre"},{"family":"Mindham","given":"Richard"},{"family":"Muneretto","given":"Claudio"},{"family":"Francesco Piepoli","given":"Massimo"},{"family":"Price","given":"Susanna"},{"family":"Rosano","given":"Giuseppe M. C."},{"family":"Ruschitzka","given":"Frank"},{"family":"Kathrine Skibelund","given":"Anne"},{"literal":"ESC Scientific Document Group"}],"issued":{"date-parts":[["2021",9,21]]}}}],"schema":"https://github.com/citation-style-language/schema/raw/master/csl-citation.json"} </w:instrText>
      </w:r>
      <w:r w:rsidRPr="003B6BFD">
        <w:rPr>
          <w:iCs/>
          <w:sz w:val="24"/>
          <w:szCs w:val="24"/>
        </w:rPr>
        <w:fldChar w:fldCharType="separate"/>
      </w:r>
      <w:r w:rsidRPr="003B6BFD">
        <w:rPr>
          <w:sz w:val="24"/>
          <w:szCs w:val="24"/>
        </w:rPr>
        <w:t>(16)</w:t>
      </w:r>
      <w:r w:rsidRPr="003B6BFD">
        <w:rPr>
          <w:sz w:val="24"/>
          <w:szCs w:val="24"/>
        </w:rPr>
        <w:fldChar w:fldCharType="end"/>
      </w:r>
      <w:r w:rsidRPr="003B6BFD">
        <w:rPr>
          <w:iCs/>
          <w:sz w:val="24"/>
          <w:szCs w:val="24"/>
        </w:rPr>
        <w:t xml:space="preserve">. Indeed, previous pillars of HF treatments such as </w:t>
      </w:r>
      <w:r w:rsidR="009221B6">
        <w:rPr>
          <w:iCs/>
          <w:sz w:val="24"/>
          <w:szCs w:val="24"/>
        </w:rPr>
        <w:t>a</w:t>
      </w:r>
      <w:r w:rsidR="009221B6" w:rsidRPr="009221B6">
        <w:rPr>
          <w:iCs/>
          <w:sz w:val="24"/>
          <w:szCs w:val="24"/>
        </w:rPr>
        <w:t xml:space="preserve">ngiotensin </w:t>
      </w:r>
      <w:r w:rsidR="009221B6">
        <w:rPr>
          <w:iCs/>
          <w:sz w:val="24"/>
          <w:szCs w:val="24"/>
        </w:rPr>
        <w:t>r</w:t>
      </w:r>
      <w:r w:rsidR="009221B6" w:rsidRPr="009221B6">
        <w:rPr>
          <w:iCs/>
          <w:sz w:val="24"/>
          <w:szCs w:val="24"/>
        </w:rPr>
        <w:t>eceptor-</w:t>
      </w:r>
      <w:r w:rsidR="009221B6">
        <w:rPr>
          <w:iCs/>
          <w:sz w:val="24"/>
          <w:szCs w:val="24"/>
        </w:rPr>
        <w:t>n</w:t>
      </w:r>
      <w:r w:rsidR="009221B6" w:rsidRPr="009221B6">
        <w:rPr>
          <w:iCs/>
          <w:sz w:val="24"/>
          <w:szCs w:val="24"/>
        </w:rPr>
        <w:t xml:space="preserve">eprilysin </w:t>
      </w:r>
      <w:r w:rsidR="009221B6">
        <w:rPr>
          <w:iCs/>
          <w:sz w:val="24"/>
          <w:szCs w:val="24"/>
        </w:rPr>
        <w:t>i</w:t>
      </w:r>
      <w:r w:rsidR="009221B6" w:rsidRPr="009221B6">
        <w:rPr>
          <w:iCs/>
          <w:sz w:val="24"/>
          <w:szCs w:val="24"/>
        </w:rPr>
        <w:t>nhibitor</w:t>
      </w:r>
      <w:r w:rsidR="009221B6">
        <w:rPr>
          <w:iCs/>
          <w:sz w:val="24"/>
          <w:szCs w:val="24"/>
        </w:rPr>
        <w:t xml:space="preserve"> (</w:t>
      </w:r>
      <w:r w:rsidRPr="003B6BFD">
        <w:rPr>
          <w:iCs/>
          <w:sz w:val="24"/>
          <w:szCs w:val="24"/>
        </w:rPr>
        <w:t>ARNI</w:t>
      </w:r>
      <w:r w:rsidR="009221B6">
        <w:rPr>
          <w:iCs/>
          <w:sz w:val="24"/>
          <w:szCs w:val="24"/>
        </w:rPr>
        <w:t>)</w:t>
      </w:r>
      <w:r w:rsidRPr="003B6BFD">
        <w:rPr>
          <w:iCs/>
          <w:sz w:val="24"/>
          <w:szCs w:val="24"/>
        </w:rPr>
        <w:t xml:space="preserve">’s have been shown to reduce circulating levels of vasopeptides such as </w:t>
      </w:r>
      <w:r w:rsidR="00DA109A">
        <w:rPr>
          <w:iCs/>
          <w:sz w:val="24"/>
          <w:szCs w:val="24"/>
        </w:rPr>
        <w:t>brain natriuretic peptide (</w:t>
      </w:r>
      <w:r w:rsidRPr="003B6BFD">
        <w:rPr>
          <w:iCs/>
          <w:sz w:val="24"/>
          <w:szCs w:val="24"/>
        </w:rPr>
        <w:t>BNP</w:t>
      </w:r>
      <w:r w:rsidR="00DA109A">
        <w:rPr>
          <w:iCs/>
          <w:sz w:val="24"/>
          <w:szCs w:val="24"/>
        </w:rPr>
        <w:t>)</w:t>
      </w:r>
      <w:r w:rsidRPr="003B6BFD">
        <w:rPr>
          <w:iCs/>
          <w:sz w:val="24"/>
          <w:szCs w:val="24"/>
        </w:rPr>
        <w:t xml:space="preserve">, an effect which has been documented previously with older HF therapies such as </w:t>
      </w:r>
      <w:r w:rsidR="00DA109A">
        <w:rPr>
          <w:iCs/>
          <w:sz w:val="24"/>
          <w:szCs w:val="24"/>
        </w:rPr>
        <w:t>angiotensin converting enzyme inhibitors (</w:t>
      </w:r>
      <w:r w:rsidRPr="003B6BFD">
        <w:rPr>
          <w:iCs/>
          <w:sz w:val="24"/>
          <w:szCs w:val="24"/>
        </w:rPr>
        <w:t>ACE</w:t>
      </w:r>
      <w:r w:rsidR="00DA109A">
        <w:rPr>
          <w:iCs/>
          <w:sz w:val="24"/>
          <w:szCs w:val="24"/>
        </w:rPr>
        <w:t>i)’s</w:t>
      </w:r>
      <w:r w:rsidR="00350AA9">
        <w:rPr>
          <w:iCs/>
          <w:sz w:val="24"/>
          <w:szCs w:val="24"/>
        </w:rPr>
        <w:t xml:space="preserve"> and angiotensin receptor blockers (</w:t>
      </w:r>
      <w:r w:rsidRPr="003B6BFD">
        <w:rPr>
          <w:iCs/>
          <w:sz w:val="24"/>
          <w:szCs w:val="24"/>
        </w:rPr>
        <w:t>ARB</w:t>
      </w:r>
      <w:r w:rsidR="00350AA9">
        <w:rPr>
          <w:iCs/>
          <w:sz w:val="24"/>
          <w:szCs w:val="24"/>
        </w:rPr>
        <w:t>)’</w:t>
      </w:r>
      <w:r w:rsidRPr="003B6BFD">
        <w:rPr>
          <w:iCs/>
          <w:sz w:val="24"/>
          <w:szCs w:val="24"/>
        </w:rPr>
        <w:t xml:space="preserve">s </w:t>
      </w:r>
      <w:r w:rsidRPr="003B6BFD">
        <w:rPr>
          <w:iCs/>
          <w:sz w:val="24"/>
          <w:szCs w:val="24"/>
        </w:rPr>
        <w:fldChar w:fldCharType="begin"/>
      </w:r>
      <w:r w:rsidRPr="003B6BFD">
        <w:rPr>
          <w:iCs/>
          <w:sz w:val="24"/>
          <w:szCs w:val="24"/>
        </w:rPr>
        <w:instrText xml:space="preserve"> ADDIN ZOTERO_ITEM CSL_CITATION {"citationID":"rc3mfKex","properties":{"formattedCitation":"(24\\uc0\\u8211{}26)","plainCitation":"(24–26)","noteIndex":0},"citationItems":[{"id":146,"uris":["http://zotero.org/users/12333076/items/XTDMJ3Y3"],"itemData":{"id":146,"type":"article-journal","abstract":"OBJECTIVES: This study assessed changes in B-type natriuretic peptide (BNP) among patients with heart failure with reduced ejection fraction (HFrEF) treated with sacubitril/valsartan (Sac/Val) according to standard prescribing information.\nBACKGROUND: Through inhibition of neprilysin, Sac/Val may increase BNP concentrations.\nMETHODS: In an individual patient analysis from the EVALUATE-HF (Study of Effects of Sacubitril/Valsartan vs. Enalapril on Aortic Stiffness in Patients With Mild to Moderate HF With Reduced Ejection Fraction) (n = 221) and the PROVE-HF (Effects of Sacubitril/Valsartan Therapy on Biomarkers, Myocardial Remodeling and Outcomes) (n = 146) studies, we examined changes in BNP, N-terminal pro-BNP (NT-proBNP), and urinary cyclic guanosine monophosphate (ucGMP) from baseline to week 4 and week 12.\nRESULTS: Median (IQRs) concentration of BNP at baseline, week 4, and week 12 were 145 [IQR: 55-329], 136 [IQR: 50-338], and 135 [IQR: 51-299] ng/L, respectively. There was no significant change from baseline to week 4 (0% [-30% to +41%]; P = 0.36) or week 12 (+1% [-36% to +50%]; P = 0.97). By week 12, one-half of the study participants had a BNP decline. There was no association between Sac/Val dose and BNP changes. Change in BNP was directly associated with change in NT-proBNP (rho: = 0.81; P &lt; 0.001), which decreased by -30% (-50% to -8%) and -32% (-54% to -1%) to weeks 4 and 12 (P &lt; 0.001 for both). In contrast, change in BNP was only weakly associated with change in ucGMP (rho: = 0.19; P &lt; 0.001). Increases in ucGMP were observed regardless of whether BNP was decreased (+11% [-34% to +115%]), unchanged (+34% [-15% to +205%]), or increased (+57% [-12% to +14%]).\nCONCLUSIONS: In this pooled analysis of patients with HFrEF with standard indications for Sac/Val treatment, there was no significant overall increase in BNP concentrations, and patients demonstrated increase in ucGMP regardless of the trajectory of BNP change. (Study of Effects of Sacubitril/Valsartan vs. Enalapril on Aortic Stiffness in Patients With Mild to Moderate HF With Reduced Ejection Fraction [EVALUATE-HF]; NCT02874794) (Effects of Sacubitril/Valsartan Therapy on Biomarkers, Myocardial Remodeling and Outcomes [PROVE-HF]; NCT02887183).","container-title":"JACC. Heart failure","DOI":"10.1016/j.jchf.2021.09.007","ISSN":"2213-1787","issue":"2","journalAbbreviation":"JACC Heart Fail","language":"eng","note":"PMID: 35115085","page":"119-128","source":"PubMed","title":"Early B-Type Natriuretic Peptide Change in HFrEF Patients Treated With Sacubitril/Valsartan: A Pooled Analysis of EVALUATE-HF and PROVE-HF","title-short":"Early B-Type Natriuretic Peptide Change in HFrEF Patients Treated With Sacubitril/Valsartan","volume":"10","author":[{"family":"Myhre","given":"Peder L."},{"family":"Prescott","given":"Margaret F."},{"family":"Murphy","given":"Sean P."},{"family":"Fang","given":"James C."},{"family":"Mitchell","given":"Gary F."},{"family":"Ward","given":"Jonathan H."},{"family":"Claggett","given":"Brian"},{"family":"Desai","given":"Akshay S."},{"family":"Solomon","given":"Scott D."},{"family":"Januzzi","given":"James L."}],"issued":{"date-parts":[["2022",2]]}}},{"id":149,"uris":["http://zotero.org/users/12333076/items/BVK4HMJQ"],"itemData":{"id":149,"type":"article-journal","abstract":"In patients with heart failure and reduced ejection fraction (HFrEF), treatment with sacubitril-valsartan reduces N-terminal pro–b-type natriuretic peptide (NT-proBNP) concentrations. The effect of sacubitril-valsartan on cardiac remodeling is uncertain.To determine whether NT-proBNP changes in patients with HFrEF treated with sacubitril-valsartan correlate with changes in measures of cardiac volume and function.Prospective, 12-month, single-group, open-label study of patients with HFrEF enrolled in 78 outpatient sites in the United States. Sacubitril-valsartan was initiated and the dose adjusted. Enrollment commenced on October 25, 2016, and follow-up was completed on October 22, 2018.NT-proBNP concentrations among patients treated with sacubitril-valsartan.The primary outcome was the correlation between changes in log2–NT-proBNP concentrations and left ventricular (LV) EF, LV end-diastolic volume index (LVEDVI), LV end-systolic volume index (LVESVI), left atrial volume index (LAVI), and ratio of early transmitral Doppler velocity/early diastolic annular velocity (E/e′) at 12 months.Among 794 patients (mean age, 65.1 years; 226 women [28.5%]; mean LVEF</w:instrText>
      </w:r>
      <w:r w:rsidRPr="003B6BFD">
        <w:rPr>
          <w:rFonts w:ascii="Arial" w:hAnsi="Arial" w:cs="Arial"/>
          <w:iCs/>
          <w:sz w:val="24"/>
          <w:szCs w:val="24"/>
        </w:rPr>
        <w:instrText> </w:instrText>
      </w:r>
      <w:r w:rsidRPr="003B6BFD">
        <w:rPr>
          <w:iCs/>
          <w:sz w:val="24"/>
          <w:szCs w:val="24"/>
        </w:rPr>
        <w:instrText>=</w:instrText>
      </w:r>
      <w:r w:rsidRPr="003B6BFD">
        <w:rPr>
          <w:rFonts w:ascii="Arial" w:hAnsi="Arial" w:cs="Arial"/>
          <w:iCs/>
          <w:sz w:val="24"/>
          <w:szCs w:val="24"/>
        </w:rPr>
        <w:instrText> </w:instrText>
      </w:r>
      <w:r w:rsidRPr="003B6BFD">
        <w:rPr>
          <w:iCs/>
          <w:sz w:val="24"/>
          <w:szCs w:val="24"/>
        </w:rPr>
        <w:instrText>28.2%), 654 (82.4%) completed the study. The median NT-proBNP concentration at baseline was 816 pg/mL (interquartile range [IQR], 332-1822) and 455 pg/mL (IQR, 153-1090) at 12 months (difference, P</w:instrText>
      </w:r>
      <w:r w:rsidRPr="003B6BFD">
        <w:rPr>
          <w:rFonts w:ascii="Arial" w:hAnsi="Arial" w:cs="Arial"/>
          <w:iCs/>
          <w:sz w:val="24"/>
          <w:szCs w:val="24"/>
        </w:rPr>
        <w:instrText> </w:instrText>
      </w:r>
      <w:r w:rsidRPr="003B6BFD">
        <w:rPr>
          <w:iCs/>
          <w:sz w:val="24"/>
          <w:szCs w:val="24"/>
        </w:rPr>
        <w:instrText>&amp;lt;</w:instrText>
      </w:r>
      <w:r w:rsidRPr="003B6BFD">
        <w:rPr>
          <w:rFonts w:ascii="Arial" w:hAnsi="Arial" w:cs="Arial"/>
          <w:iCs/>
          <w:sz w:val="24"/>
          <w:szCs w:val="24"/>
        </w:rPr>
        <w:instrText> </w:instrText>
      </w:r>
      <w:r w:rsidRPr="003B6BFD">
        <w:rPr>
          <w:iCs/>
          <w:sz w:val="24"/>
          <w:szCs w:val="24"/>
        </w:rPr>
        <w:instrText>.001). At 12 months, the change in log2</w:instrText>
      </w:r>
      <w:r w:rsidRPr="003B6BFD">
        <w:rPr>
          <w:rFonts w:ascii="Aptos" w:hAnsi="Aptos" w:cs="Aptos"/>
          <w:iCs/>
          <w:sz w:val="24"/>
          <w:szCs w:val="24"/>
        </w:rPr>
        <w:instrText>–</w:instrText>
      </w:r>
      <w:r w:rsidRPr="003B6BFD">
        <w:rPr>
          <w:iCs/>
          <w:sz w:val="24"/>
          <w:szCs w:val="24"/>
        </w:rPr>
        <w:instrText>NT-proBNP concentration was correlated with changes in LVEF (r</w:instrText>
      </w:r>
      <w:r w:rsidRPr="003B6BFD">
        <w:rPr>
          <w:rFonts w:ascii="Arial" w:hAnsi="Arial" w:cs="Arial"/>
          <w:iCs/>
          <w:sz w:val="24"/>
          <w:szCs w:val="24"/>
        </w:rPr>
        <w:instrText> </w:instrText>
      </w:r>
      <w:r w:rsidRPr="003B6BFD">
        <w:rPr>
          <w:iCs/>
          <w:sz w:val="24"/>
          <w:szCs w:val="24"/>
        </w:rPr>
        <w:instrText>=</w:instrText>
      </w:r>
      <w:r w:rsidRPr="003B6BFD">
        <w:rPr>
          <w:rFonts w:ascii="Arial" w:hAnsi="Arial" w:cs="Arial"/>
          <w:iCs/>
          <w:sz w:val="24"/>
          <w:szCs w:val="24"/>
        </w:rPr>
        <w:instrText> </w:instrText>
      </w:r>
      <w:r w:rsidRPr="003B6BFD">
        <w:rPr>
          <w:rFonts w:ascii="Aptos" w:hAnsi="Aptos" w:cs="Aptos"/>
          <w:iCs/>
          <w:sz w:val="24"/>
          <w:szCs w:val="24"/>
        </w:rPr>
        <w:instrText>−</w:instrText>
      </w:r>
      <w:r w:rsidRPr="003B6BFD">
        <w:rPr>
          <w:iCs/>
          <w:sz w:val="24"/>
          <w:szCs w:val="24"/>
        </w:rPr>
        <w:instrText xml:space="preserve">0.381 [IQR, </w:instrText>
      </w:r>
      <w:r w:rsidRPr="003B6BFD">
        <w:rPr>
          <w:rFonts w:ascii="Aptos" w:hAnsi="Aptos" w:cs="Aptos"/>
          <w:iCs/>
          <w:sz w:val="24"/>
          <w:szCs w:val="24"/>
        </w:rPr>
        <w:instrText>−</w:instrText>
      </w:r>
      <w:r w:rsidRPr="003B6BFD">
        <w:rPr>
          <w:iCs/>
          <w:sz w:val="24"/>
          <w:szCs w:val="24"/>
        </w:rPr>
        <w:instrText>0.448 to −0.310]; P</w:instrText>
      </w:r>
      <w:r w:rsidRPr="003B6BFD">
        <w:rPr>
          <w:rFonts w:ascii="Arial" w:hAnsi="Arial" w:cs="Arial"/>
          <w:iCs/>
          <w:sz w:val="24"/>
          <w:szCs w:val="24"/>
        </w:rPr>
        <w:instrText> </w:instrText>
      </w:r>
      <w:r w:rsidRPr="003B6BFD">
        <w:rPr>
          <w:iCs/>
          <w:sz w:val="24"/>
          <w:szCs w:val="24"/>
        </w:rPr>
        <w:instrText>&amp;lt;</w:instrText>
      </w:r>
      <w:r w:rsidRPr="003B6BFD">
        <w:rPr>
          <w:rFonts w:ascii="Arial" w:hAnsi="Arial" w:cs="Arial"/>
          <w:iCs/>
          <w:sz w:val="24"/>
          <w:szCs w:val="24"/>
        </w:rPr>
        <w:instrText> </w:instrText>
      </w:r>
      <w:r w:rsidRPr="003B6BFD">
        <w:rPr>
          <w:iCs/>
          <w:sz w:val="24"/>
          <w:szCs w:val="24"/>
        </w:rPr>
        <w:instrText>.001), LVEDVI (r</w:instrText>
      </w:r>
      <w:r w:rsidRPr="003B6BFD">
        <w:rPr>
          <w:rFonts w:ascii="Arial" w:hAnsi="Arial" w:cs="Arial"/>
          <w:iCs/>
          <w:sz w:val="24"/>
          <w:szCs w:val="24"/>
        </w:rPr>
        <w:instrText> </w:instrText>
      </w:r>
      <w:r w:rsidRPr="003B6BFD">
        <w:rPr>
          <w:iCs/>
          <w:sz w:val="24"/>
          <w:szCs w:val="24"/>
        </w:rPr>
        <w:instrText>=</w:instrText>
      </w:r>
      <w:r w:rsidRPr="003B6BFD">
        <w:rPr>
          <w:rFonts w:ascii="Arial" w:hAnsi="Arial" w:cs="Arial"/>
          <w:iCs/>
          <w:sz w:val="24"/>
          <w:szCs w:val="24"/>
        </w:rPr>
        <w:instrText> </w:instrText>
      </w:r>
      <w:r w:rsidRPr="003B6BFD">
        <w:rPr>
          <w:iCs/>
          <w:sz w:val="24"/>
          <w:szCs w:val="24"/>
        </w:rPr>
        <w:instrText>0.320 [IQR, 0.246 to 0.391]; P</w:instrText>
      </w:r>
      <w:r w:rsidRPr="003B6BFD">
        <w:rPr>
          <w:rFonts w:ascii="Arial" w:hAnsi="Arial" w:cs="Arial"/>
          <w:iCs/>
          <w:sz w:val="24"/>
          <w:szCs w:val="24"/>
        </w:rPr>
        <w:instrText> </w:instrText>
      </w:r>
      <w:r w:rsidRPr="003B6BFD">
        <w:rPr>
          <w:iCs/>
          <w:sz w:val="24"/>
          <w:szCs w:val="24"/>
        </w:rPr>
        <w:instrText>&amp;lt;</w:instrText>
      </w:r>
      <w:r w:rsidRPr="003B6BFD">
        <w:rPr>
          <w:rFonts w:ascii="Arial" w:hAnsi="Arial" w:cs="Arial"/>
          <w:iCs/>
          <w:sz w:val="24"/>
          <w:szCs w:val="24"/>
        </w:rPr>
        <w:instrText> </w:instrText>
      </w:r>
      <w:r w:rsidRPr="003B6BFD">
        <w:rPr>
          <w:iCs/>
          <w:sz w:val="24"/>
          <w:szCs w:val="24"/>
        </w:rPr>
        <w:instrText>.001), LVESVI (r</w:instrText>
      </w:r>
      <w:r w:rsidRPr="003B6BFD">
        <w:rPr>
          <w:rFonts w:ascii="Arial" w:hAnsi="Arial" w:cs="Arial"/>
          <w:iCs/>
          <w:sz w:val="24"/>
          <w:szCs w:val="24"/>
        </w:rPr>
        <w:instrText> </w:instrText>
      </w:r>
      <w:r w:rsidRPr="003B6BFD">
        <w:rPr>
          <w:iCs/>
          <w:sz w:val="24"/>
          <w:szCs w:val="24"/>
        </w:rPr>
        <w:instrText>=</w:instrText>
      </w:r>
      <w:r w:rsidRPr="003B6BFD">
        <w:rPr>
          <w:rFonts w:ascii="Arial" w:hAnsi="Arial" w:cs="Arial"/>
          <w:iCs/>
          <w:sz w:val="24"/>
          <w:szCs w:val="24"/>
        </w:rPr>
        <w:instrText> </w:instrText>
      </w:r>
      <w:r w:rsidRPr="003B6BFD">
        <w:rPr>
          <w:iCs/>
          <w:sz w:val="24"/>
          <w:szCs w:val="24"/>
        </w:rPr>
        <w:instrText>0.405 [IQR, 0.335 to 0.470]; P</w:instrText>
      </w:r>
      <w:r w:rsidRPr="003B6BFD">
        <w:rPr>
          <w:rFonts w:ascii="Arial" w:hAnsi="Arial" w:cs="Arial"/>
          <w:iCs/>
          <w:sz w:val="24"/>
          <w:szCs w:val="24"/>
        </w:rPr>
        <w:instrText> </w:instrText>
      </w:r>
      <w:r w:rsidRPr="003B6BFD">
        <w:rPr>
          <w:iCs/>
          <w:sz w:val="24"/>
          <w:szCs w:val="24"/>
        </w:rPr>
        <w:instrText>&amp;lt;</w:instrText>
      </w:r>
      <w:r w:rsidRPr="003B6BFD">
        <w:rPr>
          <w:rFonts w:ascii="Arial" w:hAnsi="Arial" w:cs="Arial"/>
          <w:iCs/>
          <w:sz w:val="24"/>
          <w:szCs w:val="24"/>
        </w:rPr>
        <w:instrText> </w:instrText>
      </w:r>
      <w:r w:rsidRPr="003B6BFD">
        <w:rPr>
          <w:iCs/>
          <w:sz w:val="24"/>
          <w:szCs w:val="24"/>
        </w:rPr>
        <w:instrText>.001), LAVI (r</w:instrText>
      </w:r>
      <w:r w:rsidRPr="003B6BFD">
        <w:rPr>
          <w:rFonts w:ascii="Arial" w:hAnsi="Arial" w:cs="Arial"/>
          <w:iCs/>
          <w:sz w:val="24"/>
          <w:szCs w:val="24"/>
        </w:rPr>
        <w:instrText> </w:instrText>
      </w:r>
      <w:r w:rsidRPr="003B6BFD">
        <w:rPr>
          <w:iCs/>
          <w:sz w:val="24"/>
          <w:szCs w:val="24"/>
        </w:rPr>
        <w:instrText>=</w:instrText>
      </w:r>
      <w:r w:rsidRPr="003B6BFD">
        <w:rPr>
          <w:rFonts w:ascii="Arial" w:hAnsi="Arial" w:cs="Arial"/>
          <w:iCs/>
          <w:sz w:val="24"/>
          <w:szCs w:val="24"/>
        </w:rPr>
        <w:instrText> </w:instrText>
      </w:r>
      <w:r w:rsidRPr="003B6BFD">
        <w:rPr>
          <w:iCs/>
          <w:sz w:val="24"/>
          <w:szCs w:val="24"/>
        </w:rPr>
        <w:instrText>0.263 [IQR, 0.186 to 0.338]; P</w:instrText>
      </w:r>
      <w:r w:rsidRPr="003B6BFD">
        <w:rPr>
          <w:rFonts w:ascii="Arial" w:hAnsi="Arial" w:cs="Arial"/>
          <w:iCs/>
          <w:sz w:val="24"/>
          <w:szCs w:val="24"/>
        </w:rPr>
        <w:instrText> </w:instrText>
      </w:r>
      <w:r w:rsidRPr="003B6BFD">
        <w:rPr>
          <w:iCs/>
          <w:sz w:val="24"/>
          <w:szCs w:val="24"/>
        </w:rPr>
        <w:instrText>&amp;lt;</w:instrText>
      </w:r>
      <w:r w:rsidRPr="003B6BFD">
        <w:rPr>
          <w:rFonts w:ascii="Arial" w:hAnsi="Arial" w:cs="Arial"/>
          <w:iCs/>
          <w:sz w:val="24"/>
          <w:szCs w:val="24"/>
        </w:rPr>
        <w:instrText> </w:instrText>
      </w:r>
      <w:r w:rsidRPr="003B6BFD">
        <w:rPr>
          <w:iCs/>
          <w:sz w:val="24"/>
          <w:szCs w:val="24"/>
        </w:rPr>
        <w:instrText>.001), and E/e</w:instrText>
      </w:r>
      <w:r w:rsidRPr="003B6BFD">
        <w:rPr>
          <w:rFonts w:ascii="Aptos" w:hAnsi="Aptos" w:cs="Aptos"/>
          <w:iCs/>
          <w:sz w:val="24"/>
          <w:szCs w:val="24"/>
        </w:rPr>
        <w:instrText>′</w:instrText>
      </w:r>
      <w:r w:rsidRPr="003B6BFD">
        <w:rPr>
          <w:iCs/>
          <w:sz w:val="24"/>
          <w:szCs w:val="24"/>
        </w:rPr>
        <w:instrText xml:space="preserve"> (r</w:instrText>
      </w:r>
      <w:r w:rsidRPr="003B6BFD">
        <w:rPr>
          <w:rFonts w:ascii="Arial" w:hAnsi="Arial" w:cs="Arial"/>
          <w:iCs/>
          <w:sz w:val="24"/>
          <w:szCs w:val="24"/>
        </w:rPr>
        <w:instrText> </w:instrText>
      </w:r>
      <w:r w:rsidRPr="003B6BFD">
        <w:rPr>
          <w:iCs/>
          <w:sz w:val="24"/>
          <w:szCs w:val="24"/>
        </w:rPr>
        <w:instrText>=</w:instrText>
      </w:r>
      <w:r w:rsidRPr="003B6BFD">
        <w:rPr>
          <w:rFonts w:ascii="Arial" w:hAnsi="Arial" w:cs="Arial"/>
          <w:iCs/>
          <w:sz w:val="24"/>
          <w:szCs w:val="24"/>
        </w:rPr>
        <w:instrText> </w:instrText>
      </w:r>
      <w:r w:rsidRPr="003B6BFD">
        <w:rPr>
          <w:iCs/>
          <w:sz w:val="24"/>
          <w:szCs w:val="24"/>
        </w:rPr>
        <w:instrText>0.269 [IQR, 0.182 to 0.353]; P</w:instrText>
      </w:r>
      <w:r w:rsidRPr="003B6BFD">
        <w:rPr>
          <w:rFonts w:ascii="Arial" w:hAnsi="Arial" w:cs="Arial"/>
          <w:iCs/>
          <w:sz w:val="24"/>
          <w:szCs w:val="24"/>
        </w:rPr>
        <w:instrText> </w:instrText>
      </w:r>
      <w:r w:rsidRPr="003B6BFD">
        <w:rPr>
          <w:iCs/>
          <w:sz w:val="24"/>
          <w:szCs w:val="24"/>
        </w:rPr>
        <w:instrText>&amp;lt;</w:instrText>
      </w:r>
      <w:r w:rsidRPr="003B6BFD">
        <w:rPr>
          <w:rFonts w:ascii="Arial" w:hAnsi="Arial" w:cs="Arial"/>
          <w:iCs/>
          <w:sz w:val="24"/>
          <w:szCs w:val="24"/>
        </w:rPr>
        <w:instrText> </w:instrText>
      </w:r>
      <w:r w:rsidRPr="003B6BFD">
        <w:rPr>
          <w:iCs/>
          <w:sz w:val="24"/>
          <w:szCs w:val="24"/>
        </w:rPr>
        <w:instrText>.001). At 12 months, LVEF increased from 28.2% to 37.8% (difference, 9.4% [95% CI, 8.8% to 9.9%]; P</w:instrText>
      </w:r>
      <w:r w:rsidRPr="003B6BFD">
        <w:rPr>
          <w:rFonts w:ascii="Arial" w:hAnsi="Arial" w:cs="Arial"/>
          <w:iCs/>
          <w:sz w:val="24"/>
          <w:szCs w:val="24"/>
        </w:rPr>
        <w:instrText> </w:instrText>
      </w:r>
      <w:r w:rsidRPr="003B6BFD">
        <w:rPr>
          <w:iCs/>
          <w:sz w:val="24"/>
          <w:szCs w:val="24"/>
        </w:rPr>
        <w:instrText>&amp;lt;</w:instrText>
      </w:r>
      <w:r w:rsidRPr="003B6BFD">
        <w:rPr>
          <w:rFonts w:ascii="Arial" w:hAnsi="Arial" w:cs="Arial"/>
          <w:iCs/>
          <w:sz w:val="24"/>
          <w:szCs w:val="24"/>
        </w:rPr>
        <w:instrText> </w:instrText>
      </w:r>
      <w:r w:rsidRPr="003B6BFD">
        <w:rPr>
          <w:iCs/>
          <w:sz w:val="24"/>
          <w:szCs w:val="24"/>
        </w:rPr>
        <w:instrText xml:space="preserve">.001), while LVEDVI decreased from 86.93 to 74.15 mL/m2 (difference, </w:instrText>
      </w:r>
      <w:r w:rsidRPr="003B6BFD">
        <w:rPr>
          <w:rFonts w:ascii="Aptos" w:hAnsi="Aptos" w:cs="Aptos"/>
          <w:iCs/>
          <w:sz w:val="24"/>
          <w:szCs w:val="24"/>
        </w:rPr>
        <w:instrText>−</w:instrText>
      </w:r>
      <w:r w:rsidRPr="003B6BFD">
        <w:rPr>
          <w:iCs/>
          <w:sz w:val="24"/>
          <w:szCs w:val="24"/>
        </w:rPr>
        <w:instrText xml:space="preserve">12.25 mL/m2 [IQR, </w:instrText>
      </w:r>
      <w:r w:rsidRPr="003B6BFD">
        <w:rPr>
          <w:rFonts w:ascii="Aptos" w:hAnsi="Aptos" w:cs="Aptos"/>
          <w:iCs/>
          <w:sz w:val="24"/>
          <w:szCs w:val="24"/>
        </w:rPr>
        <w:instrText>−</w:instrText>
      </w:r>
      <w:r w:rsidRPr="003B6BFD">
        <w:rPr>
          <w:iCs/>
          <w:sz w:val="24"/>
          <w:szCs w:val="24"/>
        </w:rPr>
        <w:instrText xml:space="preserve">12.92 to </w:instrText>
      </w:r>
      <w:r w:rsidRPr="003B6BFD">
        <w:rPr>
          <w:rFonts w:ascii="Aptos" w:hAnsi="Aptos" w:cs="Aptos"/>
          <w:iCs/>
          <w:sz w:val="24"/>
          <w:szCs w:val="24"/>
        </w:rPr>
        <w:instrText>−</w:instrText>
      </w:r>
      <w:r w:rsidRPr="003B6BFD">
        <w:rPr>
          <w:iCs/>
          <w:sz w:val="24"/>
          <w:szCs w:val="24"/>
        </w:rPr>
        <w:instrText>11.58]; P</w:instrText>
      </w:r>
      <w:r w:rsidRPr="003B6BFD">
        <w:rPr>
          <w:rFonts w:ascii="Arial" w:hAnsi="Arial" w:cs="Arial"/>
          <w:iCs/>
          <w:sz w:val="24"/>
          <w:szCs w:val="24"/>
        </w:rPr>
        <w:instrText> </w:instrText>
      </w:r>
      <w:r w:rsidRPr="003B6BFD">
        <w:rPr>
          <w:iCs/>
          <w:sz w:val="24"/>
          <w:szCs w:val="24"/>
        </w:rPr>
        <w:instrText>&amp;lt;</w:instrText>
      </w:r>
      <w:r w:rsidRPr="003B6BFD">
        <w:rPr>
          <w:rFonts w:ascii="Arial" w:hAnsi="Arial" w:cs="Arial"/>
          <w:iCs/>
          <w:sz w:val="24"/>
          <w:szCs w:val="24"/>
        </w:rPr>
        <w:instrText> </w:instrText>
      </w:r>
      <w:r w:rsidRPr="003B6BFD">
        <w:rPr>
          <w:iCs/>
          <w:sz w:val="24"/>
          <w:szCs w:val="24"/>
        </w:rPr>
        <w:instrText>.001) and LVESVI decreased from 61.68 to 45.46 mL/m2 (difference, −15.29 mL/m2 [95% CI, −16.03 to −14.55]; P</w:instrText>
      </w:r>
      <w:r w:rsidRPr="003B6BFD">
        <w:rPr>
          <w:rFonts w:ascii="Arial" w:hAnsi="Arial" w:cs="Arial"/>
          <w:iCs/>
          <w:sz w:val="24"/>
          <w:szCs w:val="24"/>
        </w:rPr>
        <w:instrText> </w:instrText>
      </w:r>
      <w:r w:rsidRPr="003B6BFD">
        <w:rPr>
          <w:iCs/>
          <w:sz w:val="24"/>
          <w:szCs w:val="24"/>
        </w:rPr>
        <w:instrText>&amp;lt;</w:instrText>
      </w:r>
      <w:r w:rsidRPr="003B6BFD">
        <w:rPr>
          <w:rFonts w:ascii="Arial" w:hAnsi="Arial" w:cs="Arial"/>
          <w:iCs/>
          <w:sz w:val="24"/>
          <w:szCs w:val="24"/>
        </w:rPr>
        <w:instrText> </w:instrText>
      </w:r>
      <w:r w:rsidRPr="003B6BFD">
        <w:rPr>
          <w:iCs/>
          <w:sz w:val="24"/>
          <w:szCs w:val="24"/>
        </w:rPr>
        <w:instrText>.001). LAVI and E/e</w:instrText>
      </w:r>
      <w:r w:rsidRPr="003B6BFD">
        <w:rPr>
          <w:rFonts w:ascii="Aptos" w:hAnsi="Aptos" w:cs="Aptos"/>
          <w:iCs/>
          <w:sz w:val="24"/>
          <w:szCs w:val="24"/>
        </w:rPr>
        <w:instrText>′</w:instrText>
      </w:r>
      <w:r w:rsidRPr="003B6BFD">
        <w:rPr>
          <w:iCs/>
          <w:sz w:val="24"/>
          <w:szCs w:val="24"/>
        </w:rPr>
        <w:instrText xml:space="preserve"> ratio also decreased significantly. The most frequent adverse events were hypotension (17.6%), dizziness (16.8%), hyperkalemia (13.2%), and worsening kidney function (12.3%).In this exploratory study of patients with HFrEF treated with sacubitril-valsartan, reduction in NT-proBNP concentration was weakly yet significantly correlated with improvements in markers of cardiac volume and function at 12 months. The observed</w:instrText>
      </w:r>
      <w:r w:rsidRPr="003B6BFD">
        <w:rPr>
          <w:rFonts w:ascii="Aptos" w:hAnsi="Aptos" w:cs="Aptos"/>
          <w:iCs/>
          <w:sz w:val="24"/>
          <w:szCs w:val="24"/>
        </w:rPr>
        <w:instrText> </w:instrText>
      </w:r>
      <w:r w:rsidRPr="003B6BFD">
        <w:rPr>
          <w:iCs/>
          <w:sz w:val="24"/>
          <w:szCs w:val="24"/>
        </w:rPr>
        <w:instrText xml:space="preserve">reverse cardiac remodeling may provide a mechanistic explanation for the effects of sacubitril-valsartan in patients with HFrEF.ClinicalTrials.gov Identifier: NCT02887183","container-title":"JAMA","DOI":"10.1001/jama.2019.12821","ISSN":"0098-7484","issue":"11","journalAbbreviation":"JAMA","page":"1085-1095","source":"Silverchair","title":"Association of Change in N-Terminal Pro–B-Type Natriuretic Peptide Following Initiation of Sacubitril-Valsartan Treatment With Cardiac Structure and Function in Patients With Heart Failure With Reduced Ejection Fraction","volume":"322","author":[{"family":"Januzzi","given":"James L.","suffix":"Jr"},{"family":"Prescott","given":"Margaret F."},{"family":"Butler","given":"Javed"},{"family":"Felker","given":"G. Michael"},{"family":"Maisel","given":"Alan S."},{"family":"McCague","given":"Kevin"},{"family":"Camacho","given":"Alexander"},{"family":"Piña","given":"Ileana L."},{"family":"Rocha","given":"Ricardo A."},{"family":"Shah","given":"Amil M."},{"family":"Williamson","given":"Kristin M."},{"family":"Solomon","given":"Scott D."},{"literal":"for the PROVE-HF Investigators"}],"issued":{"date-parts":[["2019",9,17]]}}},{"id":155,"uris":["http://zotero.org/users/12333076/items/ARDA3QXZ"],"itemData":{"id":155,"type":"article-journal","abstract":"PURPOSE: Secretion of brain natriuretic peptide (BNP), a cardiac hormone, is accelerated via hypertrophied ventricles in experimental hypertension. The present study examined whether regression of left ventricular (LV) hypertrophy by long-term treatment with an angiotensin-converting enzyme inhibitor (ACEI) affects plasma BNP concentration in patients with essential hypertension.\nPATIENTS AND METHODS: Thirty-one hypertensive patients with LV hypertrophy were treated with ACEI (16 with enalapril; 15 with lisinopril) for 1 year. Serial changes were recorded in LV mass index, LV systolic function, and plasma concentrations of BNP and atrial natriuretic peptide (ANP).\nRESULTS: ACEI therapy significantly reduced LV mass index at 6 months, and more so at 1 year. Septal and posterior wall thicknesses were also reduced. Plasma BNP and ANP were markedly elevated at study entry, but only BNP levels correlated with LV mass index. Both peptide levels declined after 6 months, and this decline was enhanced at 1 year. There was a close relation between BNP decline and LV mass index reduction overall and with enalapril and lisinopril separately. Changes in ANP and in LV mass index were not related.\nCONCLUSION: Long-term ACEI therapy can reduce elevated plasma BNP. In this study, changes in BNP reflected the magnitude of regression of LVH. Plasma BNP may be a useful marker for LVH during antihypertensive therapy in patients with essential hypertension and LVH.","container-title":"The American Journal of Medicine","DOI":"10.1016/S0002-9343(99)80372-6","ISSN":"0002-9343","issue":"3","journalAbbreviation":"Am J Med","language":"eng","note":"PMID: 7872342","page":"257-265","source":"PubMed","title":"Brain natriuretic peptide as a marker for hypertensive left ventricular hypertrophy: changes during 1-year antihypertensive therapy with angiotensin-converting enzyme inhibitor","title-short":"Brain natriuretic peptide as a marker for hypertensive left ventricular hypertrophy","volume":"98","author":[{"family":"Kohno","given":"M."},{"family":"Horio","given":"T."},{"family":"Yokokawa","given":"K."},{"family":"Yasunari","given":"K."},{"family":"Ikeda","given":"M."},{"family":"Minami","given":"M."},{"family":"Kurihara","given":"N."},{"family":"Takeda","given":"T."}],"issued":{"date-parts":[["1995",3]]}}}],"schema":"https://github.com/citation-style-language/schema/raw/master/csl-citation.json"} </w:instrText>
      </w:r>
      <w:r w:rsidRPr="003B6BFD">
        <w:rPr>
          <w:iCs/>
          <w:sz w:val="24"/>
          <w:szCs w:val="24"/>
        </w:rPr>
        <w:fldChar w:fldCharType="separate"/>
      </w:r>
      <w:r w:rsidRPr="003B6BFD">
        <w:rPr>
          <w:sz w:val="24"/>
          <w:szCs w:val="24"/>
        </w:rPr>
        <w:t>(24–26)</w:t>
      </w:r>
      <w:r w:rsidRPr="003B6BFD">
        <w:rPr>
          <w:sz w:val="24"/>
          <w:szCs w:val="24"/>
        </w:rPr>
        <w:fldChar w:fldCharType="end"/>
      </w:r>
      <w:r w:rsidRPr="003B6BFD">
        <w:rPr>
          <w:iCs/>
          <w:sz w:val="24"/>
          <w:szCs w:val="24"/>
        </w:rPr>
        <w:t xml:space="preserve">. Biomarker evaluation has proved useful in understanding the mechanisms of action of previous HF therapy with effects on vasopeptides reinforcing their role in attenuating </w:t>
      </w:r>
      <w:r w:rsidR="00C97A32" w:rsidRPr="00C97A32">
        <w:rPr>
          <w:iCs/>
          <w:sz w:val="24"/>
          <w:szCs w:val="24"/>
        </w:rPr>
        <w:t>renin-angiotensin-aldosterone system</w:t>
      </w:r>
      <w:r w:rsidR="00C97A32">
        <w:rPr>
          <w:iCs/>
          <w:sz w:val="24"/>
          <w:szCs w:val="24"/>
        </w:rPr>
        <w:t xml:space="preserve"> (RAAS) </w:t>
      </w:r>
      <w:r w:rsidRPr="003B6BFD">
        <w:rPr>
          <w:iCs/>
          <w:sz w:val="24"/>
          <w:szCs w:val="24"/>
        </w:rPr>
        <w:t xml:space="preserve">activation at varying levels. Given the apparent distinct mechanism of action of SGLT2i, exploration of its effects on circulating biomarkers may help to determine how it exerts its cardio-protective effects. </w:t>
      </w:r>
    </w:p>
    <w:p w14:paraId="47884CD7" w14:textId="712FC9A7" w:rsidR="005028E5" w:rsidRPr="003B6BFD" w:rsidRDefault="005028E5" w:rsidP="005028E5">
      <w:pPr>
        <w:rPr>
          <w:sz w:val="24"/>
          <w:szCs w:val="24"/>
        </w:rPr>
      </w:pPr>
      <w:r w:rsidRPr="003B6BFD">
        <w:rPr>
          <w:sz w:val="24"/>
          <w:szCs w:val="24"/>
        </w:rPr>
        <w:t xml:space="preserve">The initial serendipitous findings that SGLT2i had cardio-protective effects has generated a wealth of research in the field; however, it remains unclear how these benefits are conferred. The core mode of action of SGLT2 inhibition is to promote glycosuria by decreasing the threshold for urinary glucose excretion from 10 mmol/L (180 mg/dL) to 2.2 mmol/L (40 mg/dL) </w:t>
      </w:r>
      <w:r w:rsidRPr="003B6BFD">
        <w:rPr>
          <w:sz w:val="24"/>
          <w:szCs w:val="24"/>
        </w:rPr>
        <w:fldChar w:fldCharType="begin"/>
      </w:r>
      <w:r w:rsidRPr="003B6BFD">
        <w:rPr>
          <w:sz w:val="24"/>
          <w:szCs w:val="24"/>
        </w:rPr>
        <w:instrText xml:space="preserve"> ADDIN ZOTERO_ITEM CSL_CITATION {"citationID":"JkECoD8C","properties":{"formattedCitation":"(27)","plainCitation":"(27)","noteIndex":0},"citationItems":[{"id":60,"uris":["http://zotero.org/users/12333076/items/DQCKECFB"],"itemData":{"id":60,"type":"article-journal","abstract":"Sodium-Glucose Cotransporter 2 inhibitors (SGLT2i), or gliflozins, are a group of antidiabetic drugs that have shown improvement in renal and cardiovascular outcomes in patients with kidney disease, with and without diabetes. In this review, we will describe the different proposed mechanisms of action of SGLT2i. Gliflozins inhibit renal glucose reabsorption by blocking the SGLT2 cotransporters in the proximal tubules and causing glucosuria. This reduces glycemia and lowers HbA1c by ~1.0%. The accompanying sodium excretion reverts the tubuloglomerular feedback and reduces intraglomerular pressure, which is central to the nephroprotective effects of SGLT2i. The caloric loss reduces weight, increases insulin sensitivity, lipid metabolism, and likely reduces lipotoxicity. Metabolism shifts toward gluconeogenesis and ketogenesis, thought to be protective for the heart and kidneys. Additionally, there is evidence of a reduction in tubular cell glucotoxicity through reduced mitochondrial dysfunction and inflammation. SGLT2i likely reduce kidney hypoxia by reducing tubular energy and oxygen demand. SGLT2i improve blood pressure through a negative sodium and water balance and possibly by inhibiting the sympathetic nervous system. These changes contribute to the improvement of cardiovascular function and are thought to be central in the cardiovascular benefits of SGLT2i. Gliflozins also reduce hepcidin levels, improving erythropoiesis and anemia. Finally, other possible mechanisms include a reduction in inflammatory markers, fibrosis, podocyte injury, and other related mechanisms. SGLT2i have shown significant and highly consistent benefits in renal and cardiovascular protection. The complexity and interconnectedness of the primary and secondary mechanisms of action make them a most interesting and exciting pharmacologic group.","container-title":"Frontiers in Medicine","DOI":"10.3389/fmed.2021.777861","ISSN":"2296-858X","journalAbbreviation":"Front Med (Lausanne)","note":"PMID: 34988095\nPMCID: PMC8720766","page":"777861","source":"PubMed Central","title":"Sodium-Glucose Cotransporter 2 Inhibitors Mechanisms of Action: A Review","title-short":"Sodium-Glucose Cotransporter 2 Inhibitors Mechanisms of Action","volume":"8","author":[{"family":"Fonseca-Correa","given":"Jorge I."},{"family":"Correa-Rotter","given":"Ricardo"}],"issued":{"date-parts":[["2021",12,20]]}}}],"schema":"https://github.com/citation-style-language/schema/raw/master/csl-citation.json"} </w:instrText>
      </w:r>
      <w:r w:rsidRPr="003B6BFD">
        <w:rPr>
          <w:sz w:val="24"/>
          <w:szCs w:val="24"/>
        </w:rPr>
        <w:fldChar w:fldCharType="separate"/>
      </w:r>
      <w:r w:rsidRPr="003B6BFD">
        <w:rPr>
          <w:sz w:val="24"/>
          <w:szCs w:val="24"/>
        </w:rPr>
        <w:t>(27)</w:t>
      </w:r>
      <w:r w:rsidRPr="003B6BFD">
        <w:rPr>
          <w:sz w:val="24"/>
          <w:szCs w:val="24"/>
        </w:rPr>
        <w:fldChar w:fldCharType="end"/>
      </w:r>
      <w:r w:rsidRPr="003B6BFD">
        <w:rPr>
          <w:sz w:val="24"/>
          <w:szCs w:val="24"/>
        </w:rPr>
        <w:t xml:space="preserve">. A rational corollary was that the reduction in CV death noted in </w:t>
      </w:r>
      <w:r w:rsidRPr="003B6BFD">
        <w:rPr>
          <w:b/>
          <w:bCs/>
          <w:i/>
          <w:iCs/>
          <w:sz w:val="24"/>
          <w:szCs w:val="24"/>
        </w:rPr>
        <w:t>EMPA-REG-OUTCOME</w:t>
      </w:r>
      <w:r w:rsidRPr="003B6BFD">
        <w:rPr>
          <w:sz w:val="24"/>
          <w:szCs w:val="24"/>
        </w:rPr>
        <w:t xml:space="preserve"> were due to favourable changes in cardio-metabolic profiles. Interestingly, following the publication of </w:t>
      </w:r>
      <w:r w:rsidRPr="003B6BFD">
        <w:rPr>
          <w:b/>
          <w:bCs/>
          <w:i/>
          <w:iCs/>
          <w:sz w:val="24"/>
          <w:szCs w:val="24"/>
        </w:rPr>
        <w:t>CANVAS</w:t>
      </w:r>
      <w:r w:rsidRPr="003B6BFD">
        <w:rPr>
          <w:sz w:val="24"/>
          <w:szCs w:val="24"/>
        </w:rPr>
        <w:t xml:space="preserve">, </w:t>
      </w:r>
      <w:r w:rsidRPr="003B6BFD">
        <w:rPr>
          <w:b/>
          <w:bCs/>
          <w:i/>
          <w:iCs/>
          <w:sz w:val="24"/>
          <w:szCs w:val="24"/>
        </w:rPr>
        <w:t>CREDENCE</w:t>
      </w:r>
      <w:r w:rsidRPr="003B6BFD">
        <w:rPr>
          <w:sz w:val="24"/>
          <w:szCs w:val="24"/>
        </w:rPr>
        <w:t xml:space="preserve"> and </w:t>
      </w:r>
      <w:r w:rsidRPr="003B6BFD">
        <w:rPr>
          <w:b/>
          <w:bCs/>
          <w:i/>
          <w:iCs/>
          <w:sz w:val="24"/>
          <w:szCs w:val="24"/>
        </w:rPr>
        <w:t>DECLARE-TIMI58</w:t>
      </w:r>
      <w:r w:rsidRPr="003B6BFD">
        <w:rPr>
          <w:sz w:val="24"/>
          <w:szCs w:val="24"/>
        </w:rPr>
        <w:t xml:space="preserve">, it became clear that both cardiac and reno-protective effects were independent of glucose lowering </w:t>
      </w:r>
      <w:r w:rsidRPr="003B6BFD">
        <w:rPr>
          <w:sz w:val="24"/>
          <w:szCs w:val="24"/>
        </w:rPr>
        <w:fldChar w:fldCharType="begin"/>
      </w:r>
      <w:r w:rsidRPr="003B6BFD">
        <w:rPr>
          <w:sz w:val="24"/>
          <w:szCs w:val="24"/>
        </w:rPr>
        <w:instrText xml:space="preserve"> ADDIN ZOTERO_ITEM CSL_CITATION {"citationID":"PLW2bJ0Y","properties":{"formattedCitation":"(28)","plainCitation":"(28)","noteIndex":0},"citationItems":[{"id":160,"uris":["http://zotero.org/users/12333076/items/M8CBBXEG"],"itemData":{"id":160,"type":"article-journal","abstract":"In this systematic review, we sought to summarize the 3 recent sodium-glucose cotransporter 2 inhibitor (SGLT2i) trials (Dapagliflozin Effect on CardiovasculAR Events (DECLARE-TIMI 58), Canagliflozin Cardiovascular Assessment Study (CANVAS) Program, and Empagliflozin, Cardiovascular Outcomes, and Mortality in Type 2 Diabetes (EMPA-REG OUTCOME)) and to explore the potential causes for their different results. We found that the major adverse cardiovascular event rates per 1000 patient-years for drug and placebo, as well as the corresponding relative risk reductions, were 22.6, 24.2, 7%; 26.9, 31.5, 14%; 37.4, 43.9, 14% for DECLARE-TIMI 58, CANVAS, and EMPA-REG OUTCOME, respectively. DECLARETIMI 58 had the fewest cardiorenal events (across treatment and control arms) and EMPA-REG OUTCOME the most. DECLARE-TIMI 58 used alternative inclusion criterion for baseline renal function (creatinine clearance </w:instrText>
      </w:r>
      <w:r w:rsidRPr="003B6BFD">
        <w:rPr>
          <w:rFonts w:ascii="Cambria Math" w:hAnsi="Cambria Math" w:cs="Cambria Math"/>
          <w:sz w:val="24"/>
          <w:szCs w:val="24"/>
        </w:rPr>
        <w:instrText>≧</w:instrText>
      </w:r>
      <w:r w:rsidRPr="003B6BFD">
        <w:rPr>
          <w:sz w:val="24"/>
          <w:szCs w:val="24"/>
        </w:rPr>
        <w:instrText xml:space="preserve"> 60 mL/min) compared to the other trials (estimated glomerular filtration rate (eGFR) &gt; 30 mL/min/1.73 m2 bodysurface area). Therefore, the DECLARE-TIMI 58 study cohort had higher eGFR (mean eGFR 85.2 mL/min/1.73 m2 compared to 76.5 and 74 in CANVAS and EMPAREG OUTCOME, respectively); this may have caused the difference in results. Additionally contributing to the high event rate in EMPA-REG OUTCOME was the requirement of prior confirmed cardiovascular disease (CVD), resulting in 99.2% of patients with CVD compared to only 65.6% and 40.6% in CANVAS and DECLARE-TIMI 58, respectively (which did not require CVD). In conclusion, there is a need for large-scale studies of SGLT2i with matching inclusion/exclusion criteria and appropriate endpoints to ensure a truly direct comparison of the drugs.","container-title":"Reviews in Cardiovascular Medicine","DOI":"10.31083/j.rcm.2018.02.907","ISSN":"1530-6550","issue":"2","journalAbbreviation":"Rev Cardiovasc Med","language":"eng","note":"PMID: 31032602","page":"41-49","source":"PubMed","title":"Cardiorenal Outcomes in the CANVAS, DECLARE-TIMI 58, and EMPA-REG OUTCOME Trials: A Systematic Review","title-short":"Cardiorenal Outcomes in the CANVAS, DECLARE-TIMI 58, and EMPA-REG OUTCOME Trials","volume":"19","author":[{"family":"Kluger","given":"Aaron Y."},{"family":"Tecson","given":"Kristen M."},{"family":"Barbin","given":"Clay M."},{"family":"Lee","given":"Andy Y."},{"family":"Lerma","given":"Edgar V."},{"family":"Rosol","given":"Zachary P."},{"family":"Rangaswami","given":"Janani"},{"family":"Lepor","given":"Norman E."},{"family":"Cobble","given":"Michael E."},{"family":"McCullough","given":"Peter A."}],"issued":{"date-parts":[["2018",6,30]]}}}],"schema":"https://github.com/citation-style-language/schema/raw/master/csl-citation.json"} </w:instrText>
      </w:r>
      <w:r w:rsidRPr="003B6BFD">
        <w:rPr>
          <w:sz w:val="24"/>
          <w:szCs w:val="24"/>
        </w:rPr>
        <w:fldChar w:fldCharType="separate"/>
      </w:r>
      <w:r w:rsidRPr="003B6BFD">
        <w:rPr>
          <w:sz w:val="24"/>
          <w:szCs w:val="24"/>
        </w:rPr>
        <w:t>(28)</w:t>
      </w:r>
      <w:r w:rsidRPr="003B6BFD">
        <w:rPr>
          <w:sz w:val="24"/>
          <w:szCs w:val="24"/>
        </w:rPr>
        <w:fldChar w:fldCharType="end"/>
      </w:r>
      <w:r w:rsidRPr="003B6BFD">
        <w:rPr>
          <w:sz w:val="24"/>
          <w:szCs w:val="24"/>
        </w:rPr>
        <w:t xml:space="preserve">. Furthermore, it seems unlikely that the dramatic reductions in hard outcomes (mortality, CV death, HF hospitalisations) could be explained by lowering </w:t>
      </w:r>
      <w:r w:rsidR="00AF4E6E">
        <w:rPr>
          <w:sz w:val="24"/>
          <w:szCs w:val="24"/>
        </w:rPr>
        <w:t xml:space="preserve">blood pressure </w:t>
      </w:r>
      <w:r w:rsidR="00AF4E6E" w:rsidRPr="003B6BFD">
        <w:rPr>
          <w:sz w:val="24"/>
          <w:szCs w:val="24"/>
        </w:rPr>
        <w:t>or</w:t>
      </w:r>
      <w:r w:rsidRPr="003B6BFD">
        <w:rPr>
          <w:sz w:val="24"/>
          <w:szCs w:val="24"/>
        </w:rPr>
        <w:t xml:space="preserve"> weight reduction alone. </w:t>
      </w:r>
    </w:p>
    <w:p w14:paraId="52F8A554" w14:textId="77777777" w:rsidR="005028E5" w:rsidRPr="003B6BFD" w:rsidRDefault="005028E5" w:rsidP="005028E5">
      <w:pPr>
        <w:rPr>
          <w:sz w:val="24"/>
          <w:szCs w:val="24"/>
        </w:rPr>
      </w:pPr>
      <w:r w:rsidRPr="003B6BFD">
        <w:rPr>
          <w:sz w:val="24"/>
          <w:szCs w:val="24"/>
        </w:rPr>
        <w:t xml:space="preserve">Several mechanisms have been since suggested ranging from modulation of pathways involved in oxidative stress and inflammation, alteration in cardiac ion homeostasis, shifts in cardiac metabolism and direct effects on cardiac remodelling. A central role in the development of heart failure is the activation and attenuation of pro-inflammatory pathways and subsequent endothelial dysfunction. A recent meta-analysis of 15 randomized and 8 observational clinical studies of SGLT2i’s demonstrated a consistent reduction in biomarkers of both inflammation (CRP, IL-6, and TNF-α) and oxidative stress (8-iso-prostaglandin F2α and 8-hydroxy-2′-deoxyguanosine) and an increase of the cardioprotective adiponectin derived from adipose tissue </w:t>
      </w:r>
      <w:r w:rsidRPr="003B6BFD">
        <w:rPr>
          <w:sz w:val="24"/>
          <w:szCs w:val="24"/>
        </w:rPr>
        <w:fldChar w:fldCharType="begin"/>
      </w:r>
      <w:r w:rsidRPr="003B6BFD">
        <w:rPr>
          <w:sz w:val="24"/>
          <w:szCs w:val="24"/>
        </w:rPr>
        <w:instrText xml:space="preserve"> ADDIN ZOTERO_ITEM CSL_CITATION {"citationID":"ZVm0SAOR","properties":{"formattedCitation":"(29)","plainCitation":"(29)","noteIndex":0},"citationItems":[{"id":162,"uris":["http://zotero.org/users/12333076/items/BYEQIBB9"],"itemData":{"id":162,"type":"article-journal","abstract":"AIMS: Sodium-glucose cotransporter-2 inhibitors (SGLT2is) have a protective cardiorenal effect in type 2 diabetes. This systematic review examines the effects of SGLT2is on clinical biomarkers of inflammation and oxidative stress.\nMETHODS: A search of Medline, Embase, Web of Science, and The Cochrane Library was performed examining changes in selected clinical biomarkers for inflammation: c-reactive protein (CRP), adiponectin, interleukin-6 (IL6), tumour necrosis factor-alpha (TNF-α), and oxidative stress: 8-iso-prostaglandin F2α (8-iso-PGF2α) and 8-hydroxy-2'-deoxyguanosine (8-OHdG). Quality of evidence was evaluated using the GRADEpro tool and risk of bias was assessed using the Cochrane RoB 2 and ROBINS-I tools.\nRESULTS: A total of 23 (15 randomised, 8 observational) heterogeneously-designed clinical studies were identified (1654 patients, 24 weeks median follow-up). Consistent reductions were observed for CRP (10/12 studies), IL6 (5/5 studies), TNFα (3/4 studies), 8-iso-PGF2α (3/4 studies) and 8-OHdG (2/2 studies), and a consistent increase in adiponectin (6/8 studies). Change in serum CRP following SGLT2is appear to be independent of change in HbA1c and other study design and clinically relevant variables.\nCONCLUSIONS: There is heterogeneous, yet consistent data supporting the beneficial effects of SLGT2is on inflammatory and oxidative stress. Change in serum CRP appears to be independent of change in HbA1c.","container-title":"Diabetes Research and Clinical Practice","DOI":"10.1016/j.diabres.2020.108368","ISSN":"1872-8227","journalAbbreviation":"Diabetes Res Clin Pract","language":"eng","note":"PMID: 32800932","page":"108368","source":"PubMed","title":"A systematic review examining the effects of sodium-glucose cotransporter-2 inhibitors (SGLT2is) on biomarkers of inflammation and oxidative stress","volume":"168","author":[{"family":"Bray","given":"Jonathan J. H."},{"family":"Foster-Davies","given":"Harri"},{"family":"Stephens","given":"Jeffrey W."}],"issued":{"date-parts":[["2020",10]]}}}],"schema":"https://github.com/citation-style-language/schema/raw/master/csl-citation.json"} </w:instrText>
      </w:r>
      <w:r w:rsidRPr="003B6BFD">
        <w:rPr>
          <w:sz w:val="24"/>
          <w:szCs w:val="24"/>
        </w:rPr>
        <w:fldChar w:fldCharType="separate"/>
      </w:r>
      <w:r w:rsidRPr="003B6BFD">
        <w:rPr>
          <w:sz w:val="24"/>
          <w:szCs w:val="24"/>
        </w:rPr>
        <w:t>(29)</w:t>
      </w:r>
      <w:r w:rsidRPr="003B6BFD">
        <w:rPr>
          <w:sz w:val="24"/>
          <w:szCs w:val="24"/>
        </w:rPr>
        <w:fldChar w:fldCharType="end"/>
      </w:r>
      <w:r w:rsidRPr="003B6BFD">
        <w:rPr>
          <w:sz w:val="24"/>
          <w:szCs w:val="24"/>
        </w:rPr>
        <w:t xml:space="preserve">. Indeed, this was further corroborated in a real-world observational pilot trial of SGLT2i’s which </w:t>
      </w:r>
      <w:r w:rsidRPr="003B6BFD">
        <w:rPr>
          <w:sz w:val="24"/>
          <w:szCs w:val="24"/>
        </w:rPr>
        <w:lastRenderedPageBreak/>
        <w:t xml:space="preserve">demonstrated modification of urine antioxidant enzyme activity in the urine of T2DM patients treated with SGLT2 inhibition </w:t>
      </w:r>
      <w:r w:rsidRPr="003B6BFD">
        <w:rPr>
          <w:sz w:val="24"/>
          <w:szCs w:val="24"/>
        </w:rPr>
        <w:fldChar w:fldCharType="begin"/>
      </w:r>
      <w:r w:rsidRPr="003B6BFD">
        <w:rPr>
          <w:sz w:val="24"/>
          <w:szCs w:val="24"/>
        </w:rPr>
        <w:instrText xml:space="preserve"> ADDIN ZOTERO_ITEM CSL_CITATION {"citationID":"2gQn8ecC","properties":{"formattedCitation":"(30)","plainCitation":"(30)","noteIndex":0},"citationItems":[{"id":165,"uris":["http://zotero.org/users/12333076/items/TUHYBMVJ"],"itemData":{"id":165,"type":"article-journal","abstract":"Sodium-glucose cotransporter 2 inhibitors (SGLT2i) have been recognized as potent antioxidant agents. Since SGLT2i are nephroprotective drugs, we aimed to examine the urine antioxidant status in patients with type 2 diabetes mellitus (T2DM). One hundred and one subjects participated in this study, including 37 T2DM patients treated with SGLT2i, 31 T2DM patients not using SGLT2i, and 33 healthy individuals serving as a control group. Total antioxidant capacity (TAC), superoxide dismutase (SOD), manganese superoxide dismutase (MnSOD), free thiol groups (R-SH, sulfhydryl groups), and catalase (CAT) activity, as well as glucose concentration, were assessed in the urine of all participants. Urine SOD and MnSOD activity were significantly higher among T2DM patients treated with SGLT2i than T2DM patients without SGLT2i treatment (p = 0.009 and p = 0.003, respectively) and to the healthy controls (p = 0.002 and p = 0.001, respectively). TAC was significantly lower in patients with T2DM treated with SGLT2i when compared to those not treated and healthy subjects (p = 0.036 and p = 0.019, respectively). It could be hypothesized that the mechanism by which SGLT2i provides nephroprotective effects involves improvement of the SOD antioxidant activity. However, lower TAC might impose higher OS (oxidative stress), and elevation of SOD activity might be a compensatory mechanism.","container-title":"Oxidative Medicine and Cellular Longevity","DOI":"10.1155/2021/5593589","ISSN":"1942-0994","journalAbbreviation":"Oxid Med Cell Longev","language":"eng","note":"PMID: 34336104\nPMCID: PMC8294983","page":"5593589","source":"PubMed","title":"Influence of SGLT2 Inhibitor Treatment on Urine Antioxidant Status in Type 2 Diabetic Patients: A Pilot Study","title-short":"Influence of SGLT2 Inhibitor Treatment on Urine Antioxidant Status in Type 2 Diabetic Patients","volume":"2021","author":[{"family":"Nabrdalik-Leśniak","given":"Diana"},{"family":"Nabrdalik","given":"Katarzyna"},{"family":"Sedlaczek","given":"Katarzyna"},{"family":"Główczyński","given":"Patryk"},{"family":"Kwiendacz","given":"Hanna"},{"family":"Sawczyn","given":"Tomasz"},{"family":"Hajzler","given":"Weronika"},{"family":"Drożdż","given":"Karolina"},{"family":"Hendel","given":"Mirela"},{"family":"Irlik","given":"Krzysztof"},{"family":"Stelmach","given":"Paweł"},{"family":"Adamczyk","given":"Piotr"},{"family":"Paradysz","given":"Andrzej"},{"family":"Kasperczyk","given":"Sławomir"},{"family":"Stompór","given":"Tomasz"},{"family":"Gumprecht","given":"Janusz"}],"issued":{"date-parts":[["2021"]]}}}],"schema":"https://github.com/citation-style-language/schema/raw/master/csl-citation.json"} </w:instrText>
      </w:r>
      <w:r w:rsidRPr="003B6BFD">
        <w:rPr>
          <w:sz w:val="24"/>
          <w:szCs w:val="24"/>
        </w:rPr>
        <w:fldChar w:fldCharType="separate"/>
      </w:r>
      <w:r w:rsidRPr="003B6BFD">
        <w:rPr>
          <w:sz w:val="24"/>
          <w:szCs w:val="24"/>
        </w:rPr>
        <w:t>(30)</w:t>
      </w:r>
      <w:r w:rsidRPr="003B6BFD">
        <w:rPr>
          <w:sz w:val="24"/>
          <w:szCs w:val="24"/>
        </w:rPr>
        <w:fldChar w:fldCharType="end"/>
      </w:r>
      <w:r w:rsidRPr="003B6BFD">
        <w:rPr>
          <w:sz w:val="24"/>
          <w:szCs w:val="24"/>
        </w:rPr>
        <w:t>.</w:t>
      </w:r>
    </w:p>
    <w:p w14:paraId="27EB5D76" w14:textId="33E917CB" w:rsidR="005028E5" w:rsidRPr="003B6BFD" w:rsidRDefault="005028E5" w:rsidP="005028E5">
      <w:pPr>
        <w:rPr>
          <w:sz w:val="24"/>
          <w:szCs w:val="24"/>
        </w:rPr>
      </w:pPr>
      <w:r w:rsidRPr="003B6BFD">
        <w:rPr>
          <w:sz w:val="24"/>
          <w:szCs w:val="24"/>
        </w:rPr>
        <w:t xml:space="preserve">Indeed, SGLT2i has been shown to attenuate cardiac fibrosis via modulation of macrophage phenotype through reactive oxygen and nitrogen species/STAT3-dependent pathway </w:t>
      </w:r>
      <w:r w:rsidRPr="003B6BFD">
        <w:rPr>
          <w:sz w:val="24"/>
          <w:szCs w:val="24"/>
        </w:rPr>
        <w:fldChar w:fldCharType="begin"/>
      </w:r>
      <w:r w:rsidRPr="003B6BFD">
        <w:rPr>
          <w:sz w:val="24"/>
          <w:szCs w:val="24"/>
        </w:rPr>
        <w:instrText xml:space="preserve"> ADDIN ZOTERO_ITEM CSL_CITATION {"citationID":"63s9hrGi","properties":{"formattedCitation":"(31)","plainCitation":"(31)","noteIndex":0},"citationItems":[{"id":171,"uris":["http://zotero.org/users/12333076/items/CC9VUPHM"],"itemData":{"id":171,"type":"article-journal","abstract":"During myocardial infarction, infiltrated macrophages have pivotal roles in cardiac remodeling and delayed M1 toward M2 macrophage phenotype transition is considered one of the major factors for adverse ventricular remodeling. We investigated whether dapagliflozin, a sodium-glucose cotransporter 2 (SGLT2) inhibitor, attenuates cardiac fibrosis via regulating macrophage phenotype by a reactive oxygen and nitrogen species (RONS)/STAT3-dependent pathway in postinfarcted rats. Normoglycemic male Wistar rats were subjected to coronary ligation and then randomized to either saline, dapagliflozin (a specific SGLT2 inhibitor), phlorizin (a nonspecific SGLT1/2 inhibitor), dapagliflozin + S3I-201 (a STAT3 inhibitor), or phlorizin + S3I-201 for 4 weeks. There were similar infarct sizes among the infarcted groups at the acute and chronic stages of infarction. At day 3 after infarction, post-infarction was associated with increased levels of superoxide and nitrotyrosine, which can be inhibited by administering either dapagliflozin or phlorizin. SGLT2 inhibitors significantly increased STAT3 activity, STAT3 nuclear translocation, myocardial IL-10 levels and the percentage of M2 macrophage infiltration. At day 28 after infarction, SGLT2 inhibitors were associated with attenuated myofibroblast infiltration and cardiac fibrosis. Although phlorizin decreased myofibroblast infiltration, the effect of dapagliflozin on attenuated myofibroblast infiltration was significantly higher than phlorizin. The effects of SGLT2 inhibitors on cardiac fibrosis were nullified by adding S3I-201. Furthermore, the effects of dapagliflozin on STAT3 activity and myocardial IL-10 levels can be reversed by 3-morpholinosydnonimine, a peroxynitrite generator. Taken together, these observations provide a novel mechanism of SGLT2 inhibitors-mediated M2 polarization through a RONS-dependent STAT3-mediated pathway and selective SGLT2 inhibitors are more effective in attenuating myofibroblast infiltration during postinfarction remodeling.","container-title":"Free Radical Biology &amp; Medicine","DOI":"10.1016/j.freeradbiomed.2017.01.035","ISSN":"1873-4596","journalAbbreviation":"Free Radic Biol Med","language":"eng","note":"PMID: 28132924","page":"298-310","source":"PubMed","title":"Dapagliflozin, a selective SGLT2 Inhibitor, attenuated cardiac fibrosis by regulating the macrophage polarization via STAT3 signaling in infarcted rat hearts","volume":"104","author":[{"family":"Lee","given":"Tsung-Ming"},{"family":"Chang","given":"Nen-Chung"},{"family":"Lin","given":"Shinn-Zong"}],"issued":{"date-parts":[["2017",3]]}}}],"schema":"https://github.com/citation-style-language/schema/raw/master/csl-citation.json"} </w:instrText>
      </w:r>
      <w:r w:rsidRPr="003B6BFD">
        <w:rPr>
          <w:sz w:val="24"/>
          <w:szCs w:val="24"/>
        </w:rPr>
        <w:fldChar w:fldCharType="separate"/>
      </w:r>
      <w:r w:rsidRPr="003B6BFD">
        <w:rPr>
          <w:sz w:val="24"/>
          <w:szCs w:val="24"/>
        </w:rPr>
        <w:t>(31)</w:t>
      </w:r>
      <w:r w:rsidRPr="003B6BFD">
        <w:rPr>
          <w:sz w:val="24"/>
          <w:szCs w:val="24"/>
        </w:rPr>
        <w:fldChar w:fldCharType="end"/>
      </w:r>
      <w:r w:rsidRPr="003B6BFD">
        <w:rPr>
          <w:sz w:val="24"/>
          <w:szCs w:val="24"/>
        </w:rPr>
        <w:t xml:space="preserve">. Specifically, empagliflozin reduces </w:t>
      </w:r>
      <w:r w:rsidR="00BF1E3A">
        <w:rPr>
          <w:sz w:val="24"/>
          <w:szCs w:val="24"/>
        </w:rPr>
        <w:t>t</w:t>
      </w:r>
      <w:r w:rsidR="00BF1E3A" w:rsidRPr="00BF1E3A">
        <w:rPr>
          <w:sz w:val="24"/>
          <w:szCs w:val="24"/>
        </w:rPr>
        <w:t xml:space="preserve">ransforming </w:t>
      </w:r>
      <w:r w:rsidR="00BF1E3A">
        <w:rPr>
          <w:sz w:val="24"/>
          <w:szCs w:val="24"/>
        </w:rPr>
        <w:t>g</w:t>
      </w:r>
      <w:r w:rsidR="00BF1E3A" w:rsidRPr="00BF1E3A">
        <w:rPr>
          <w:sz w:val="24"/>
          <w:szCs w:val="24"/>
        </w:rPr>
        <w:t xml:space="preserve">rowth </w:t>
      </w:r>
      <w:r w:rsidR="00BF1E3A">
        <w:rPr>
          <w:sz w:val="24"/>
          <w:szCs w:val="24"/>
        </w:rPr>
        <w:t>f</w:t>
      </w:r>
      <w:r w:rsidR="00BF1E3A" w:rsidRPr="00BF1E3A">
        <w:rPr>
          <w:sz w:val="24"/>
          <w:szCs w:val="24"/>
        </w:rPr>
        <w:t>actor beta</w:t>
      </w:r>
      <w:r w:rsidR="00BF1E3A">
        <w:rPr>
          <w:sz w:val="24"/>
          <w:szCs w:val="24"/>
        </w:rPr>
        <w:t>-1</w:t>
      </w:r>
      <w:r w:rsidR="00BF1E3A" w:rsidRPr="00BF1E3A">
        <w:rPr>
          <w:sz w:val="24"/>
          <w:szCs w:val="24"/>
        </w:rPr>
        <w:t xml:space="preserve"> </w:t>
      </w:r>
      <w:r w:rsidR="00BF1E3A">
        <w:rPr>
          <w:sz w:val="24"/>
          <w:szCs w:val="24"/>
        </w:rPr>
        <w:t>(</w:t>
      </w:r>
      <w:r w:rsidRPr="003B6BFD">
        <w:rPr>
          <w:sz w:val="24"/>
          <w:szCs w:val="24"/>
        </w:rPr>
        <w:t>TGF-β1</w:t>
      </w:r>
      <w:r w:rsidR="00BF1E3A">
        <w:rPr>
          <w:sz w:val="24"/>
          <w:szCs w:val="24"/>
        </w:rPr>
        <w:t>)</w:t>
      </w:r>
      <w:r w:rsidRPr="003B6BFD">
        <w:rPr>
          <w:sz w:val="24"/>
          <w:szCs w:val="24"/>
        </w:rPr>
        <w:t xml:space="preserve"> expression and Smad1, Smad2, Smad3 proteins involved in the fibrosis pathway in the myocardium of diabetic mice. In other mouse models, empagliflozin has been shown to up-regulate Smad7 which is known to antagonise myocardial fibrosis </w:t>
      </w:r>
      <w:r w:rsidRPr="003B6BFD">
        <w:rPr>
          <w:sz w:val="24"/>
          <w:szCs w:val="24"/>
        </w:rPr>
        <w:fldChar w:fldCharType="begin"/>
      </w:r>
      <w:r w:rsidRPr="003B6BFD">
        <w:rPr>
          <w:sz w:val="24"/>
          <w:szCs w:val="24"/>
        </w:rPr>
        <w:instrText xml:space="preserve"> ADDIN ZOTERO_ITEM CSL_CITATION {"citationID":"qehSPNak","properties":{"formattedCitation":"(32)","plainCitation":"(32)","noteIndex":0},"citationItems":[{"id":168,"uris":["http://zotero.org/users/12333076/items/UI552LTN"],"itemData":{"id":168,"type":"article-journal","abstract":"BACKGROUND: Hyperglycaemia associated with myocardial oxidative stress and fibrosis is the main cause of diabetic cardiomyopathy. Empagliflozin, a sodium-glucose cotransporter 2 (SGLT2) inhibitor has recently been reported to improve glycaemic control in patients with type 2 diabetes in an insulin-independent manner. The aim of this study was to investigate the effect of empagliflozin on myocardium injury and the potential mechanism in type 2 diabetic KK-Ay mice.\nMETHODS: Thirty diabetic KK-Ay mice were administered empagliflozin (10 mg/kg/day) by oral gavage daily for 8 weeks. After 8 weeks, heart structure and function were evaluated by echocardiography. Oxidants and antioxidants were measured and cardiac fibrosis was analysed using immunohistochemistry, Masson's trichrome stain and Western blot.\nRESULTS: Results showed that empagliflozin improved diabetic myocardial structure and function, decreased myocardial oxidative stress and ameliorated myocardial fibrosis. Further study indicated that empagliflozin suppressed oxidative stress and fibrosis through inhibition of the transforming growth factor β/Smad pathway and activation of Nrf2/ARE signaling.\nCONCLUSIONS: Glycaemic control with empagliflozin significantly ameliorated myocardial oxidative stress injury and cardiac fibrosis in diabetic mice. Taken together, these results indicate that the empagliflozin is a promising agent for the prevention and treatment of diabetic cardiomyopathy.","container-title":"Cardiovascular Diabetology","DOI":"10.1186/s12933-019-0816-2","ISSN":"1475-2840","issue":"1","journalAbbreviation":"Cardiovasc Diabetol","language":"eng","note":"PMID: 30710997\nPMCID: PMC6359811","page":"15","source":"PubMed","title":"SGLT2 inhibition with empagliflozin attenuates myocardial oxidative stress and fibrosis in diabetic mice heart","volume":"18","author":[{"family":"Li","given":"Chenguang"},{"family":"Zhang","given":"Jie"},{"family":"Xue","given":"Mei"},{"family":"Li","given":"Xiaoyu"},{"family":"Han","given":"Fei"},{"family":"Liu","given":"Xiangyang"},{"family":"Xu","given":"Linxin"},{"family":"Lu","given":"Yunhong"},{"family":"Cheng","given":"Ying"},{"family":"Li","given":"Ting"},{"family":"Yu","given":"Xiaochen"},{"family":"Sun","given":"Bei"},{"family":"Chen","given":"Liming"}],"issued":{"date-parts":[["2019",2,2]]}}}],"schema":"https://github.com/citation-style-language/schema/raw/master/csl-citation.json"} </w:instrText>
      </w:r>
      <w:r w:rsidRPr="003B6BFD">
        <w:rPr>
          <w:sz w:val="24"/>
          <w:szCs w:val="24"/>
        </w:rPr>
        <w:fldChar w:fldCharType="separate"/>
      </w:r>
      <w:r w:rsidRPr="003B6BFD">
        <w:rPr>
          <w:sz w:val="24"/>
          <w:szCs w:val="24"/>
        </w:rPr>
        <w:t>(32)</w:t>
      </w:r>
      <w:r w:rsidRPr="003B6BFD">
        <w:rPr>
          <w:sz w:val="24"/>
          <w:szCs w:val="24"/>
        </w:rPr>
        <w:fldChar w:fldCharType="end"/>
      </w:r>
      <w:r w:rsidRPr="003B6BFD">
        <w:rPr>
          <w:sz w:val="24"/>
          <w:szCs w:val="24"/>
        </w:rPr>
        <w:t xml:space="preserve">. Additionally, recent data has suggested further anti-inflammatory mechanisms of SGLT2i via cardiac Na+/H+-exchanger (NHE), which has a core role in maintaining cardiac ion homeostasis. This action may be mediated by suppression of pro-inflammatory pathways, specifically, TNF α-induced NHE activation </w:t>
      </w:r>
      <w:r w:rsidRPr="003B6BFD">
        <w:rPr>
          <w:sz w:val="24"/>
          <w:szCs w:val="24"/>
        </w:rPr>
        <w:fldChar w:fldCharType="begin"/>
      </w:r>
      <w:r w:rsidRPr="003B6BFD">
        <w:rPr>
          <w:sz w:val="24"/>
          <w:szCs w:val="24"/>
        </w:rPr>
        <w:instrText xml:space="preserve"> ADDIN ZOTERO_ITEM CSL_CITATION {"citationID":"h085NZJB","properties":{"formattedCitation":"(33,34)","plainCitation":"(33,34)","noteIndex":0},"citationItems":[{"id":179,"uris":["http://zotero.org/users/12333076/items/5KYBWQ95"],"itemData":{"id":179,"type":"article-journal","abstract":"AIMS/HYPOTHESIS: Sodium-glucose cotransporter 2 (SGLT2) inhibitors (SGLT2i) constitute a novel class of glucose-lowering (type 2) kidney-targeted agents. We recently reported that the SGLT2i empagliflozin (EMPA) reduced cardiac cytosolic Na+ ([Na+]c) and cytosolic Ca2+ ([Ca2+]c) concentrations through inhibition of Na+/H+ exchanger (NHE). Here, we examine (1) whether the SGLT2i dapagliflozin (DAPA) and canagliflozin (CANA) also inhibit NHE and reduce [Na+]c; (2) a structural model for the interaction of SGLT2i to NHE; (3) to what extent SGLT2i affect the haemodynamic and metabolic performance of isolated hearts of healthy mice.\nMETHODS: Cardiac NHE activity and [Na+]c in mouse cardiomyocytes were measured in the presence of clinically relevant concentrations of EMPA (1 μmol/l), DAPA (1 μmol/l), CANA (3 μmol/l) or vehicle. NHE docking simulation studies were applied to explore potential binding sites for SGTL2i. Constant-flow Langendorff-perfused mouse hearts were subjected to SGLT2i for 30 min, and cardiovascular function, O2 consumption and energetics (phosphocreatine (PCr)/ATP) were determined.\nRESULTS: EMPA, DAPA and CANA inhibited NHE activity (measured through low pH recovery after NH4+ pulse: EMPA 6.69</w:instrText>
      </w:r>
      <w:r w:rsidRPr="003B6BFD">
        <w:rPr>
          <w:rFonts w:ascii="Arial" w:hAnsi="Arial" w:cs="Arial"/>
          <w:sz w:val="24"/>
          <w:szCs w:val="24"/>
        </w:rPr>
        <w:instrText> </w:instrText>
      </w:r>
      <w:r w:rsidRPr="003B6BFD">
        <w:rPr>
          <w:rFonts w:ascii="Aptos" w:hAnsi="Aptos" w:cs="Aptos"/>
          <w:sz w:val="24"/>
          <w:szCs w:val="24"/>
        </w:rPr>
        <w:instrText>±</w:instrText>
      </w:r>
      <w:r w:rsidRPr="003B6BFD">
        <w:rPr>
          <w:rFonts w:ascii="Arial" w:hAnsi="Arial" w:cs="Arial"/>
          <w:sz w:val="24"/>
          <w:szCs w:val="24"/>
        </w:rPr>
        <w:instrText> </w:instrText>
      </w:r>
      <w:r w:rsidRPr="003B6BFD">
        <w:rPr>
          <w:sz w:val="24"/>
          <w:szCs w:val="24"/>
        </w:rPr>
        <w:instrText>0.09, DAPA 6.77</w:instrText>
      </w:r>
      <w:r w:rsidRPr="003B6BFD">
        <w:rPr>
          <w:rFonts w:ascii="Arial" w:hAnsi="Arial" w:cs="Arial"/>
          <w:sz w:val="24"/>
          <w:szCs w:val="24"/>
        </w:rPr>
        <w:instrText> </w:instrText>
      </w:r>
      <w:r w:rsidRPr="003B6BFD">
        <w:rPr>
          <w:rFonts w:ascii="Aptos" w:hAnsi="Aptos" w:cs="Aptos"/>
          <w:sz w:val="24"/>
          <w:szCs w:val="24"/>
        </w:rPr>
        <w:instrText>±</w:instrText>
      </w:r>
      <w:r w:rsidRPr="003B6BFD">
        <w:rPr>
          <w:rFonts w:ascii="Arial" w:hAnsi="Arial" w:cs="Arial"/>
          <w:sz w:val="24"/>
          <w:szCs w:val="24"/>
        </w:rPr>
        <w:instrText> </w:instrText>
      </w:r>
      <w:r w:rsidRPr="003B6BFD">
        <w:rPr>
          <w:sz w:val="24"/>
          <w:szCs w:val="24"/>
        </w:rPr>
        <w:instrText>0.12 and CANA 6.80</w:instrText>
      </w:r>
      <w:r w:rsidRPr="003B6BFD">
        <w:rPr>
          <w:rFonts w:ascii="Arial" w:hAnsi="Arial" w:cs="Arial"/>
          <w:sz w:val="24"/>
          <w:szCs w:val="24"/>
        </w:rPr>
        <w:instrText> </w:instrText>
      </w:r>
      <w:r w:rsidRPr="003B6BFD">
        <w:rPr>
          <w:rFonts w:ascii="Aptos" w:hAnsi="Aptos" w:cs="Aptos"/>
          <w:sz w:val="24"/>
          <w:szCs w:val="24"/>
        </w:rPr>
        <w:instrText>±</w:instrText>
      </w:r>
      <w:r w:rsidRPr="003B6BFD">
        <w:rPr>
          <w:rFonts w:ascii="Arial" w:hAnsi="Arial" w:cs="Arial"/>
          <w:sz w:val="24"/>
          <w:szCs w:val="24"/>
        </w:rPr>
        <w:instrText> </w:instrText>
      </w:r>
      <w:r w:rsidRPr="003B6BFD">
        <w:rPr>
          <w:sz w:val="24"/>
          <w:szCs w:val="24"/>
        </w:rPr>
        <w:instrText>0.18 vs vehicle 7.09</w:instrText>
      </w:r>
      <w:r w:rsidRPr="003B6BFD">
        <w:rPr>
          <w:rFonts w:ascii="Arial" w:hAnsi="Arial" w:cs="Arial"/>
          <w:sz w:val="24"/>
          <w:szCs w:val="24"/>
        </w:rPr>
        <w:instrText> </w:instrText>
      </w:r>
      <w:r w:rsidRPr="003B6BFD">
        <w:rPr>
          <w:rFonts w:ascii="Aptos" w:hAnsi="Aptos" w:cs="Aptos"/>
          <w:sz w:val="24"/>
          <w:szCs w:val="24"/>
        </w:rPr>
        <w:instrText>±</w:instrText>
      </w:r>
      <w:r w:rsidRPr="003B6BFD">
        <w:rPr>
          <w:rFonts w:ascii="Arial" w:hAnsi="Arial" w:cs="Arial"/>
          <w:sz w:val="24"/>
          <w:szCs w:val="24"/>
        </w:rPr>
        <w:instrText> </w:instrText>
      </w:r>
      <w:r w:rsidRPr="003B6BFD">
        <w:rPr>
          <w:sz w:val="24"/>
          <w:szCs w:val="24"/>
        </w:rPr>
        <w:instrText>0.09; p</w:instrText>
      </w:r>
      <w:r w:rsidRPr="003B6BFD">
        <w:rPr>
          <w:rFonts w:ascii="Arial" w:hAnsi="Arial" w:cs="Arial"/>
          <w:sz w:val="24"/>
          <w:szCs w:val="24"/>
        </w:rPr>
        <w:instrText> </w:instrText>
      </w:r>
      <w:r w:rsidRPr="003B6BFD">
        <w:rPr>
          <w:sz w:val="24"/>
          <w:szCs w:val="24"/>
        </w:rPr>
        <w:instrText>&lt;</w:instrText>
      </w:r>
      <w:r w:rsidRPr="003B6BFD">
        <w:rPr>
          <w:rFonts w:ascii="Arial" w:hAnsi="Arial" w:cs="Arial"/>
          <w:sz w:val="24"/>
          <w:szCs w:val="24"/>
        </w:rPr>
        <w:instrText> </w:instrText>
      </w:r>
      <w:r w:rsidRPr="003B6BFD">
        <w:rPr>
          <w:sz w:val="24"/>
          <w:szCs w:val="24"/>
        </w:rPr>
        <w:instrText>0.001 for all three comparisons) and reduced [Na+]c (in mmol/l: EMPA 10.0</w:instrText>
      </w:r>
      <w:r w:rsidRPr="003B6BFD">
        <w:rPr>
          <w:rFonts w:ascii="Arial" w:hAnsi="Arial" w:cs="Arial"/>
          <w:sz w:val="24"/>
          <w:szCs w:val="24"/>
        </w:rPr>
        <w:instrText> </w:instrText>
      </w:r>
      <w:r w:rsidRPr="003B6BFD">
        <w:rPr>
          <w:rFonts w:ascii="Aptos" w:hAnsi="Aptos" w:cs="Aptos"/>
          <w:sz w:val="24"/>
          <w:szCs w:val="24"/>
        </w:rPr>
        <w:instrText>±</w:instrText>
      </w:r>
      <w:r w:rsidRPr="003B6BFD">
        <w:rPr>
          <w:rFonts w:ascii="Arial" w:hAnsi="Arial" w:cs="Arial"/>
          <w:sz w:val="24"/>
          <w:szCs w:val="24"/>
        </w:rPr>
        <w:instrText> </w:instrText>
      </w:r>
      <w:r w:rsidRPr="003B6BFD">
        <w:rPr>
          <w:sz w:val="24"/>
          <w:szCs w:val="24"/>
        </w:rPr>
        <w:instrText>0.5, DAPA 10.7</w:instrText>
      </w:r>
      <w:r w:rsidRPr="003B6BFD">
        <w:rPr>
          <w:rFonts w:ascii="Arial" w:hAnsi="Arial" w:cs="Arial"/>
          <w:sz w:val="24"/>
          <w:szCs w:val="24"/>
        </w:rPr>
        <w:instrText> </w:instrText>
      </w:r>
      <w:r w:rsidRPr="003B6BFD">
        <w:rPr>
          <w:rFonts w:ascii="Aptos" w:hAnsi="Aptos" w:cs="Aptos"/>
          <w:sz w:val="24"/>
          <w:szCs w:val="24"/>
        </w:rPr>
        <w:instrText>±</w:instrText>
      </w:r>
      <w:r w:rsidRPr="003B6BFD">
        <w:rPr>
          <w:rFonts w:ascii="Arial" w:hAnsi="Arial" w:cs="Arial"/>
          <w:sz w:val="24"/>
          <w:szCs w:val="24"/>
        </w:rPr>
        <w:instrText> </w:instrText>
      </w:r>
      <w:r w:rsidRPr="003B6BFD">
        <w:rPr>
          <w:sz w:val="24"/>
          <w:szCs w:val="24"/>
        </w:rPr>
        <w:instrText>0.7 and CANA 11.0</w:instrText>
      </w:r>
      <w:r w:rsidRPr="003B6BFD">
        <w:rPr>
          <w:rFonts w:ascii="Arial" w:hAnsi="Arial" w:cs="Arial"/>
          <w:sz w:val="24"/>
          <w:szCs w:val="24"/>
        </w:rPr>
        <w:instrText> </w:instrText>
      </w:r>
      <w:r w:rsidRPr="003B6BFD">
        <w:rPr>
          <w:rFonts w:ascii="Aptos" w:hAnsi="Aptos" w:cs="Aptos"/>
          <w:sz w:val="24"/>
          <w:szCs w:val="24"/>
        </w:rPr>
        <w:instrText>±</w:instrText>
      </w:r>
      <w:r w:rsidRPr="003B6BFD">
        <w:rPr>
          <w:rFonts w:ascii="Arial" w:hAnsi="Arial" w:cs="Arial"/>
          <w:sz w:val="24"/>
          <w:szCs w:val="24"/>
        </w:rPr>
        <w:instrText> </w:instrText>
      </w:r>
      <w:r w:rsidRPr="003B6BFD">
        <w:rPr>
          <w:sz w:val="24"/>
          <w:szCs w:val="24"/>
        </w:rPr>
        <w:instrText>0.9 vs vehicle 12.7</w:instrText>
      </w:r>
      <w:r w:rsidRPr="003B6BFD">
        <w:rPr>
          <w:rFonts w:ascii="Arial" w:hAnsi="Arial" w:cs="Arial"/>
          <w:sz w:val="24"/>
          <w:szCs w:val="24"/>
        </w:rPr>
        <w:instrText> </w:instrText>
      </w:r>
      <w:r w:rsidRPr="003B6BFD">
        <w:rPr>
          <w:rFonts w:ascii="Aptos" w:hAnsi="Aptos" w:cs="Aptos"/>
          <w:sz w:val="24"/>
          <w:szCs w:val="24"/>
        </w:rPr>
        <w:instrText>±</w:instrText>
      </w:r>
      <w:r w:rsidRPr="003B6BFD">
        <w:rPr>
          <w:rFonts w:ascii="Arial" w:hAnsi="Arial" w:cs="Arial"/>
          <w:sz w:val="24"/>
          <w:szCs w:val="24"/>
        </w:rPr>
        <w:instrText> </w:instrText>
      </w:r>
      <w:r w:rsidRPr="003B6BFD">
        <w:rPr>
          <w:sz w:val="24"/>
          <w:szCs w:val="24"/>
        </w:rPr>
        <w:instrText>0.7; p</w:instrText>
      </w:r>
      <w:r w:rsidRPr="003B6BFD">
        <w:rPr>
          <w:rFonts w:ascii="Arial" w:hAnsi="Arial" w:cs="Arial"/>
          <w:sz w:val="24"/>
          <w:szCs w:val="24"/>
        </w:rPr>
        <w:instrText> </w:instrText>
      </w:r>
      <w:r w:rsidRPr="003B6BFD">
        <w:rPr>
          <w:sz w:val="24"/>
          <w:szCs w:val="24"/>
        </w:rPr>
        <w:instrText>&lt;</w:instrText>
      </w:r>
      <w:r w:rsidRPr="003B6BFD">
        <w:rPr>
          <w:rFonts w:ascii="Arial" w:hAnsi="Arial" w:cs="Arial"/>
          <w:sz w:val="24"/>
          <w:szCs w:val="24"/>
        </w:rPr>
        <w:instrText> </w:instrText>
      </w:r>
      <w:r w:rsidRPr="003B6BFD">
        <w:rPr>
          <w:sz w:val="24"/>
          <w:szCs w:val="24"/>
        </w:rPr>
        <w:instrText xml:space="preserve">0.001). Docking studies provided high binding affinity of all three SGLT2i with the extracellular Na+-binding site of NHE. EMPA and CANA, but not DAPA, induced coronary vasodilation of the intact heart. PCr/ATP remained unaffected.\nCONCLUSIONS/INTERPRETATION: EMPA, DAPA and CANA directly inhibit cardiac NHE flux and reduce [Na+]c, possibly by binding with the Na+-binding site of NHE-1. Furthermore, EMPA and CANA affect the healthy heart by inducing vasodilation. The [Na+]c-lowering class effect of SGLT2i is a potential approach to combat elevated [Na+]c that is known to occur in heart failure and diabetes.","container-title":"Diabetologia","DOI":"10.1007/s00125-017-4509-7","ISSN":"1432-0428","issue":"3","journalAbbreviation":"Diabetologia","language":"eng","note":"PMID: 29197997\nPMCID: PMC6448958","page":"722-726","source":"PubMed","title":"Class effects of SGLT2 inhibitors in mouse cardiomyocytes and hearts: inhibition of Na+/H+ exchanger, lowering of cytosolic Na+ and vasodilation","title-short":"Class effects of SGLT2 inhibitors in mouse cardiomyocytes and hearts","volume":"61","author":[{"family":"Uthman","given":"Laween"},{"family":"Baartscheer","given":"Antonius"},{"family":"Bleijlevens","given":"Boris"},{"family":"Schumacher","given":"Cees A."},{"family":"Fiolet","given":"Jan W. T."},{"family":"Koeman","given":"Anneke"},{"family":"Jancev","given":"Milena"},{"family":"Hollmann","given":"Markus W."},{"family":"Weber","given":"Nina C."},{"family":"Coronel","given":"Ruben"},{"family":"Zuurbier","given":"Coert J."}],"issued":{"date-parts":[["2018",3]]}}},{"id":176,"uris":["http://zotero.org/users/12333076/items/438VCYQ8"],"itemData":{"id":176,"type":"article-journal","abstract":"AIMS/HYPOTHESIS: Empagliflozin (EMPA), an inhibitor of the renal sodium-glucose cotransporter (SGLT) 2, reduces the risk of cardiovascular death in patients with type 2 diabetes. The underlying mechanism of this effect is unknown. Elevated cardiac cytoplasmic Na+ ([Na+]c) and Ca2+ ([Ca2+]c) concentrations and decreased mitochondrial Ca2+ concentration ([Ca2+]m) are drivers of heart failure and cardiac death. We therefore hypothesised that EMPA would directly modify [Na+]c, [Ca2+]c and [Ca2+]m in cardiomyocytes.\nMETHODS: [Na+]c, [Ca2+]c, [Ca 2+]m and Na+/H+ exchanger (NHE) activity were measured fluorometrically in isolated ventricular myocytes from rabbits and rats.\nRESULTS: An increase in extracellular glucose, from 5.5 mmol/l to 11 mmol/l, resulted in increased [Na+]c and [Ca2+]c levels. EMPA treatment directly inhibited NHE flux, caused a reduction in [Na+]c and [Ca2+]c and increased [Ca2+]m. After pretreatment with the NHE inhibitor, Cariporide, these effects of EMPA were strongly reduced. EMPA also affected [Na+]c and NHE flux in the absence of extracellular glucose.\nCONCLUSIONS/INTERPRETATION: The glucose lowering kidney-targeted agent, EMPA, demonstrates direct cardiac effects by lowering myocardial [Na+]c and [Ca2+]c and enhancing [Ca2+]m, through impairment of myocardial NHE flux, independent of SGLT2 activity.","container-title":"Diabetologia","DOI":"10.1007/s00125-016-4134-x","ISSN":"1432-0428","issue":"3","journalAbbreviation":"Diabetologia","language":"eng","note":"PMID: 27752710\nPMCID: PMC6518059","page":"568-573","source":"PubMed","title":"Empagliflozin decreases myocardial cytoplasmic Na+ through inhibition of the cardiac Na+/H+ exchanger in rats and rabbits","volume":"60","author":[{"family":"Baartscheer","given":"Antonius"},{"family":"Schumacher","given":"Cees A."},{"family":"Wüst","given":"Rob C. I."},{"family":"Fiolet","given":"Jan W. T."},{"family":"Stienen","given":"Ger J. M."},{"family":"Coronel","given":"Ruben"},{"family":"Zuurbier","given":"Coert J."}],"issued":{"date-parts":[["2017",3]]}}}],"schema":"https://github.com/citation-style-language/schema/raw/master/csl-citation.json"} </w:instrText>
      </w:r>
      <w:r w:rsidRPr="003B6BFD">
        <w:rPr>
          <w:sz w:val="24"/>
          <w:szCs w:val="24"/>
        </w:rPr>
        <w:fldChar w:fldCharType="separate"/>
      </w:r>
      <w:r w:rsidRPr="003B6BFD">
        <w:rPr>
          <w:sz w:val="24"/>
          <w:szCs w:val="24"/>
        </w:rPr>
        <w:t>(33,34)</w:t>
      </w:r>
      <w:r w:rsidRPr="003B6BFD">
        <w:rPr>
          <w:sz w:val="24"/>
          <w:szCs w:val="24"/>
        </w:rPr>
        <w:fldChar w:fldCharType="end"/>
      </w:r>
      <w:r w:rsidRPr="003B6BFD">
        <w:rPr>
          <w:sz w:val="24"/>
          <w:szCs w:val="24"/>
        </w:rPr>
        <w:t>.</w:t>
      </w:r>
    </w:p>
    <w:p w14:paraId="0B6D3875" w14:textId="7BA5B44E" w:rsidR="005028E5" w:rsidRPr="003B6BFD" w:rsidRDefault="005028E5" w:rsidP="005028E5">
      <w:pPr>
        <w:rPr>
          <w:sz w:val="24"/>
          <w:szCs w:val="24"/>
        </w:rPr>
      </w:pPr>
      <w:r w:rsidRPr="003B6BFD">
        <w:rPr>
          <w:sz w:val="24"/>
          <w:szCs w:val="24"/>
        </w:rPr>
        <w:t xml:space="preserve">Altered myocardial energetics have also been identified as novel explanation for the cardiac effects of SGLT2 inhibitors in HF.  SGLT2 inhibition leads to lower plasma insulin and mimics a state of autophagy, stimulating lipolysis and ultimately, ketogenesis. This shift in metabolism results in increased myocardial ketone body utilisation and possibly improved cardiac energetics </w:t>
      </w:r>
      <w:r w:rsidRPr="003B6BFD">
        <w:rPr>
          <w:sz w:val="24"/>
          <w:szCs w:val="24"/>
        </w:rPr>
        <w:fldChar w:fldCharType="begin"/>
      </w:r>
      <w:r w:rsidRPr="003B6BFD">
        <w:rPr>
          <w:sz w:val="24"/>
          <w:szCs w:val="24"/>
        </w:rPr>
        <w:instrText xml:space="preserve"> ADDIN ZOTERO_ITEM CSL_CITATION {"citationID":"7aFtvVsM","properties":{"formattedCitation":"(35)","plainCitation":"(35)","noteIndex":0},"citationItems":[{"id":182,"uris":["http://zotero.org/users/12333076/items/NR4B47P3"],"itemData":{"id":182,"type":"article-journal","abstract":"The high energy demands of the heart are met primarily by the mitochondrial oxidation of fatty acids and glucose. However, in heart failure there is a decrease in cardiac mitochondrial oxidative metabolism and glucose oxidation that can lead to an energy starved heart. Ketone bodies are readily oxidized by the heart, and can provide an additional source of energy for the failing heart. Ketone oxidation is increased in the failing heart, which may be an adaptive response to lessen the severity of heart failure. While ketone have been widely touted as a \"thrifty fuel\", increasing ketone oxidation in the heart does not increase cardiac efficiency (cardiac work/oxygen consumed), but rather does provide an additional fuel source for the failing heart. Increasing ketone supply to the heart and increasing mitochondrial ketone oxidation increases mitochondrial tricarboxylic acid cycle activity. In support of this, increasing circulating ketone by iv infusion of ketone bodies acutely improves heart function in heart failure patients. Chronically, treatment with sodium glucose co-transporter 2 inhibitors, which decreases the severity of heart failure, also increases ketone body supply to the heart. While ketogenic diets increase circulating ketone levels, minimal benefit on cardiac function in heart failure has been observed, possibly due to the fact that these dietary regimens also markedly increase circulating fatty acids. Recent studies, however, have suggested that administration of ketone ester cocktails may improve cardiac function in heart failure. Combined, emerging data suggests that increasing cardiac ketone oxidation may be a therapeutic strategy to treat heart failure.","container-title":"Biochimica Et Biophysica Acta. Molecular and Cell Biology of Lipids","DOI":"10.1016/j.bbalip.2020.158813","ISSN":"1879-2618","issue":"12","journalAbbreviation":"Biochim Biophys Acta Mol Cell Biol Lipids","language":"eng","note":"PMID: 32920139","page":"158813","source":"PubMed","title":"Ketone metabolism in the failing heart","volume":"1865","author":[{"family":"Lopaschuk","given":"Gary D."},{"family":"Karwi","given":"Qutuba G."},{"family":"Ho","given":"Kim L."},{"family":"Pherwani","given":"Simran"},{"family":"Ketema","given":"Ezra B."}],"issued":{"date-parts":[["2020",12]]}}}],"schema":"https://github.com/citation-style-language/schema/raw/master/csl-citation.json"} </w:instrText>
      </w:r>
      <w:r w:rsidRPr="003B6BFD">
        <w:rPr>
          <w:sz w:val="24"/>
          <w:szCs w:val="24"/>
        </w:rPr>
        <w:fldChar w:fldCharType="separate"/>
      </w:r>
      <w:r w:rsidRPr="003B6BFD">
        <w:rPr>
          <w:sz w:val="24"/>
          <w:szCs w:val="24"/>
        </w:rPr>
        <w:t>(35)</w:t>
      </w:r>
      <w:r w:rsidRPr="003B6BFD">
        <w:rPr>
          <w:sz w:val="24"/>
          <w:szCs w:val="24"/>
        </w:rPr>
        <w:fldChar w:fldCharType="end"/>
      </w:r>
      <w:r w:rsidRPr="003B6BFD">
        <w:rPr>
          <w:sz w:val="24"/>
          <w:szCs w:val="24"/>
        </w:rPr>
        <w:t xml:space="preserve">. Indeed, this has been demonstrated in small clinical exploratory studies with </w:t>
      </w:r>
      <w:r w:rsidR="00AD76DE">
        <w:rPr>
          <w:sz w:val="24"/>
          <w:szCs w:val="24"/>
        </w:rPr>
        <w:t xml:space="preserve">a </w:t>
      </w:r>
      <w:r w:rsidR="00AD76DE" w:rsidRPr="00AD76DE">
        <w:rPr>
          <w:sz w:val="24"/>
          <w:szCs w:val="24"/>
        </w:rPr>
        <w:t xml:space="preserve">β-Hydroxybutyric acid </w:t>
      </w:r>
      <w:r w:rsidR="00AD76DE">
        <w:rPr>
          <w:sz w:val="24"/>
          <w:szCs w:val="24"/>
        </w:rPr>
        <w:t>(</w:t>
      </w:r>
      <w:r w:rsidRPr="003B6BFD">
        <w:rPr>
          <w:sz w:val="24"/>
          <w:szCs w:val="24"/>
        </w:rPr>
        <w:t>β-HB</w:t>
      </w:r>
      <w:r w:rsidR="00AD76DE">
        <w:rPr>
          <w:sz w:val="24"/>
          <w:szCs w:val="24"/>
        </w:rPr>
        <w:t>)</w:t>
      </w:r>
      <w:r w:rsidRPr="003B6BFD">
        <w:rPr>
          <w:sz w:val="24"/>
          <w:szCs w:val="24"/>
        </w:rPr>
        <w:t xml:space="preserve"> infusion in HF patients improving LVEF by 8% compared with placebo </w:t>
      </w:r>
      <w:r w:rsidRPr="003B6BFD">
        <w:rPr>
          <w:sz w:val="24"/>
          <w:szCs w:val="24"/>
        </w:rPr>
        <w:fldChar w:fldCharType="begin"/>
      </w:r>
      <w:r w:rsidRPr="003B6BFD">
        <w:rPr>
          <w:sz w:val="24"/>
          <w:szCs w:val="24"/>
        </w:rPr>
        <w:instrText xml:space="preserve"> ADDIN ZOTERO_ITEM CSL_CITATION {"citationID":"UOZljQWe","properties":{"formattedCitation":"(36)","plainCitation":"(36)","noteIndex":0},"citationItems":[{"id":184,"uris":["http://zotero.org/users/12333076/items/VQV35SWF"],"itemData":{"id":184,"type":"article-journal","abstract":"BACKGROUND: Myocardial utilization of 3-hydroxybutyrate (3-OHB) is increased in patients with heart failure and reduced ejection fraction (HFrEF). However, the cardiovascular effects of increased circulating plasma-3-OHB levels in these patients are unknown. Consequently, the authors' aim was to modulate circulating 3-OHB levels in HFrEF patients and evaluate: (1) changes in cardiac output (CO); (2) a potential dose-response relationship between 3-OHB levels and CO; (3) the impact on myocardial external energy efficiency (MEE) and oxygen consumption (MVO2); and (4) whether the cardiovascular response differed between HFrEF patients and age-matched volunteers.\nMETHODS: Study 1: 16 chronic HFrEF patients (left ventricular ejection fraction: 37±3%) were randomized in a crossover design to 3-hour of 3-OHB or placebo infusion. Patients were monitored invasively with a Swan-Ganz catheter and with echocardiography. Study 2: In a dose-response study, 8 HFrEF patients were examined at increasing 3-OHB infusion rates. Study 3 to 4: 10 HFrEF patients and 10 age-matched volunteers were randomized in a crossover design to 3-hour 3-OHB or placebo infusion. MEE and MVO2 were evaluated using 11C-acetate positron emission tomography.\nRESULTS: 3-OHB infusion increased circulating levels of plasma 3-OHB from 0.4±0.3 to 3.3±0.4 mM ( P&lt;0.001). CO rose by 2.0±0.2 L/min ( P&lt;0.001) because of an increase in stroke volume of 20±2 mL ( P&lt;0.001) and heart rate of 7±2 beats per minute (bpm) ( P&lt;0.001). Left ventricular ejection fraction increased 8±1% ( P&lt;0.001) numerically. There was a dose-response relationship with a significant CO increase of 0.3 L/min already at plasma-3-OHB levels of 0.7 mM ( P&lt;0.001). 3-OHB increased MVO2 without altering MEE. The response to 3-OHB infusion in terms of MEE and CO did not differ between HFrEF patents and age-matched volunteers.\nCONCLUSIONS: 3-OHB has beneficial hemodynamic effects in HFrEF patients without impairing MEE. These beneficial effects are detectable in the physiological concentration range of circulating 3-OHB levels. The hemodynamic effects of 3-OHB were observed in both HFrEF patients and age-matched volunteers. 3-OHB may potentially constitute a novel treatment principle in HFrEF patients.","container-title":"Circulation","DOI":"10.1161/CIRCULATIONAHA.118.036459","ISSN":"1524-4539","issue":"18","journalAbbreviation":"Circulation","language":"eng","note":"PMID: 30884964\nPMCID: PMC6493702","page":"2129-2141","source":"PubMed","title":"Cardiovascular Effects of Treatment With the Ketone Body 3-Hydroxybutyrate in Chronic Heart Failure Patients","volume":"139","author":[{"family":"Nielsen","given":"Roni"},{"family":"Møller","given":"Niels"},{"family":"Gormsen","given":"Lars C."},{"family":"Tolbod","given":"Lars Poulsen"},{"family":"Hansson","given":"Nils Henrik"},{"family":"Sorensen","given":"Jens"},{"family":"Harms","given":"Hendrik Johannes"},{"family":"Frøkiær","given":"Jørgen"},{"family":"Eiskjaer","given":"Hans"},{"family":"Jespersen","given":"Nichlas Riise"},{"family":"Mellemkjaer","given":"Søren"},{"family":"Lassen","given":"Thomas Ravn"},{"family":"Pryds","given":"Kasper"},{"family":"Bøtker","given":"Hans Erik"},{"family":"Wiggers","given":"Henrik"}],"issued":{"date-parts":[["2019",4,30]]}}}],"schema":"https://github.com/citation-style-language/schema/raw/master/csl-citation.json"} </w:instrText>
      </w:r>
      <w:r w:rsidRPr="003B6BFD">
        <w:rPr>
          <w:sz w:val="24"/>
          <w:szCs w:val="24"/>
        </w:rPr>
        <w:fldChar w:fldCharType="separate"/>
      </w:r>
      <w:r w:rsidRPr="003B6BFD">
        <w:rPr>
          <w:sz w:val="24"/>
          <w:szCs w:val="24"/>
        </w:rPr>
        <w:t>(36)</w:t>
      </w:r>
      <w:r w:rsidRPr="003B6BFD">
        <w:rPr>
          <w:sz w:val="24"/>
          <w:szCs w:val="24"/>
        </w:rPr>
        <w:fldChar w:fldCharType="end"/>
      </w:r>
      <w:r w:rsidRPr="003B6BFD">
        <w:rPr>
          <w:sz w:val="24"/>
          <w:szCs w:val="24"/>
        </w:rPr>
        <w:t xml:space="preserve">. Furthermore, in mouse models, empagliflozin improved LV contractility in combination with an increase in plasma ketone body circulation </w:t>
      </w:r>
      <w:r w:rsidRPr="003B6BFD">
        <w:rPr>
          <w:sz w:val="24"/>
          <w:szCs w:val="24"/>
        </w:rPr>
        <w:fldChar w:fldCharType="begin"/>
      </w:r>
      <w:r w:rsidRPr="003B6BFD">
        <w:rPr>
          <w:sz w:val="24"/>
          <w:szCs w:val="24"/>
        </w:rPr>
        <w:instrText xml:space="preserve"> ADDIN ZOTERO_ITEM CSL_CITATION {"citationID":"vqsz4oWU","properties":{"formattedCitation":"(37)","plainCitation":"(37)","noteIndex":0},"citationItems":[{"id":187,"uris":["http://zotero.org/users/12333076/items/MA938LHQ"],"itemData":{"id":187,"type":"article-journal","abstract":"BACKGROUND: Empagliflozin cardiac benefits in the EMPA-REG OUTCOME (Empagliflozin Cardiovascular Outcome Event Trial in Type 2 Diabetes Mellitus Patients) trial cannot be explained exclusively by its antihyperglycemic activity.\nOBJECTIVES: The hypothesis was that empagliflozin's cardiac benefits are mediated by switching myocardial fuel metabolism away from glucose toward ketone bodies (KB), which improves myocardial energy production.\nMETHODS: Heart failure was induced in nondiabetic pigs (n = 14) by 2-h balloon occlusion of the proximal left anterior descending artery. Animals were randomized to empagliflozin or placebo for 2 months. Animals were evaluated with cardiac magnetic resonance imaging and 3-dimensional echocardiography. Myocardial metabolite consumption was analyzed by simultaneous blood sampling from coronary artery and coronary sinus. Myocardial samples were obtained for molecular evaluation. Nonmyocardial infarction animals served as comparison.\nRESULTS: Despite similar initial ischemic myocardial injury in both groups, the empagliflozin group showed amelioration of adverse remodeling at 2 months (lower left ventricular [LV] mass, reduced LV dilatation, less LV sphericity) versus the control group. LV systolic function (LV ejection fraction and echocardiography-derived strains) was improved, as was neurohormonal activation. Compared with nonmyocardial infarction, control animals increased myocardial glucose consumption mainly through anaerobic glycolysis while reducing utilization of free fatty acid (FFA) and branched-chain amino acid (BCAA). Empagliflozin-treated pigs did not consume glucose (reduction in myocardial glucose uptake, and glucose-related enzymes) but instead switched toward utilization of KB, FFA, and BCAA (increased myocardial uptake of these 3 metabolites, and enhanced expression/activity of the enzymes implicated in the metabolism of KB/FFA/BCAA). Empagliflozin increased myocardial ATP content and enhanced myocardial work efficiency.\nCONCLUSIONS: Empagliflozin ameliorates adverse cardiac remodeling and heart failure in a nondiabetic porcine model. Empagliflozin switches myocardial fuel utilization away from glucose toward KB, FFA, and BCAA, thereby improving myocardial energetics, enhancing LV systolic function, and ameliorating adverse LV remodeling.","container-title":"Journal of the American College of Cardiology","DOI":"10.1016/j.jacc.2019.01.056","ISSN":"1558-3597","issue":"15","journalAbbreviation":"J Am Coll Cardiol","language":"eng","note":"PMID: 30999996","page":"1931-1944","source":"PubMed","title":"Empagliflozin Ameliorates Adverse Left Ventricular Remodeling in Nondiabetic Heart Failure by Enhancing Myocardial Energetics","volume":"73","author":[{"family":"Santos-Gallego","given":"Carlos G."},{"family":"Requena-Ibanez","given":"Juan Antonio"},{"family":"San Antonio","given":"Rodolfo"},{"family":"Ishikawa","given":"Kiyotake"},{"family":"Watanabe","given":"Shin"},{"family":"Picatoste","given":"Belen"},{"family":"Flores","given":"Eduardo"},{"family":"Garcia-Ropero","given":"Alvaro"},{"family":"Sanz","given":"Javier"},{"family":"Hajjar","given":"Roger J."},{"family":"Fuster","given":"Valentin"},{"family":"Badimon","given":"Juan J."}],"issued":{"date-parts":[["2019",4,23]]}}}],"schema":"https://github.com/citation-style-language/schema/raw/master/csl-citation.json"} </w:instrText>
      </w:r>
      <w:r w:rsidRPr="003B6BFD">
        <w:rPr>
          <w:sz w:val="24"/>
          <w:szCs w:val="24"/>
        </w:rPr>
        <w:fldChar w:fldCharType="separate"/>
      </w:r>
      <w:r w:rsidRPr="003B6BFD">
        <w:rPr>
          <w:sz w:val="24"/>
          <w:szCs w:val="24"/>
        </w:rPr>
        <w:t>(37)</w:t>
      </w:r>
      <w:r w:rsidRPr="003B6BFD">
        <w:rPr>
          <w:sz w:val="24"/>
          <w:szCs w:val="24"/>
        </w:rPr>
        <w:fldChar w:fldCharType="end"/>
      </w:r>
      <w:r w:rsidRPr="003B6BFD">
        <w:rPr>
          <w:sz w:val="24"/>
          <w:szCs w:val="24"/>
        </w:rPr>
        <w:t xml:space="preserve">. </w:t>
      </w:r>
    </w:p>
    <w:p w14:paraId="781BAA01" w14:textId="77777777" w:rsidR="005028E5" w:rsidRPr="003B6BFD" w:rsidRDefault="005028E5" w:rsidP="005028E5">
      <w:pPr>
        <w:rPr>
          <w:sz w:val="24"/>
          <w:szCs w:val="24"/>
        </w:rPr>
      </w:pPr>
      <w:r w:rsidRPr="003B6BFD">
        <w:rPr>
          <w:sz w:val="24"/>
          <w:szCs w:val="24"/>
        </w:rPr>
        <w:t xml:space="preserve">These mechanisms may overlap with attenuation of pro-inflammatory pathways by increased levels of β-HB inhibition class I histone deacetylases which in turn has been shown to enhanced transcription of genes encoding oxidative stress resistance factors such as FOXO3A and MT2 </w:t>
      </w:r>
      <w:r w:rsidRPr="003B6BFD">
        <w:rPr>
          <w:sz w:val="24"/>
          <w:szCs w:val="24"/>
        </w:rPr>
        <w:fldChar w:fldCharType="begin"/>
      </w:r>
      <w:r w:rsidRPr="003B6BFD">
        <w:rPr>
          <w:sz w:val="24"/>
          <w:szCs w:val="24"/>
        </w:rPr>
        <w:instrText xml:space="preserve"> ADDIN ZOTERO_ITEM CSL_CITATION {"citationID":"HdHMhhYD","properties":{"formattedCitation":"(38)","plainCitation":"(38)","noteIndex":0},"citationItems":[{"id":189,"uris":["http://zotero.org/users/12333076/items/G6PSRK6X"],"itemData":{"id":189,"type":"article-journal","abstract":"The ketone bodies β-hydroxybutyrate (BHB) and acetoacetate (AcAc) support mammalian survival during states of energy deficit by serving as alternative sources of ATP. BHB levels are elevated by starvation, caloric restriction, high-intensity exercise, or the low-carbohydrate ketogenic diet. Prolonged fasting reduces inflammation; however, the impact that ketones and other alternative metabolic fuels produced during energy deficits have on the innate immune response is unknown. We report that BHB, but neither AcAc nor the structurally related short-chain fatty acids butyrate and acetate, suppresses activation of the NLRP3 inflammasome in response to urate crystals, ATP and lipotoxic fatty acids. BHB did not inhibit caspase-1 activation in response to pathogens that activate the NLR family, CARD domain containing 4 (NLRC4) or absent in melanoma 2 (AIM2) inflammasome and did not affect non-canonical caspase-11, inflammasome activation. Mechanistically, BHB inhibits the NLRP3 inflammasome by preventing K(+) efflux and reducing ASC oligomerization and speck formation. The inhibitory effects of BHB on NLRP3 are not dependent on chirality or starvation-regulated mechanisms like AMP-activated protein kinase (AMPK), reactive oxygen species (ROS), autophagy or glycolytic inhibition. BHB blocks the NLRP3 inflammasome without undergoing oxidation in the TCA cycle, and independently of uncoupling protein-2 (UCP2), sirtuin-2 (SIRT2), the G protein-coupled receptor GPR109A or hydrocaboxylic acid receptor 2 (HCAR2). BHB reduces NLRP3 inflammasome-mediated interleukin (IL)-1β and IL-18 production in human monocytes. In vivo, BHB or a ketogenic diet attenuates caspase-1 activation and IL-1β secretion in mouse models of NLRP3-mediated diseases such as Muckle-Wells syndrome, familial cold autoinflammatory syndrome and urate crystal-induced peritonitis. Our findings suggest that the anti-inflammatory effects of caloric restriction or ketogenic diets may be linked to BHB-mediated inhibition of the NLRP3 inflammasome.","container-title":"Nature Medicine","DOI":"10.1038/nm.3804","ISSN":"1546-170X","issue":"3","journalAbbreviation":"Nat Med","language":"eng","note":"PMID: 25686106\nPMCID: PMC4352123","page":"263-269","source":"PubMed","title":"The ketone metabolite β-hydroxybutyrate blocks NLRP3 inflammasome-mediated inflammatory disease","volume":"21","author":[{"family":"Youm","given":"Yun-Hee"},{"family":"Nguyen","given":"Kim Y."},{"family":"Grant","given":"Ryan W."},{"family":"Goldberg","given":"Emily L."},{"family":"Bodogai","given":"Monica"},{"family":"Kim","given":"Dongin"},{"family":"D'Agostino","given":"Dominic"},{"family":"Planavsky","given":"Noah"},{"family":"Lupfer","given":"Christopher"},{"family":"Kanneganti","given":"Thirumala D."},{"family":"Kang","given":"Seokwon"},{"family":"Horvath","given":"Tamas L."},{"family":"Fahmy","given":"Tarek M."},{"family":"Crawford","given":"Peter A."},{"family":"Biragyn","given":"Arya"},{"family":"Alnemri","given":"Emad"},{"family":"Dixit","given":"Vishwa Deep"}],"issued":{"date-parts":[["2015",3]]}}}],"schema":"https://github.com/citation-style-language/schema/raw/master/csl-citation.json"} </w:instrText>
      </w:r>
      <w:r w:rsidRPr="003B6BFD">
        <w:rPr>
          <w:sz w:val="24"/>
          <w:szCs w:val="24"/>
        </w:rPr>
        <w:fldChar w:fldCharType="separate"/>
      </w:r>
      <w:r w:rsidRPr="003B6BFD">
        <w:rPr>
          <w:sz w:val="24"/>
          <w:szCs w:val="24"/>
        </w:rPr>
        <w:t>(38)</w:t>
      </w:r>
      <w:r w:rsidRPr="003B6BFD">
        <w:rPr>
          <w:sz w:val="24"/>
          <w:szCs w:val="24"/>
        </w:rPr>
        <w:fldChar w:fldCharType="end"/>
      </w:r>
      <w:r w:rsidRPr="003B6BFD">
        <w:rPr>
          <w:sz w:val="24"/>
          <w:szCs w:val="24"/>
        </w:rPr>
        <w:t xml:space="preserve">. Work by Kim </w:t>
      </w:r>
      <w:r w:rsidRPr="0093692B">
        <w:rPr>
          <w:i/>
          <w:iCs/>
          <w:sz w:val="24"/>
          <w:szCs w:val="24"/>
        </w:rPr>
        <w:t>et al</w:t>
      </w:r>
      <w:r w:rsidRPr="003B6BFD">
        <w:rPr>
          <w:sz w:val="24"/>
          <w:szCs w:val="24"/>
        </w:rPr>
        <w:t xml:space="preserve"> has further corroborated this link, they found that SGLT2 inhibition reduced pro-inflammatory cytokines (IL-1β) in tandem with increased β-HB and decreased serum insulin levels. Furthermore, they found that β-HB inhibited macrophage mediated activation of the NLRP3 inflammasome </w:t>
      </w:r>
      <w:r w:rsidRPr="003B6BFD">
        <w:rPr>
          <w:sz w:val="24"/>
          <w:szCs w:val="24"/>
        </w:rPr>
        <w:fldChar w:fldCharType="begin"/>
      </w:r>
      <w:r w:rsidRPr="003B6BFD">
        <w:rPr>
          <w:sz w:val="24"/>
          <w:szCs w:val="24"/>
        </w:rPr>
        <w:instrText xml:space="preserve"> ADDIN ZOTERO_ITEM CSL_CITATION {"citationID":"q6Uz3y7y","properties":{"formattedCitation":"(19)","plainCitation":"(19)","noteIndex":0},"citationItems":[{"id":129,"uris":["http://zotero.org/users/12333076/items/YJTWAA5P"],"itemData":{"id":129,"type":"article-journal","abstract":"Sodium-glucose cotransporter 2 (SGLT2) inhibitors reduce cardiovascular events in humans with type 2 diabetes (T2D); however, the underlying mechanism remains unclear. Activation of the NLR family, pyrin domain-containing 3 (NLRP3) inflammasome and subsequent interleukin (IL)-1β release induces atherosclerosis and heart failure. Here we show the effect of SGLT2 inhibitor empagliflozin on NLRP3 inflammasome activity. Patients with T2D and high cardiovascular risk receive SGLT2 inhibitor or sulfonylurea for 30 days, with NLRP3 inflammasome activation analyzed in macrophages. While the SGLT2 inhibitor's glucose-lowering capacity is similar to sulfonylurea, it shows a greater reduction in IL-1β secretion compared to sulfonylurea accompanied by increased serum β-hydroxybutyrate (BHB) and decreased serum insulin. Ex vivo experiments with macrophages verify the inhibitory effects of high BHB and low insulin levels on NLRP3 inflammasome activation. In conclusion, SGLT2 inhibitor attenuates NLRP3 inflammasome activation, which might help to explain its cardioprotective effects.","container-title":"Nature Communications","DOI":"10.1038/s41467-020-15983-6","ISSN":"2041-1723","issue":"1","journalAbbreviation":"Nat Commun","language":"eng","note":"PMID: 32358544\nPMCID: PMC7195385","page":"2127","source":"PubMed","title":"SGLT2 inhibition modulates NLRP3 inflammasome activity via ketones and insulin in diabetes with cardiovascular disease","volume":"11","author":[{"family":"Kim","given":"So Ra"},{"family":"Lee","given":"Sang-Guk"},{"family":"Kim","given":"Soo Hyun"},{"family":"Kim","given":"Jin Hee"},{"family":"Choi","given":"Eunhye"},{"family":"Cho","given":"Wonhee"},{"family":"Rim","given":"John Hoon"},{"family":"Hwang","given":"Inhwa"},{"family":"Lee","given":"Chan Joo"},{"family":"Lee","given":"Minyoung"},{"family":"Oh","given":"Chang-Myung"},{"family":"Jeon","given":"Justin Y."},{"family":"Gee","given":"Heon Yung"},{"family":"Kim","given":"Jeong-Ho"},{"family":"Lee","given":"Byung-Wan"},{"family":"Kang","given":"Eun Seok"},{"family":"Cha","given":"Bong-Soo"},{"family":"Lee","given":"Myung-Shik"},{"family":"Yu","given":"Je-Wook"},{"family":"Cho","given":"Jin Won"},{"family":"Kim","given":"Jung-Sun"},{"family":"Lee","given":"Yong-Ho"}],"issued":{"date-parts":[["2020",5,1]]}}}],"schema":"https://github.com/citation-style-language/schema/raw/master/csl-citation.json"} </w:instrText>
      </w:r>
      <w:r w:rsidRPr="003B6BFD">
        <w:rPr>
          <w:sz w:val="24"/>
          <w:szCs w:val="24"/>
        </w:rPr>
        <w:fldChar w:fldCharType="separate"/>
      </w:r>
      <w:r w:rsidRPr="003B6BFD">
        <w:rPr>
          <w:sz w:val="24"/>
          <w:szCs w:val="24"/>
        </w:rPr>
        <w:t>(19)</w:t>
      </w:r>
      <w:r w:rsidRPr="003B6BFD">
        <w:rPr>
          <w:sz w:val="24"/>
          <w:szCs w:val="24"/>
        </w:rPr>
        <w:fldChar w:fldCharType="end"/>
      </w:r>
      <w:r w:rsidRPr="003B6BFD">
        <w:rPr>
          <w:sz w:val="24"/>
          <w:szCs w:val="24"/>
        </w:rPr>
        <w:t>.</w:t>
      </w:r>
    </w:p>
    <w:p w14:paraId="5855EFD5" w14:textId="59DD6B00" w:rsidR="005028E5" w:rsidRDefault="005028E5" w:rsidP="005028E5">
      <w:pPr>
        <w:rPr>
          <w:sz w:val="24"/>
          <w:szCs w:val="24"/>
        </w:rPr>
      </w:pPr>
      <w:r w:rsidRPr="003B6BFD">
        <w:rPr>
          <w:sz w:val="24"/>
          <w:szCs w:val="24"/>
        </w:rPr>
        <w:t xml:space="preserve">Although limited studies have directly explored the direct cardiac effects of SGLT2 inhibition in heart failure, there have been exploratory trials in patients with T2DMs which reinforce the hypothesis of a direct cardiac mechanism of action. In </w:t>
      </w:r>
      <w:r w:rsidRPr="003B6BFD">
        <w:rPr>
          <w:b/>
          <w:bCs/>
          <w:i/>
          <w:iCs/>
          <w:sz w:val="24"/>
          <w:szCs w:val="24"/>
        </w:rPr>
        <w:t>DAPA-LVH</w:t>
      </w:r>
      <w:r w:rsidRPr="003B6BFD">
        <w:rPr>
          <w:sz w:val="24"/>
          <w:szCs w:val="24"/>
        </w:rPr>
        <w:t xml:space="preserve">, initial investigation of the direct effects on myocardial remodelling were evaluated using cardiac </w:t>
      </w:r>
      <w:r w:rsidR="005E4B2D">
        <w:rPr>
          <w:sz w:val="24"/>
          <w:szCs w:val="24"/>
        </w:rPr>
        <w:t>magnetic resonance imaging (</w:t>
      </w:r>
      <w:r w:rsidRPr="003B6BFD">
        <w:rPr>
          <w:sz w:val="24"/>
          <w:szCs w:val="24"/>
        </w:rPr>
        <w:t>MRI</w:t>
      </w:r>
      <w:r w:rsidR="005E4B2D">
        <w:rPr>
          <w:sz w:val="24"/>
          <w:szCs w:val="24"/>
        </w:rPr>
        <w:t>)</w:t>
      </w:r>
      <w:r w:rsidRPr="003B6BFD">
        <w:rPr>
          <w:sz w:val="24"/>
          <w:szCs w:val="24"/>
        </w:rPr>
        <w:t xml:space="preserve"> and demonstrated significant reductions in LV mass vs placebo following 12 months of treatment (-3.95 ± 4.85 g vs -1.13 ± 4.55 g, p = 0.018)</w:t>
      </w:r>
      <w:r w:rsidRPr="003B6BFD">
        <w:rPr>
          <w:sz w:val="24"/>
          <w:szCs w:val="24"/>
          <w:vertAlign w:val="superscript"/>
        </w:rPr>
        <w:t xml:space="preserve"> </w:t>
      </w:r>
      <w:r w:rsidRPr="003B6BFD">
        <w:rPr>
          <w:sz w:val="24"/>
          <w:szCs w:val="24"/>
          <w:vertAlign w:val="superscript"/>
        </w:rPr>
        <w:fldChar w:fldCharType="begin"/>
      </w:r>
      <w:r w:rsidRPr="003B6BFD">
        <w:rPr>
          <w:sz w:val="24"/>
          <w:szCs w:val="24"/>
          <w:vertAlign w:val="superscript"/>
        </w:rPr>
        <w:instrText xml:space="preserve"> ADDIN ZOTERO_ITEM CSL_CITATION {"citationID":"bzcyi7gf","properties":{"formattedCitation":"(17)","plainCitation":"(17)","noteIndex":0},"citationItems":[{"id":119,"uris":["http://zotero.org/users/12333076/items/PSYH9ANR"],"itemData":{"id":119,"type":"article-journal","abstract":"AIM: We tested the hypothesis that dapagliflozin may regress left ventricular hypertrophy (LVH) in people with type 2 diabetes (T2D).\nMETHODS AND RESULTS: We randomly assigned 66 people (mean age 67 ± 7 years, 38 males) with T2D, LVH, and controlled blood pressure (BP) to receive dapagliflozin 10 mg once daily or placebo for 12 months. Primary endpoint was change in absolute left ventricular mass (LVM), assessed by cardiac magnetic resonance imaging. In the intention-to-treat analysis, dapagliflozin significantly reduced LVM compared with placebo with an absolute mean change of -2.82g [95% confidence interval (CI): -5.13 to -0.51, P = 0.018]. Additional sensitivity analysis adjusting for baseline LVM, baseline BP, weight, and systolic BP change showed the LVM change to remain statistically significant (mean change -2.92g; 95% CI: -5.45 to -0.38, P = 0.025). Dapagliflozin significantly reduced pre-specified secondary endpoints including ambulatory 24-h systolic BP (P = 0.012), nocturnal systolic BP (P = 0.017), body weight (P &lt; 0.001), visceral adipose tissue (VAT) (P &lt; 0.001), subcutaneous adipose tissue (SCAT) (P = 0.001), insulin resistance, Homeostatic Model Assessment of Insulin Resistance (P = 0.017), and high-sensitivity C-reactive protein (hsCRP) (P = 0.049).\nCONCLUSION: Dapagliflozin treatment significantly reduced LVM in people with T2D and LVH. This reduction in LVM was accompanied by reductions in systolic BP, body weight, visceral and SCAT, insulin resistance, and hsCRP. The regression of LVM suggests dapagliflozin can initiate reverse remodelling and changes in left ventricular structure that may partly contribute to the cardio-protective effects of dapagliflozin.\nCLINICALTRIALS.GOV IDENTIFIER: NCT02956811.","container-title":"European Heart Journal","DOI":"10.1093/eurheartj/ehaa419","ISSN":"1522-9645","issue":"36","journalAbbreviation":"Eur Heart J","language":"eng","note":"PMID: 32578850\nPMCID: PMC8202417","page":"3421-3432","source":"PubMed","title":"A randomized controlled trial of dapagliflozin on left ventricular hypertrophy in people with type two diabetes: the DAPA-LVH trial","title-short":"A randomized controlled trial of dapagliflozin on left ventricular hypertrophy in people with type two diabetes","volume":"41","author":[{"family":"Brown","given":"Alexander J. M."},{"family":"Gandy","given":"Stephen"},{"family":"McCrimmon","given":"Rory"},{"family":"Houston","given":"John Graeme"},{"family":"Struthers","given":"Allan D."},{"family":"Lang","given":"Chim C."}],"issued":{"date-parts":[["2020",9,21]]}}}],"schema":"https://github.com/citation-style-language/schema/raw/master/csl-citation.json"} </w:instrText>
      </w:r>
      <w:r w:rsidRPr="003B6BFD">
        <w:rPr>
          <w:sz w:val="24"/>
          <w:szCs w:val="24"/>
          <w:vertAlign w:val="superscript"/>
        </w:rPr>
        <w:fldChar w:fldCharType="separate"/>
      </w:r>
      <w:r w:rsidRPr="003B6BFD">
        <w:rPr>
          <w:sz w:val="24"/>
          <w:szCs w:val="24"/>
        </w:rPr>
        <w:t>(17)</w:t>
      </w:r>
      <w:r w:rsidRPr="003B6BFD">
        <w:rPr>
          <w:sz w:val="24"/>
          <w:szCs w:val="24"/>
        </w:rPr>
        <w:fldChar w:fldCharType="end"/>
      </w:r>
      <w:r w:rsidRPr="003B6BFD">
        <w:rPr>
          <w:sz w:val="24"/>
          <w:szCs w:val="24"/>
        </w:rPr>
        <w:t xml:space="preserve">. These findings were further replicated in </w:t>
      </w:r>
      <w:r w:rsidRPr="003B6BFD">
        <w:rPr>
          <w:b/>
          <w:bCs/>
          <w:i/>
          <w:iCs/>
          <w:sz w:val="24"/>
          <w:szCs w:val="24"/>
        </w:rPr>
        <w:t>EMPA-HEART</w:t>
      </w:r>
      <w:r w:rsidRPr="003B6BFD">
        <w:rPr>
          <w:sz w:val="24"/>
          <w:szCs w:val="24"/>
        </w:rPr>
        <w:t xml:space="preserve"> which demonstrated a significant reduction in LV mass following six months of treatment vs placebo (2.6 g/m2 and 0.01 g/m2, p=0.01)</w:t>
      </w:r>
      <w:r w:rsidRPr="003B6BFD">
        <w:rPr>
          <w:sz w:val="24"/>
          <w:szCs w:val="24"/>
          <w:vertAlign w:val="superscript"/>
        </w:rPr>
        <w:t xml:space="preserve"> </w:t>
      </w:r>
      <w:r w:rsidRPr="003B6BFD">
        <w:rPr>
          <w:sz w:val="24"/>
          <w:szCs w:val="24"/>
          <w:vertAlign w:val="superscript"/>
        </w:rPr>
        <w:fldChar w:fldCharType="begin"/>
      </w:r>
      <w:r w:rsidRPr="003B6BFD">
        <w:rPr>
          <w:sz w:val="24"/>
          <w:szCs w:val="24"/>
          <w:vertAlign w:val="superscript"/>
        </w:rPr>
        <w:instrText xml:space="preserve"> ADDIN ZOTERO_ITEM CSL_CITATION {"citationID":"RxPNK2Jd","properties":{"formattedCitation":"(39)","plainCitation":"(39)","noteIndex":0},"citationItems":[{"id":195,"uris":["http://zotero.org/users/12333076/items/LGAJ2AXZ"],"itemData":{"id":195,"type":"article-journal","abstract":"BACKGROUND: SGLT2 (sodium-glucose cotransporter 2) inhibitors lower cardiovascular events in type 2 diabetes mellitus but whether they promote direct cardiac effects remains unknown. We sought to determine if empagliflozin causes a decrease in left ventricular (LV) mass in people with type 2 diabetes mellitus and coronary artery disease.\nMETHODS: Between November 2016 and April 2018, we recruited 97 individuals ≥40 and ≤80 years old with glycated hemoglobin 6.5% to 10.0%, known coronary artery disease, and estimated glomerular filtration rate ≥60mL/min/1.73m2. The participants were randomized to empagliflozin (10 mg/day, n=49) or placebo (n=48) for 6 months, in addition to standard of care. The primary outcome was the 6-month change in LV mass indexed to body surface area from baseline as measured by cardiac magnetic resonance imaging. Other measures included 6-month changes in LV end-diastolic and -systolic volumes indexed to body surface area, ejection fraction, 24-hour ambulatory blood pressure, hematocrit, and NT-proBNP (N-terminal pro b-type natriuretic peptide).\nRESULTS: Among the 97 participants (90 men [93%], mean [standard deviation] age 62.8 [9.0] years, type 2 diabetes mellitus duration 11.0 [8.2] years, estimated glomerular filtration rate 88.4 [16.9] mL/min/1.73m2, LV mass indexed to body surface area 60.7 [11.9] g/m2), 90 had evaluable imaging at follow-up. Mean LV mass indexed to body surface area regression over 6 months was 2.6 g/m2 and 0.01 g/m2 for those assigned empagliflozin and placebo, respectively (adjusted difference -3.35 g/m2; 95% CI, -5.9 to -0.81g/m2, P=0.01). In the empagliflozin-allocated group, there was significant lowering of overall ambulatory systolic blood pressure (adjusted difference -6.8mmHg, 95% CI -11.2 to -2.3mmHg, P=0.003), diastolic blood pressure (adjusted difference -3.2mmHg; 95% CI, -5.8 to -0.6mmHg, P=0.02) and elevation of hematocrit (P=0.0003).\nCONCLUSIONS: Among people with type 2 diabetes mellitus and coronary artery disease, SGLT2 inhibition with empagliflozin was associated with significant reduction in LV mass indexed to body surface area after 6 months, which may account in part for the beneficial cardiovascular outcomes observed in the EMPA-REG OUTCOME (BI 10773 [Empagliflozin] Cardiovascular Outcome Event Trial in Type 2 Diabetes Mellitus Patients) trial.\nCLINICAL TRIAL REGISTRATION: URL: https://www.clinicaltrials.gov. Unique identifier: NCT02998970.","container-title":"Circulation","DOI":"10.1161/CIRCULATIONAHA.119.042375","ISSN":"1524-4539","issue":"21","journalAbbreviation":"Circulation","language":"eng","note":"PMID: 31434508","page":"1693-1702","source":"PubMed","title":"Effect of Empagliflozin on Left Ventricular Mass in Patients With Type 2 Diabetes Mellitus and Coronary Artery Disease: The EMPA-HEART CardioLink-6 Randomized Clinical Trial","title-short":"Effect of Empagliflozin on Left Ventricular Mass in Patients With Type 2 Diabetes Mellitus and Coronary Artery Disease","volume":"140","author":[{"family":"Verma","given":"Subodh"},{"family":"Mazer","given":"C. David"},{"family":"Yan","given":"Andrew T."},{"family":"Mason","given":"Tamique"},{"family":"Garg","given":"Vinay"},{"family":"Teoh","given":"Hwee"},{"family":"Zuo","given":"Fei"},{"family":"Quan","given":"Adrian"},{"family":"Farkouh","given":"Michael E."},{"family":"Fitchett","given":"David H."},{"family":"Goodman","given":"Shaun G."},{"family":"Goldenberg","given":"Ronald M."},{"family":"Al-Omran","given":"Mohammed"},{"family":"Gilbert","given":"Richard E."},{"family":"Bhatt","given":"Deepak L."},{"family":"Leiter","given":"Lawrence A."},{"family":"Jüni","given":"Peter"},{"family":"Zinman","given":"Bernard"},{"family":"Connelly","given":"Kim A."}],"issued":{"date-parts":[["2019",11,19]]}}}],"schema":"https://github.com/citation-style-language/schema/raw/master/csl-citation.json"} </w:instrText>
      </w:r>
      <w:r w:rsidRPr="003B6BFD">
        <w:rPr>
          <w:sz w:val="24"/>
          <w:szCs w:val="24"/>
          <w:vertAlign w:val="superscript"/>
        </w:rPr>
        <w:fldChar w:fldCharType="separate"/>
      </w:r>
      <w:r w:rsidRPr="003B6BFD">
        <w:rPr>
          <w:sz w:val="24"/>
          <w:szCs w:val="24"/>
        </w:rPr>
        <w:t>(39)</w:t>
      </w:r>
      <w:r w:rsidRPr="003B6BFD">
        <w:rPr>
          <w:sz w:val="24"/>
          <w:szCs w:val="24"/>
        </w:rPr>
        <w:fldChar w:fldCharType="end"/>
      </w:r>
      <w:r w:rsidRPr="003B6BFD">
        <w:rPr>
          <w:sz w:val="24"/>
          <w:szCs w:val="24"/>
        </w:rPr>
        <w:t xml:space="preserve">. Both these studies were exploratory investigations into LV remodelling in diabetics without heart failure. Furthermore, the treatment arms in both were small, with less than forty patients treated with an SGLT2 inhibitor.  Further to this, the recent publication of the </w:t>
      </w:r>
      <w:r w:rsidRPr="003B6BFD">
        <w:rPr>
          <w:b/>
          <w:bCs/>
          <w:i/>
          <w:iCs/>
          <w:sz w:val="24"/>
          <w:szCs w:val="24"/>
        </w:rPr>
        <w:t>EMPA-TROPISM</w:t>
      </w:r>
      <w:r w:rsidRPr="003B6BFD">
        <w:rPr>
          <w:sz w:val="24"/>
          <w:szCs w:val="24"/>
        </w:rPr>
        <w:t xml:space="preserve"> trial has demonstrated (using cardiac MRI) that SGLT2 inhibition with empagliflozin produces significant improvements in LV volumes, mass and LV systolic function </w:t>
      </w:r>
      <w:r w:rsidRPr="003B6BFD">
        <w:rPr>
          <w:sz w:val="24"/>
          <w:szCs w:val="24"/>
        </w:rPr>
        <w:fldChar w:fldCharType="begin"/>
      </w:r>
      <w:r w:rsidRPr="003B6BFD">
        <w:rPr>
          <w:sz w:val="24"/>
          <w:szCs w:val="24"/>
        </w:rPr>
        <w:instrText xml:space="preserve"> ADDIN ZOTERO_ITEM CSL_CITATION {"citationID":"DebwSU8b","properties":{"formattedCitation":"(40)","plainCitation":"(40)","noteIndex":0},"citationItems":[{"id":124,"uris":["http://zotero.org/users/12333076/items/LPZ8PMPH"],"itemData":{"id":124,"type":"article-journal","abstract":"BACKGROUND: Large clinical trials established the benefits of sodium-glucose cotransporter 2 inhibitors in patients with diabetes and with heart failure with reduced ejection fraction (HFrEF). The early and significant improvement in clinical outcomes is likely explained by effects beyond a reduction in hyperglycemia.\nOBJECTIVES: The purpose of this study was to assess the effect of empagliflozin on left ventricular (LV) function and volumes, functional capacity, and quality of life (QoL) in nondiabetic HFrEF patients.\nMETHODS: In this double-blind, placebo-controlled trial, nondiabetic HFrEF patients (n = 84) were randomized to empagliflozin 10 mg daily or placebo for 6 months. The primary endpoint was change in LV end-diastolic and -systolic volume assessed by cardiac magnetic resonance. Secondary endpoints included changes in LV mass, LV ejection fraction, peak oxygen consumption in the cardiopulmonary exercise test, 6-min walk test, and quality of life.\nRESULTS: Empagliflozin was associated with a significant reduction of LV end-diastolic volume (-25.1 ± 26.0 ml vs. -1.5 ± 25.4 ml for empagliflozin vs. placebo, respectively; p &lt; 0.001) and LV end-systolic volume (-26.6 ± 20.5 ml vs. -0.5 ± 21.9 ml for empagliflozin vs. placebo; p &lt; 0.001). Empagliflozin was associated with reductions in LV mass (-17.8 ± 31.9 g vs. 4.1 ± 13.4 g, for empagliflozin vs. placebo, respectively; p &lt; 0.001) and LV sphericity, and improvements in LV ejection fraction (6.0 ± 4.2 vs. -0.1 ± 3.9; p &lt; 0.001). Patients who received empagliflozin had significant improvements in peak O2 consumption (1.1 ± 2.6 ml/min/kg vs. -0.5 ± 1.9 ml/min/kg for empagliflozin vs. placebo, respectively; p = 0.017), oxygen uptake efficiency slope (111 ± 267 vs. -145 ± 318; p &lt; 0.001), as well as in 6-min walk test (81 ± 64 m vs. -35 ± 68 m; p &lt; 0.001) and quality of life (Kansas City Cardiomyopathy Questionnaire-12: 21 ± 18 vs. 2 ± 15; p &lt; 0.001).\nCONCLUSIONS: Empagliflozin administration to nondiabetic HFrEF patients significantly improves LV volumes, LV mass, LV systolic function, functional capacity, and quality of life when compared with placebo. Our observations strongly support a role for sodium-glucose cotransporter 2 inhibitors in the treatment of HFrEF patients independently of their glycemic status. (Are the \"Cardiac Benefits\" of Empagliflozin Independent of Its Hypoglycemic Activity? [ATRU-4] [EMPA-TROPISM]; NCT03485222).","container-title":"Journal of the American College of Cardiology","DOI":"10.1016/j.jacc.2020.11.008","ISSN":"1558-3597","issue":"3","journalAbbreviation":"J Am Coll Cardiol","language":"eng","note":"PMID: 33197559","page":"243-255","source":"PubMed","title":"Randomized Trial of Empagliflozin in Nondiabetic Patients With Heart Failure and Reduced Ejection Fraction","volume":"77","author":[{"family":"Santos-Gallego","given":"Carlos G."},{"family":"Vargas-Delgado","given":"Ariana P."},{"family":"Requena-Ibanez","given":"Juan Antonio"},{"family":"Garcia-Ropero","given":"Alvaro"},{"family":"Mancini","given":"Donna"},{"family":"Pinney","given":"Sean"},{"family":"Macaluso","given":"Frank"},{"family":"Sartori","given":"Samantha"},{"family":"Roque","given":"Merce"},{"family":"Sabatel-Perez","given":"Fernando"},{"family":"Rodriguez-Cordero","given":"Anderly"},{"family":"Zafar","given":"M. Urooj"},{"family":"Fergus","given":"Icilma"},{"family":"Atallah-Lajam","given":"Farah"},{"family":"Contreras","given":"Johanna P."},{"family":"Varley","given":"Cathleen"},{"family":"Moreno","given":"Pedro R."},{"family":"Abascal","given":"Vivian M."},{"family":"Lala","given":"Anuradha"},{"family":"Tamler","given":"Ronald"},{"family":"Sanz","given":"Javier"},{"family":"Fuster","given":"Valentin"},{"family":"Badimon","given":"Juan J."},{"literal":"EMPA-TROPISM (ATRU-4) Investigators"}],"issued":{"date-parts":[["2021",1,26]]}}}],"schema":"https://github.com/citation-style-language/schema/raw/master/csl-citation.json"} </w:instrText>
      </w:r>
      <w:r w:rsidRPr="003B6BFD">
        <w:rPr>
          <w:sz w:val="24"/>
          <w:szCs w:val="24"/>
        </w:rPr>
        <w:fldChar w:fldCharType="separate"/>
      </w:r>
      <w:r w:rsidRPr="003B6BFD">
        <w:rPr>
          <w:sz w:val="24"/>
          <w:szCs w:val="24"/>
        </w:rPr>
        <w:t>(40)</w:t>
      </w:r>
      <w:r w:rsidRPr="003B6BFD">
        <w:rPr>
          <w:sz w:val="24"/>
          <w:szCs w:val="24"/>
        </w:rPr>
        <w:fldChar w:fldCharType="end"/>
      </w:r>
      <w:r w:rsidRPr="003B6BFD">
        <w:rPr>
          <w:sz w:val="24"/>
          <w:szCs w:val="24"/>
        </w:rPr>
        <w:t xml:space="preserve">. Given the </w:t>
      </w:r>
      <w:r w:rsidRPr="003B6BFD">
        <w:rPr>
          <w:sz w:val="24"/>
          <w:szCs w:val="24"/>
        </w:rPr>
        <w:lastRenderedPageBreak/>
        <w:t>paucity of trials in this area, there are still many unanswered questions with regards to the direct cardiac effects of SGLT2 inhibition in patients with heart failure. Understanding its impact on reverse cardiac remodelling, specifically improvement in LVEF, may help to identify further drug targets which may improve outcomes for HF patients.</w:t>
      </w:r>
    </w:p>
    <w:p w14:paraId="73DEA7CD" w14:textId="77777777" w:rsidR="005028E5" w:rsidRPr="003B6BFD" w:rsidRDefault="005028E5" w:rsidP="005028E5">
      <w:pPr>
        <w:pBdr>
          <w:bottom w:val="single" w:sz="4" w:space="1" w:color="auto"/>
        </w:pBdr>
        <w:rPr>
          <w:b/>
          <w:bCs/>
          <w:sz w:val="24"/>
          <w:szCs w:val="24"/>
        </w:rPr>
      </w:pPr>
      <w:r w:rsidRPr="003B6BFD">
        <w:rPr>
          <w:b/>
          <w:bCs/>
          <w:sz w:val="24"/>
          <w:szCs w:val="24"/>
        </w:rPr>
        <w:t>4.0. CONCLUSION</w:t>
      </w:r>
    </w:p>
    <w:p w14:paraId="3FD8531E" w14:textId="77777777" w:rsidR="005028E5" w:rsidRDefault="005028E5" w:rsidP="005028E5">
      <w:pPr>
        <w:rPr>
          <w:sz w:val="24"/>
          <w:szCs w:val="24"/>
        </w:rPr>
      </w:pPr>
      <w:r w:rsidRPr="003B6BFD">
        <w:rPr>
          <w:sz w:val="24"/>
          <w:szCs w:val="24"/>
        </w:rPr>
        <w:t>Following several landmark trials, SGLT2 inhibitors have rapidly emerged as core pillar of treatment for patients with heart failure; however, understanding of mechanisms underpinning its cardio-protective effects are poorly understood. This 26-week, open label, single-arm prospective evaluation will evaluate the effects of SGLT2 inhibition on cardiac biomarkers, myocardial remodelling and patient reported outcomes in heart failure with both impaired and preserved left ventricular fraction. This data generated from this study will hopefully serve to improve understanding of the cardio-protective mechanisms of action of SGLT2 inhibitors in heart failure.</w:t>
      </w:r>
    </w:p>
    <w:p w14:paraId="68F97240" w14:textId="77777777" w:rsidR="005028E5" w:rsidRPr="003B6BFD" w:rsidRDefault="005028E5" w:rsidP="005028E5">
      <w:pPr>
        <w:pBdr>
          <w:bottom w:val="single" w:sz="4" w:space="1" w:color="auto"/>
        </w:pBdr>
        <w:rPr>
          <w:b/>
          <w:bCs/>
          <w:sz w:val="24"/>
          <w:szCs w:val="24"/>
        </w:rPr>
      </w:pPr>
      <w:r w:rsidRPr="003B6BFD">
        <w:rPr>
          <w:b/>
          <w:bCs/>
          <w:sz w:val="24"/>
          <w:szCs w:val="24"/>
        </w:rPr>
        <w:t>5.0. ETHICAL &amp; REGULATORY CONSIDERATIONS</w:t>
      </w:r>
    </w:p>
    <w:p w14:paraId="44A0DE9C" w14:textId="77777777" w:rsidR="005028E5" w:rsidRPr="003B6BFD" w:rsidRDefault="005028E5" w:rsidP="005028E5">
      <w:pPr>
        <w:rPr>
          <w:b/>
          <w:bCs/>
          <w:iCs/>
          <w:sz w:val="24"/>
          <w:szCs w:val="24"/>
        </w:rPr>
      </w:pPr>
      <w:r w:rsidRPr="003B6BFD">
        <w:rPr>
          <w:b/>
          <w:bCs/>
          <w:sz w:val="24"/>
          <w:szCs w:val="24"/>
        </w:rPr>
        <w:t xml:space="preserve">7.1. </w:t>
      </w:r>
      <w:r w:rsidRPr="003B6BFD">
        <w:rPr>
          <w:b/>
          <w:bCs/>
          <w:iCs/>
          <w:sz w:val="24"/>
          <w:szCs w:val="24"/>
        </w:rPr>
        <w:t>Assessment and management of risk</w:t>
      </w:r>
    </w:p>
    <w:p w14:paraId="6A88ECF2" w14:textId="77777777" w:rsidR="005028E5" w:rsidRPr="003B6BFD" w:rsidRDefault="005028E5" w:rsidP="005028E5">
      <w:pPr>
        <w:rPr>
          <w:sz w:val="24"/>
          <w:szCs w:val="24"/>
        </w:rPr>
      </w:pPr>
      <w:r w:rsidRPr="003B6BFD">
        <w:rPr>
          <w:sz w:val="24"/>
          <w:szCs w:val="24"/>
        </w:rPr>
        <w:t xml:space="preserve">There is the possibility of underlying health issues being identified </w:t>
      </w:r>
      <w:proofErr w:type="gramStart"/>
      <w:r w:rsidRPr="003B6BFD">
        <w:rPr>
          <w:sz w:val="24"/>
          <w:szCs w:val="24"/>
        </w:rPr>
        <w:t>as a result of</w:t>
      </w:r>
      <w:proofErr w:type="gramEnd"/>
      <w:r w:rsidRPr="003B6BFD">
        <w:rPr>
          <w:sz w:val="24"/>
          <w:szCs w:val="24"/>
        </w:rPr>
        <w:t xml:space="preserve"> taking part in this study. Participants will be asked permission for the researchers to pass this information on to their GP</w:t>
      </w:r>
      <w:r>
        <w:rPr>
          <w:sz w:val="24"/>
          <w:szCs w:val="24"/>
        </w:rPr>
        <w:t xml:space="preserve">. </w:t>
      </w:r>
    </w:p>
    <w:p w14:paraId="21F6FDCC" w14:textId="77777777" w:rsidR="005028E5" w:rsidRPr="003B6BFD" w:rsidRDefault="005028E5" w:rsidP="005028E5">
      <w:pPr>
        <w:rPr>
          <w:b/>
          <w:bCs/>
          <w:sz w:val="24"/>
          <w:szCs w:val="24"/>
        </w:rPr>
      </w:pPr>
      <w:r w:rsidRPr="003B6BFD">
        <w:rPr>
          <w:b/>
          <w:bCs/>
          <w:sz w:val="24"/>
          <w:szCs w:val="24"/>
        </w:rPr>
        <w:t>7.2.  Research Ethics Committee (REC) review &amp; reports</w:t>
      </w:r>
    </w:p>
    <w:p w14:paraId="1B733495" w14:textId="77777777" w:rsidR="005028E5" w:rsidRPr="003B6BFD" w:rsidRDefault="005028E5" w:rsidP="005028E5">
      <w:pPr>
        <w:rPr>
          <w:bCs/>
          <w:sz w:val="24"/>
          <w:szCs w:val="24"/>
        </w:rPr>
      </w:pPr>
      <w:r w:rsidRPr="003B6BFD">
        <w:rPr>
          <w:bCs/>
          <w:sz w:val="24"/>
          <w:szCs w:val="24"/>
        </w:rPr>
        <w:t>Approval from the UK Health Departments Research Ethics Service NHS REC for the study protocol, informed consent forms and supporting documentation were sought and obtained prior to commencement of the study. All correspondence with the REC will be retained. It is the Chief Investigator’s responsibility to produce the annual reports as required. The Chief Investigator will notify the REC of the end of the study. An annual progress report (APR) will be submitted to the REC within 30 days of the anniversary date on which the favourable opinion was given, and annually until the study is declared ended. If the study is ended prematurely, the Chief Investigator will notify the REC, including the reasons for the premature termination. Within one year after the end of the study, the Chief Investigator will submit a final report with the results, including any publications/abstracts, to the REC.</w:t>
      </w:r>
    </w:p>
    <w:p w14:paraId="2DB4F7D2" w14:textId="77777777" w:rsidR="005028E5" w:rsidRPr="003B6BFD" w:rsidRDefault="005028E5" w:rsidP="005028E5">
      <w:pPr>
        <w:rPr>
          <w:b/>
          <w:bCs/>
          <w:sz w:val="24"/>
          <w:szCs w:val="24"/>
        </w:rPr>
      </w:pPr>
      <w:r w:rsidRPr="003B6BFD">
        <w:rPr>
          <w:b/>
          <w:bCs/>
          <w:sz w:val="24"/>
          <w:szCs w:val="24"/>
        </w:rPr>
        <w:t xml:space="preserve">7.3.  Regulatory Review &amp; Compliance </w:t>
      </w:r>
    </w:p>
    <w:p w14:paraId="31E127BC" w14:textId="111BC206" w:rsidR="005E4B2D" w:rsidRPr="003B6BFD" w:rsidRDefault="005028E5" w:rsidP="005028E5">
      <w:pPr>
        <w:rPr>
          <w:sz w:val="24"/>
          <w:szCs w:val="24"/>
        </w:rPr>
      </w:pPr>
      <w:r w:rsidRPr="003B6BFD">
        <w:rPr>
          <w:sz w:val="24"/>
          <w:szCs w:val="24"/>
        </w:rPr>
        <w:t xml:space="preserve">The Chief Investigator will ensure that appropriate approvals from the research ethics committee (REC) and Sponsor are in place before enrolment. </w:t>
      </w:r>
    </w:p>
    <w:p w14:paraId="514D64C0" w14:textId="77777777" w:rsidR="005028E5" w:rsidRPr="003B6BFD" w:rsidRDefault="005028E5" w:rsidP="005028E5">
      <w:pPr>
        <w:rPr>
          <w:b/>
          <w:i/>
          <w:sz w:val="24"/>
          <w:szCs w:val="24"/>
        </w:rPr>
      </w:pPr>
      <w:r w:rsidRPr="003B6BFD">
        <w:rPr>
          <w:b/>
          <w:bCs/>
          <w:sz w:val="24"/>
          <w:szCs w:val="24"/>
        </w:rPr>
        <w:t>7.</w:t>
      </w:r>
      <w:r>
        <w:rPr>
          <w:b/>
          <w:bCs/>
          <w:sz w:val="24"/>
          <w:szCs w:val="24"/>
        </w:rPr>
        <w:t>4</w:t>
      </w:r>
      <w:r w:rsidRPr="003B6BFD">
        <w:rPr>
          <w:b/>
          <w:bCs/>
          <w:sz w:val="24"/>
          <w:szCs w:val="24"/>
        </w:rPr>
        <w:t>. Peer</w:t>
      </w:r>
      <w:r w:rsidRPr="003B6BFD">
        <w:rPr>
          <w:b/>
          <w:sz w:val="24"/>
          <w:szCs w:val="24"/>
        </w:rPr>
        <w:t xml:space="preserve"> review</w:t>
      </w:r>
    </w:p>
    <w:p w14:paraId="211EFEAE" w14:textId="77777777" w:rsidR="005028E5" w:rsidRPr="003B6BFD" w:rsidRDefault="005028E5" w:rsidP="005028E5">
      <w:pPr>
        <w:rPr>
          <w:sz w:val="24"/>
          <w:szCs w:val="24"/>
          <w:lang w:val="en-US"/>
        </w:rPr>
      </w:pPr>
      <w:r w:rsidRPr="003B6BFD">
        <w:rPr>
          <w:sz w:val="24"/>
          <w:szCs w:val="24"/>
        </w:rPr>
        <w:t>The peer</w:t>
      </w:r>
      <w:r w:rsidRPr="003B6BFD">
        <w:rPr>
          <w:sz w:val="24"/>
          <w:szCs w:val="24"/>
          <w:lang w:val="en-US"/>
        </w:rPr>
        <w:t xml:space="preserve"> review was conducted within a competitive funding application involving at least two individual medical experts. </w:t>
      </w:r>
    </w:p>
    <w:p w14:paraId="3D1D2663" w14:textId="77777777" w:rsidR="005028E5" w:rsidRPr="003B6BFD" w:rsidRDefault="005028E5" w:rsidP="005028E5">
      <w:pPr>
        <w:rPr>
          <w:b/>
          <w:sz w:val="24"/>
          <w:szCs w:val="24"/>
        </w:rPr>
      </w:pPr>
      <w:r w:rsidRPr="003B6BFD">
        <w:rPr>
          <w:b/>
          <w:bCs/>
          <w:sz w:val="24"/>
          <w:szCs w:val="24"/>
        </w:rPr>
        <w:lastRenderedPageBreak/>
        <w:t>7.</w:t>
      </w:r>
      <w:r>
        <w:rPr>
          <w:b/>
          <w:bCs/>
          <w:sz w:val="24"/>
          <w:szCs w:val="24"/>
        </w:rPr>
        <w:t>5</w:t>
      </w:r>
      <w:r w:rsidRPr="003B6BFD">
        <w:rPr>
          <w:b/>
          <w:bCs/>
          <w:sz w:val="24"/>
          <w:szCs w:val="24"/>
        </w:rPr>
        <w:t>. Patient</w:t>
      </w:r>
      <w:r w:rsidRPr="003B6BFD">
        <w:rPr>
          <w:b/>
          <w:sz w:val="24"/>
          <w:szCs w:val="24"/>
        </w:rPr>
        <w:t xml:space="preserve"> &amp; Public Involvement</w:t>
      </w:r>
    </w:p>
    <w:p w14:paraId="22568141" w14:textId="77777777" w:rsidR="005028E5" w:rsidRPr="003B6BFD" w:rsidRDefault="005028E5" w:rsidP="005028E5">
      <w:pPr>
        <w:rPr>
          <w:sz w:val="24"/>
          <w:szCs w:val="24"/>
        </w:rPr>
      </w:pPr>
      <w:r w:rsidRPr="003B6BFD">
        <w:rPr>
          <w:sz w:val="24"/>
          <w:szCs w:val="24"/>
        </w:rPr>
        <w:t>Results from this project will be disseminated using several forms of media. These include publishing</w:t>
      </w:r>
      <w:r w:rsidRPr="003B6BFD">
        <w:rPr>
          <w:i/>
          <w:sz w:val="24"/>
          <w:szCs w:val="24"/>
        </w:rPr>
        <w:t xml:space="preserve"> </w:t>
      </w:r>
      <w:r w:rsidRPr="003B6BFD">
        <w:rPr>
          <w:sz w:val="24"/>
          <w:szCs w:val="24"/>
        </w:rPr>
        <w:t>in high impact</w:t>
      </w:r>
      <w:r w:rsidRPr="003B6BFD">
        <w:rPr>
          <w:i/>
          <w:sz w:val="24"/>
          <w:szCs w:val="24"/>
        </w:rPr>
        <w:t xml:space="preserve"> </w:t>
      </w:r>
      <w:r w:rsidRPr="003B6BFD">
        <w:rPr>
          <w:sz w:val="24"/>
          <w:szCs w:val="24"/>
        </w:rPr>
        <w:t>peer-reviewed journals, with open access to maximise readership opportunities. Results and findings will be</w:t>
      </w:r>
      <w:r w:rsidRPr="003B6BFD">
        <w:rPr>
          <w:i/>
          <w:sz w:val="24"/>
          <w:szCs w:val="24"/>
        </w:rPr>
        <w:t xml:space="preserve"> </w:t>
      </w:r>
      <w:r w:rsidRPr="003B6BFD">
        <w:rPr>
          <w:sz w:val="24"/>
          <w:szCs w:val="24"/>
        </w:rPr>
        <w:t>disseminated at cardiac conferences and meetings both nationally and internationally. Seminal findings will be sent to</w:t>
      </w:r>
      <w:r w:rsidRPr="003B6BFD">
        <w:rPr>
          <w:i/>
          <w:sz w:val="24"/>
          <w:szCs w:val="24"/>
        </w:rPr>
        <w:t xml:space="preserve"> </w:t>
      </w:r>
      <w:r w:rsidRPr="003B6BFD">
        <w:rPr>
          <w:sz w:val="24"/>
          <w:szCs w:val="24"/>
        </w:rPr>
        <w:t>the press for consideration. Participants of this study will receive a summary of findings at the study conclusion.</w:t>
      </w:r>
    </w:p>
    <w:p w14:paraId="6BA9538E" w14:textId="77777777" w:rsidR="005028E5" w:rsidRPr="003B6BFD" w:rsidRDefault="005028E5" w:rsidP="005028E5">
      <w:pPr>
        <w:rPr>
          <w:b/>
          <w:bCs/>
          <w:sz w:val="24"/>
          <w:szCs w:val="24"/>
        </w:rPr>
      </w:pPr>
      <w:r w:rsidRPr="003B6BFD">
        <w:rPr>
          <w:b/>
          <w:bCs/>
          <w:sz w:val="24"/>
          <w:szCs w:val="24"/>
        </w:rPr>
        <w:t>7.</w:t>
      </w:r>
      <w:r>
        <w:rPr>
          <w:b/>
          <w:bCs/>
          <w:sz w:val="24"/>
          <w:szCs w:val="24"/>
        </w:rPr>
        <w:t>6</w:t>
      </w:r>
      <w:r w:rsidRPr="003B6BFD">
        <w:rPr>
          <w:b/>
          <w:bCs/>
          <w:sz w:val="24"/>
          <w:szCs w:val="24"/>
        </w:rPr>
        <w:t xml:space="preserve">. Protocol compliance </w:t>
      </w:r>
      <w:r w:rsidRPr="003B6BFD">
        <w:rPr>
          <w:b/>
          <w:bCs/>
          <w:sz w:val="24"/>
          <w:szCs w:val="24"/>
        </w:rPr>
        <w:tab/>
      </w:r>
    </w:p>
    <w:p w14:paraId="59F77096" w14:textId="77777777" w:rsidR="005028E5" w:rsidRPr="003B6BFD" w:rsidRDefault="005028E5" w:rsidP="005028E5">
      <w:pPr>
        <w:rPr>
          <w:sz w:val="24"/>
          <w:szCs w:val="24"/>
        </w:rPr>
      </w:pPr>
      <w:r w:rsidRPr="003B6BFD">
        <w:rPr>
          <w:sz w:val="24"/>
          <w:szCs w:val="24"/>
        </w:rPr>
        <w:t xml:space="preserve">This is a single site study with a single researcher and direct involvement of both the Chief and Principal Investigators. Regular updates will be provided to the funding charity and the sponsor. </w:t>
      </w:r>
    </w:p>
    <w:p w14:paraId="04A70A08" w14:textId="77777777" w:rsidR="005028E5" w:rsidRPr="003B6BFD" w:rsidRDefault="005028E5" w:rsidP="005028E5">
      <w:pPr>
        <w:rPr>
          <w:b/>
          <w:bCs/>
          <w:sz w:val="24"/>
          <w:szCs w:val="24"/>
        </w:rPr>
      </w:pPr>
      <w:r w:rsidRPr="003B6BFD">
        <w:rPr>
          <w:b/>
          <w:bCs/>
          <w:sz w:val="24"/>
          <w:szCs w:val="24"/>
        </w:rPr>
        <w:t>7.</w:t>
      </w:r>
      <w:r>
        <w:rPr>
          <w:b/>
          <w:bCs/>
          <w:sz w:val="24"/>
          <w:szCs w:val="24"/>
        </w:rPr>
        <w:t>7</w:t>
      </w:r>
      <w:r w:rsidRPr="003B6BFD">
        <w:rPr>
          <w:b/>
          <w:bCs/>
          <w:sz w:val="24"/>
          <w:szCs w:val="24"/>
        </w:rPr>
        <w:t xml:space="preserve">.  Data protection and patient confidentiality </w:t>
      </w:r>
    </w:p>
    <w:p w14:paraId="173878BA" w14:textId="77777777" w:rsidR="005028E5" w:rsidRPr="003B6BFD" w:rsidRDefault="005028E5" w:rsidP="005028E5">
      <w:pPr>
        <w:rPr>
          <w:sz w:val="24"/>
          <w:szCs w:val="24"/>
        </w:rPr>
      </w:pPr>
      <w:r w:rsidRPr="003B6BFD">
        <w:rPr>
          <w:sz w:val="24"/>
          <w:szCs w:val="24"/>
        </w:rPr>
        <w:t xml:space="preserve">Patient identifiers will be used on consent forms and kept within a locked filing cabinet in a locked office on Belfast Trust grounds under the custodial care of the Principal Investigator. Participants will receive an individual coded number and will be pseudonymised at source. The "Patient Key" with patient names and corresponding codes will be kept in a locked filing cabinet in a locked room in Belfast Health and Social Care Trust grounds under the custodial care of the Principal Investigator. All laptops are encrypted, and password protected and will hold only anonymised information. </w:t>
      </w:r>
    </w:p>
    <w:p w14:paraId="6C7C244D" w14:textId="321D7D23" w:rsidR="005028E5" w:rsidRPr="003B6BFD" w:rsidRDefault="005028E5" w:rsidP="005028E5">
      <w:pPr>
        <w:rPr>
          <w:sz w:val="24"/>
          <w:szCs w:val="24"/>
        </w:rPr>
      </w:pPr>
      <w:r w:rsidRPr="003B6BFD">
        <w:rPr>
          <w:sz w:val="24"/>
          <w:szCs w:val="24"/>
        </w:rPr>
        <w:t xml:space="preserve">The Patient Key and consent forms will be retained by the Principal Investigator on Belfast Health and Social Care Trust grounds to be destroyed under their care in confidential waste once the </w:t>
      </w:r>
      <w:r w:rsidR="00666B9A" w:rsidRPr="003B6BFD">
        <w:rPr>
          <w:sz w:val="24"/>
          <w:szCs w:val="24"/>
        </w:rPr>
        <w:t>20-year</w:t>
      </w:r>
      <w:r w:rsidRPr="003B6BFD">
        <w:rPr>
          <w:sz w:val="24"/>
          <w:szCs w:val="24"/>
        </w:rPr>
        <w:t xml:space="preserve"> archiving period has lapsed.  After the study completion, research data will be kept on an encrypted and password protected computer and an encrypted and password protected USB under the custodianship of the Chief Investigator who is responsible for their destruction once the archiving period has elapsed. The baseline research samples and data collected over the 2-year period would be retained for future potential research. No further data would be reviewed or extracted without additional protocol amendments and further consent after the initial 2-year research period.</w:t>
      </w:r>
    </w:p>
    <w:p w14:paraId="718988AB" w14:textId="77777777" w:rsidR="005028E5" w:rsidRPr="003B6BFD" w:rsidRDefault="005028E5" w:rsidP="005028E5">
      <w:pPr>
        <w:rPr>
          <w:sz w:val="24"/>
          <w:szCs w:val="24"/>
        </w:rPr>
      </w:pPr>
      <w:r w:rsidRPr="003B6BFD">
        <w:rPr>
          <w:sz w:val="24"/>
          <w:szCs w:val="24"/>
        </w:rPr>
        <w:t>Participants will be asked to consent to share their anonymised data (no patient identifiers) with collaborators within academia and industry in the UK and EU for research purposes.</w:t>
      </w:r>
    </w:p>
    <w:p w14:paraId="444CFB23" w14:textId="77777777" w:rsidR="005028E5" w:rsidRPr="003B6BFD" w:rsidRDefault="005028E5" w:rsidP="005028E5">
      <w:pPr>
        <w:rPr>
          <w:b/>
          <w:bCs/>
          <w:sz w:val="24"/>
          <w:szCs w:val="24"/>
        </w:rPr>
      </w:pPr>
      <w:r w:rsidRPr="003B6BFD">
        <w:rPr>
          <w:b/>
          <w:bCs/>
          <w:sz w:val="24"/>
          <w:szCs w:val="24"/>
        </w:rPr>
        <w:t>7.9. Indemnity</w:t>
      </w:r>
    </w:p>
    <w:p w14:paraId="584B40A9" w14:textId="77777777" w:rsidR="005028E5" w:rsidRPr="003B6BFD" w:rsidRDefault="005028E5" w:rsidP="005028E5">
      <w:pPr>
        <w:rPr>
          <w:sz w:val="24"/>
          <w:szCs w:val="24"/>
        </w:rPr>
      </w:pPr>
      <w:r w:rsidRPr="003B6BFD">
        <w:rPr>
          <w:sz w:val="24"/>
          <w:szCs w:val="24"/>
        </w:rPr>
        <w:t xml:space="preserve">The study is sponsored by Queens University Belfast in accordance </w:t>
      </w:r>
      <w:proofErr w:type="gramStart"/>
      <w:r w:rsidRPr="003B6BFD">
        <w:rPr>
          <w:sz w:val="24"/>
          <w:szCs w:val="24"/>
        </w:rPr>
        <w:t>to</w:t>
      </w:r>
      <w:proofErr w:type="gramEnd"/>
      <w:r w:rsidRPr="003B6BFD">
        <w:rPr>
          <w:sz w:val="24"/>
          <w:szCs w:val="24"/>
        </w:rPr>
        <w:t xml:space="preserve"> UK Policy Framework for Health and Social Care: Ref: B22/15</w:t>
      </w:r>
    </w:p>
    <w:p w14:paraId="59FC7028" w14:textId="77777777" w:rsidR="005028E5" w:rsidRPr="003B6BFD" w:rsidRDefault="005028E5" w:rsidP="005028E5">
      <w:pPr>
        <w:rPr>
          <w:bCs/>
          <w:iCs/>
          <w:sz w:val="24"/>
          <w:szCs w:val="24"/>
        </w:rPr>
      </w:pPr>
      <w:r w:rsidRPr="003B6BFD">
        <w:rPr>
          <w:b/>
          <w:sz w:val="24"/>
          <w:szCs w:val="24"/>
        </w:rPr>
        <w:t>7.1</w:t>
      </w:r>
      <w:r>
        <w:rPr>
          <w:b/>
          <w:sz w:val="24"/>
          <w:szCs w:val="24"/>
        </w:rPr>
        <w:t>0</w:t>
      </w:r>
      <w:r w:rsidRPr="003B6BFD">
        <w:rPr>
          <w:b/>
          <w:sz w:val="24"/>
          <w:szCs w:val="24"/>
        </w:rPr>
        <w:t>. Ac</w:t>
      </w:r>
      <w:r w:rsidRPr="003B6BFD">
        <w:rPr>
          <w:b/>
          <w:bCs/>
          <w:sz w:val="24"/>
          <w:szCs w:val="24"/>
        </w:rPr>
        <w:t>cess to the final study dataset</w:t>
      </w:r>
    </w:p>
    <w:p w14:paraId="4467836D" w14:textId="77777777" w:rsidR="005028E5" w:rsidRDefault="005028E5" w:rsidP="005028E5">
      <w:pPr>
        <w:rPr>
          <w:bCs/>
          <w:sz w:val="24"/>
          <w:szCs w:val="24"/>
        </w:rPr>
      </w:pPr>
      <w:r w:rsidRPr="003B6BFD">
        <w:rPr>
          <w:bCs/>
          <w:sz w:val="24"/>
          <w:szCs w:val="24"/>
        </w:rPr>
        <w:t xml:space="preserve">The Researcher, Chief investigator, Principal Investigator will have access to the final study dataset. The sponsor for the purposes of process verification will have access to </w:t>
      </w:r>
      <w:r w:rsidRPr="003B6BFD">
        <w:rPr>
          <w:bCs/>
          <w:sz w:val="24"/>
          <w:szCs w:val="24"/>
        </w:rPr>
        <w:lastRenderedPageBreak/>
        <w:t xml:space="preserve">the final data set. This is detailed within the Participant Information Sheet. Participants will be asked to consent to share their anonymised data (no patient identifiers) with collaborators within academia and industry in the UK and abroad for research purposes. This is detailed within the Participant Information Sheet and consent form. Participants will be asked to consent for further contact (but are under no obligation to participate) if a new research study is to be conducted. This is detailed within the Participant Information Sheet and consent form. </w:t>
      </w:r>
    </w:p>
    <w:p w14:paraId="5229BEB8" w14:textId="77777777" w:rsidR="005028E5" w:rsidRPr="003B6BFD" w:rsidRDefault="005028E5" w:rsidP="005028E5">
      <w:pPr>
        <w:pBdr>
          <w:bottom w:val="single" w:sz="4" w:space="1" w:color="auto"/>
        </w:pBdr>
        <w:rPr>
          <w:b/>
          <w:sz w:val="24"/>
          <w:szCs w:val="24"/>
        </w:rPr>
      </w:pPr>
      <w:r w:rsidRPr="001F0BB1">
        <w:rPr>
          <w:b/>
          <w:sz w:val="24"/>
          <w:szCs w:val="24"/>
        </w:rPr>
        <w:t>7.0. DISSEMINATION</w:t>
      </w:r>
    </w:p>
    <w:p w14:paraId="268675AF" w14:textId="77777777" w:rsidR="005028E5" w:rsidRDefault="005028E5" w:rsidP="005028E5">
      <w:pPr>
        <w:rPr>
          <w:iCs/>
          <w:sz w:val="24"/>
          <w:szCs w:val="24"/>
        </w:rPr>
      </w:pPr>
      <w:r w:rsidRPr="001F0BB1">
        <w:rPr>
          <w:iCs/>
          <w:sz w:val="24"/>
          <w:szCs w:val="24"/>
        </w:rPr>
        <w:t>This study is being undertaken in conjunction with a postgraduate degree and as such the results will be summarised within a thesis and submitted for review. Participants will receive a summary of results. Results from this project will be disseminated using several forms of media. These include publishing in high impact peer-reviewed journals, with open access to maximise readership opportunities. Results and findings will be disseminated at cardiac conferences and meetings both nationally and internationally. Seminal findings will be sent to the press for consideration. The funding charity (Heart Trust Fund) will receive a final report.</w:t>
      </w:r>
      <w:r>
        <w:rPr>
          <w:iCs/>
          <w:sz w:val="24"/>
          <w:szCs w:val="24"/>
        </w:rPr>
        <w:t xml:space="preserve"> </w:t>
      </w:r>
      <w:r w:rsidRPr="001F0BB1">
        <w:rPr>
          <w:iCs/>
          <w:sz w:val="24"/>
          <w:szCs w:val="24"/>
        </w:rPr>
        <w:t>Authorship will include the research team (including the researcher, Chief Investigator and Principal Investigator).</w:t>
      </w:r>
    </w:p>
    <w:p w14:paraId="0F5D7014" w14:textId="77777777" w:rsidR="005028E5" w:rsidRPr="001F0BB1" w:rsidRDefault="005028E5" w:rsidP="005028E5">
      <w:pPr>
        <w:pBdr>
          <w:bottom w:val="single" w:sz="4" w:space="1" w:color="auto"/>
        </w:pBdr>
        <w:rPr>
          <w:b/>
          <w:bCs/>
          <w:iCs/>
          <w:sz w:val="24"/>
          <w:szCs w:val="24"/>
        </w:rPr>
      </w:pPr>
      <w:r w:rsidRPr="001F0BB1">
        <w:rPr>
          <w:b/>
          <w:bCs/>
          <w:iCs/>
          <w:sz w:val="24"/>
          <w:szCs w:val="24"/>
        </w:rPr>
        <w:t>8.0. DECLARATION OF INTEREST</w:t>
      </w:r>
    </w:p>
    <w:p w14:paraId="0EA156E8" w14:textId="77777777" w:rsidR="005028E5" w:rsidRDefault="005028E5" w:rsidP="005028E5">
      <w:pPr>
        <w:rPr>
          <w:sz w:val="24"/>
          <w:szCs w:val="24"/>
        </w:rPr>
      </w:pPr>
      <w:r>
        <w:rPr>
          <w:sz w:val="24"/>
          <w:szCs w:val="24"/>
        </w:rPr>
        <w:t>No conflicts of interest to declare.</w:t>
      </w:r>
    </w:p>
    <w:p w14:paraId="5E8FB921" w14:textId="77777777" w:rsidR="005028E5" w:rsidRPr="001F0BB1" w:rsidRDefault="005028E5" w:rsidP="005028E5">
      <w:pPr>
        <w:pBdr>
          <w:bottom w:val="single" w:sz="4" w:space="1" w:color="auto"/>
        </w:pBdr>
        <w:rPr>
          <w:b/>
          <w:bCs/>
          <w:sz w:val="24"/>
          <w:szCs w:val="24"/>
        </w:rPr>
      </w:pPr>
      <w:r w:rsidRPr="001F0BB1">
        <w:rPr>
          <w:b/>
          <w:bCs/>
          <w:sz w:val="24"/>
          <w:szCs w:val="24"/>
        </w:rPr>
        <w:t>9.0. REFERENCES</w:t>
      </w:r>
    </w:p>
    <w:p w14:paraId="4ABDFF54" w14:textId="77777777" w:rsidR="005028E5" w:rsidRPr="001F0BB1" w:rsidRDefault="005028E5" w:rsidP="005028E5">
      <w:pPr>
        <w:rPr>
          <w:sz w:val="24"/>
          <w:szCs w:val="24"/>
        </w:rPr>
      </w:pPr>
      <w:r w:rsidRPr="001F0BB1">
        <w:rPr>
          <w:b/>
          <w:bCs/>
          <w:iCs/>
          <w:sz w:val="24"/>
          <w:szCs w:val="24"/>
        </w:rPr>
        <w:fldChar w:fldCharType="begin"/>
      </w:r>
      <w:r w:rsidRPr="001F0BB1">
        <w:rPr>
          <w:b/>
          <w:bCs/>
          <w:iCs/>
          <w:sz w:val="24"/>
          <w:szCs w:val="24"/>
        </w:rPr>
        <w:instrText xml:space="preserve"> ADDIN ZOTERO_BIBL {"uncited":[],"omitted":[],"custom":[]} CSL_BIBLIOGRAPHY </w:instrText>
      </w:r>
      <w:r w:rsidRPr="001F0BB1">
        <w:rPr>
          <w:b/>
          <w:bCs/>
          <w:iCs/>
          <w:sz w:val="24"/>
          <w:szCs w:val="24"/>
        </w:rPr>
        <w:fldChar w:fldCharType="separate"/>
      </w:r>
      <w:r w:rsidRPr="001F0BB1">
        <w:rPr>
          <w:sz w:val="24"/>
          <w:szCs w:val="24"/>
        </w:rPr>
        <w:t>1.</w:t>
      </w:r>
      <w:r w:rsidRPr="001F0BB1">
        <w:rPr>
          <w:sz w:val="24"/>
          <w:szCs w:val="24"/>
        </w:rPr>
        <w:tab/>
        <w:t xml:space="preserve">Lawson CA, Zaccardi F, Squire I, Ling S, Davies MJ, Lam CSP, et al. 20-year trends in cause-specific heart failure outcomes by sex, socioeconomic status, and place of diagnosis: a population-based study. Lancet Public Health. 2019 Aug;4(8):e406–20. </w:t>
      </w:r>
    </w:p>
    <w:p w14:paraId="75F91945" w14:textId="77777777" w:rsidR="005028E5" w:rsidRPr="001F0BB1" w:rsidRDefault="005028E5" w:rsidP="005028E5">
      <w:pPr>
        <w:rPr>
          <w:sz w:val="24"/>
          <w:szCs w:val="24"/>
        </w:rPr>
      </w:pPr>
      <w:r w:rsidRPr="001F0BB1">
        <w:rPr>
          <w:sz w:val="24"/>
          <w:szCs w:val="24"/>
        </w:rPr>
        <w:t>2.</w:t>
      </w:r>
      <w:r w:rsidRPr="001F0BB1">
        <w:rPr>
          <w:sz w:val="24"/>
          <w:szCs w:val="24"/>
        </w:rPr>
        <w:tab/>
        <w:t xml:space="preserve">Cowie MR. The heart failure epidemic: a UK perspective. Echo Res Pract. 2017 Mar;4(1):R15–20. </w:t>
      </w:r>
    </w:p>
    <w:p w14:paraId="704B7183" w14:textId="77777777" w:rsidR="005028E5" w:rsidRPr="001F0BB1" w:rsidRDefault="005028E5" w:rsidP="005028E5">
      <w:pPr>
        <w:rPr>
          <w:sz w:val="24"/>
          <w:szCs w:val="24"/>
        </w:rPr>
      </w:pPr>
      <w:r w:rsidRPr="001F0BB1">
        <w:rPr>
          <w:sz w:val="24"/>
          <w:szCs w:val="24"/>
        </w:rPr>
        <w:t>3.</w:t>
      </w:r>
      <w:r w:rsidRPr="001F0BB1">
        <w:rPr>
          <w:sz w:val="24"/>
          <w:szCs w:val="24"/>
        </w:rPr>
        <w:tab/>
        <w:t xml:space="preserve">Shah KS, Xu H, Matsouaka RA, Bhatt DL, Heidenreich PA, Hernandez AF, et al. Heart Failure With Preserved, Borderline, and Reduced Ejection Fraction: 5-Year Outcomes. J Am Coll Cardiol. 2017 Nov 14;70(20):2476–86. </w:t>
      </w:r>
    </w:p>
    <w:p w14:paraId="194E9BC3" w14:textId="77777777" w:rsidR="005028E5" w:rsidRPr="001F0BB1" w:rsidRDefault="005028E5" w:rsidP="005028E5">
      <w:pPr>
        <w:rPr>
          <w:sz w:val="24"/>
          <w:szCs w:val="24"/>
        </w:rPr>
      </w:pPr>
      <w:r w:rsidRPr="001F0BB1">
        <w:rPr>
          <w:sz w:val="24"/>
          <w:szCs w:val="24"/>
        </w:rPr>
        <w:t>4.</w:t>
      </w:r>
      <w:r w:rsidRPr="001F0BB1">
        <w:rPr>
          <w:sz w:val="24"/>
          <w:szCs w:val="24"/>
        </w:rPr>
        <w:tab/>
        <w:t xml:space="preserve">Williams DM, Evans M. Dapagliflozin for Heart Failure with Preserved Ejection Fraction: Will the DELIVER Study Deliver? Diabetes Ther Res Treat Educ Diabetes Relat Disord. 2020 Oct;11(10):2207–19. </w:t>
      </w:r>
    </w:p>
    <w:p w14:paraId="77BA5457" w14:textId="77777777" w:rsidR="005028E5" w:rsidRPr="001F0BB1" w:rsidRDefault="005028E5" w:rsidP="005028E5">
      <w:pPr>
        <w:rPr>
          <w:sz w:val="24"/>
          <w:szCs w:val="24"/>
        </w:rPr>
      </w:pPr>
      <w:r w:rsidRPr="001F0BB1">
        <w:rPr>
          <w:sz w:val="24"/>
          <w:szCs w:val="24"/>
        </w:rPr>
        <w:t>5.</w:t>
      </w:r>
      <w:r w:rsidRPr="001F0BB1">
        <w:rPr>
          <w:sz w:val="24"/>
          <w:szCs w:val="24"/>
        </w:rPr>
        <w:tab/>
        <w:t xml:space="preserve">McMurray JJV, Solomon SD, Inzucchi SE, Køber L, Kosiborod MN, Martinez FA, et al. Dapagliflozin in Patients with Heart Failure and Reduced Ejection Fraction. N Engl J Med. 2019 Nov 21;381(21):1995–2008. </w:t>
      </w:r>
    </w:p>
    <w:p w14:paraId="424278E7" w14:textId="77777777" w:rsidR="005028E5" w:rsidRPr="001F0BB1" w:rsidRDefault="005028E5" w:rsidP="005028E5">
      <w:pPr>
        <w:rPr>
          <w:sz w:val="24"/>
          <w:szCs w:val="24"/>
        </w:rPr>
      </w:pPr>
      <w:r w:rsidRPr="001F0BB1">
        <w:rPr>
          <w:sz w:val="24"/>
          <w:szCs w:val="24"/>
        </w:rPr>
        <w:t>6.</w:t>
      </w:r>
      <w:r w:rsidRPr="001F0BB1">
        <w:rPr>
          <w:sz w:val="24"/>
          <w:szCs w:val="24"/>
        </w:rPr>
        <w:tab/>
        <w:t xml:space="preserve">McDonagh TA, Metra M, Adamo M, Gardner RS, Baumbach A, Böhm M, et al. 2023 Focused Update of the 2021 ESC Guidelines for the diagnosis and treatment of acute and chronic heart failure. Eur Heart J. 2023 Aug 25;ehad195. </w:t>
      </w:r>
    </w:p>
    <w:p w14:paraId="0B2513F5" w14:textId="77777777" w:rsidR="005028E5" w:rsidRPr="001F0BB1" w:rsidRDefault="005028E5" w:rsidP="005028E5">
      <w:pPr>
        <w:rPr>
          <w:sz w:val="24"/>
          <w:szCs w:val="24"/>
        </w:rPr>
      </w:pPr>
      <w:r w:rsidRPr="001F0BB1">
        <w:rPr>
          <w:sz w:val="24"/>
          <w:szCs w:val="24"/>
        </w:rPr>
        <w:lastRenderedPageBreak/>
        <w:t>7.</w:t>
      </w:r>
      <w:r w:rsidRPr="001F0BB1">
        <w:rPr>
          <w:sz w:val="24"/>
          <w:szCs w:val="24"/>
        </w:rPr>
        <w:tab/>
        <w:t xml:space="preserve">Zannad F, Ferreira JP, Pocock SJ, Anker SD, Butler J, Filippatos G, et al. SGLT2 inhibitors in patients with heart failure with reduced ejection fraction: a meta-analysis of the EMPEROR-Reduced and DAPA-HF trials. Lancet Lond Engl. 2020 Sep 19;396(10254):819–29. </w:t>
      </w:r>
    </w:p>
    <w:p w14:paraId="287B4FE8" w14:textId="77777777" w:rsidR="005028E5" w:rsidRPr="001F0BB1" w:rsidRDefault="005028E5" w:rsidP="005028E5">
      <w:pPr>
        <w:rPr>
          <w:sz w:val="24"/>
          <w:szCs w:val="24"/>
        </w:rPr>
      </w:pPr>
      <w:r w:rsidRPr="001F0BB1">
        <w:rPr>
          <w:sz w:val="24"/>
          <w:szCs w:val="24"/>
        </w:rPr>
        <w:t>8.</w:t>
      </w:r>
      <w:r w:rsidRPr="001F0BB1">
        <w:rPr>
          <w:sz w:val="24"/>
          <w:szCs w:val="24"/>
        </w:rPr>
        <w:tab/>
        <w:t xml:space="preserve">Solomon SD, de Boer RA, DeMets D, Hernandez AF, Inzucchi SE, Kosiborod MN, et al. Dapagliflozin in heart failure with preserved and mildly reduced ejection fraction: rationale and design of the DELIVER trial. Eur J Heart Fail. 2021 Jul;23(7):1217–25. </w:t>
      </w:r>
    </w:p>
    <w:p w14:paraId="1DB55013" w14:textId="77777777" w:rsidR="005028E5" w:rsidRPr="001F0BB1" w:rsidRDefault="005028E5" w:rsidP="005028E5">
      <w:pPr>
        <w:rPr>
          <w:sz w:val="24"/>
          <w:szCs w:val="24"/>
        </w:rPr>
      </w:pPr>
      <w:r w:rsidRPr="001F0BB1">
        <w:rPr>
          <w:sz w:val="24"/>
          <w:szCs w:val="24"/>
        </w:rPr>
        <w:t>9.</w:t>
      </w:r>
      <w:r w:rsidRPr="001F0BB1">
        <w:rPr>
          <w:sz w:val="24"/>
          <w:szCs w:val="24"/>
        </w:rPr>
        <w:tab/>
        <w:t xml:space="preserve">Zelniker TA, Braunwald E. Mechanisms of Cardiorenal Effects of Sodium-Glucose Cotransporter 2 Inhibitors: JACC State-of-the-Art Review. J Am Coll Cardiol. 2020 Feb 4;75(4):422–34. </w:t>
      </w:r>
    </w:p>
    <w:p w14:paraId="4FCDA5BE" w14:textId="77777777" w:rsidR="005028E5" w:rsidRPr="001F0BB1" w:rsidRDefault="005028E5" w:rsidP="005028E5">
      <w:pPr>
        <w:rPr>
          <w:sz w:val="24"/>
          <w:szCs w:val="24"/>
        </w:rPr>
      </w:pPr>
      <w:r w:rsidRPr="001F0BB1">
        <w:rPr>
          <w:sz w:val="24"/>
          <w:szCs w:val="24"/>
        </w:rPr>
        <w:t>10.</w:t>
      </w:r>
      <w:r w:rsidRPr="001F0BB1">
        <w:rPr>
          <w:sz w:val="24"/>
          <w:szCs w:val="24"/>
        </w:rPr>
        <w:tab/>
        <w:t xml:space="preserve">Inzucchi SE, Kosiborod M, Fitchett D, Wanner C, Hehnke U, Kaspers S, et al. Improvement in Cardiovascular Outcomes With Empagliflozin Is Independent of Glycemic Control. Circulation. 2018 Oct 23;138(17):1904–7. </w:t>
      </w:r>
    </w:p>
    <w:p w14:paraId="1F5C56BF" w14:textId="77777777" w:rsidR="005028E5" w:rsidRPr="001F0BB1" w:rsidRDefault="005028E5" w:rsidP="005028E5">
      <w:pPr>
        <w:rPr>
          <w:sz w:val="24"/>
          <w:szCs w:val="24"/>
        </w:rPr>
      </w:pPr>
      <w:r w:rsidRPr="001F0BB1">
        <w:rPr>
          <w:sz w:val="24"/>
          <w:szCs w:val="24"/>
        </w:rPr>
        <w:t>11.</w:t>
      </w:r>
      <w:r w:rsidRPr="001F0BB1">
        <w:rPr>
          <w:sz w:val="24"/>
          <w:szCs w:val="24"/>
        </w:rPr>
        <w:tab/>
        <w:t xml:space="preserve">Hallow KM, Helmlinger G, Greasley PJ, McMurray JJV, Boulton DW. Why do SGLT2 inhibitors reduce heart failure hospitalization? A differential volume regulation hypothesis. Diabetes Obes Metab. 2018 Mar;20(3):479–87. </w:t>
      </w:r>
    </w:p>
    <w:p w14:paraId="3478A65E" w14:textId="77777777" w:rsidR="005028E5" w:rsidRPr="001F0BB1" w:rsidRDefault="005028E5" w:rsidP="005028E5">
      <w:pPr>
        <w:rPr>
          <w:sz w:val="24"/>
          <w:szCs w:val="24"/>
        </w:rPr>
      </w:pPr>
      <w:r w:rsidRPr="001F0BB1">
        <w:rPr>
          <w:sz w:val="24"/>
          <w:szCs w:val="24"/>
        </w:rPr>
        <w:t>12.</w:t>
      </w:r>
      <w:r w:rsidRPr="001F0BB1">
        <w:rPr>
          <w:sz w:val="24"/>
          <w:szCs w:val="24"/>
        </w:rPr>
        <w:tab/>
        <w:t xml:space="preserve">Horton JL, Davidson MT, Kurishima C, Vega RB, Powers JC, Matsuura TR, et al. The failing heart utilizes 3-hydroxybutyrate as a metabolic stress defense. JCI Insight. 2019 Feb 21;4(4):e124079, 124079. </w:t>
      </w:r>
    </w:p>
    <w:p w14:paraId="13933AD8" w14:textId="77777777" w:rsidR="005028E5" w:rsidRPr="001F0BB1" w:rsidRDefault="005028E5" w:rsidP="005028E5">
      <w:pPr>
        <w:rPr>
          <w:sz w:val="24"/>
          <w:szCs w:val="24"/>
        </w:rPr>
      </w:pPr>
      <w:r w:rsidRPr="001F0BB1">
        <w:rPr>
          <w:sz w:val="24"/>
          <w:szCs w:val="24"/>
        </w:rPr>
        <w:t>13.</w:t>
      </w:r>
      <w:r w:rsidRPr="001F0BB1">
        <w:rPr>
          <w:sz w:val="24"/>
          <w:szCs w:val="24"/>
        </w:rPr>
        <w:tab/>
        <w:t xml:space="preserve">Scheen AJ. Effect of SGLT2 Inhibitors on the Sympathetic Nervous System and Blood Pressure. Curr Cardiol Rep. 2019 Jun 21;21(8):70. </w:t>
      </w:r>
    </w:p>
    <w:p w14:paraId="12452A04" w14:textId="77777777" w:rsidR="005028E5" w:rsidRPr="001F0BB1" w:rsidRDefault="005028E5" w:rsidP="005028E5">
      <w:pPr>
        <w:rPr>
          <w:sz w:val="24"/>
          <w:szCs w:val="24"/>
        </w:rPr>
      </w:pPr>
      <w:r w:rsidRPr="001F0BB1">
        <w:rPr>
          <w:sz w:val="24"/>
          <w:szCs w:val="24"/>
        </w:rPr>
        <w:t>14.</w:t>
      </w:r>
      <w:r w:rsidRPr="001F0BB1">
        <w:rPr>
          <w:sz w:val="24"/>
          <w:szCs w:val="24"/>
        </w:rPr>
        <w:tab/>
        <w:t xml:space="preserve">Kidokoro K, Cherney DZI, Bozovic A, Nagasu H, Satoh M, Kanda E, et al. Evaluation of Glomerular Hemodynamic Function by Empagliflozin in Diabetic Mice Using In Vivo Imaging. Circulation. 2019 Jul 23;140(4):303–15. </w:t>
      </w:r>
    </w:p>
    <w:p w14:paraId="0269A21D" w14:textId="77777777" w:rsidR="005028E5" w:rsidRPr="001F0BB1" w:rsidRDefault="005028E5" w:rsidP="005028E5">
      <w:pPr>
        <w:rPr>
          <w:sz w:val="24"/>
          <w:szCs w:val="24"/>
        </w:rPr>
      </w:pPr>
      <w:r w:rsidRPr="001F0BB1">
        <w:rPr>
          <w:sz w:val="24"/>
          <w:szCs w:val="24"/>
        </w:rPr>
        <w:t>15.</w:t>
      </w:r>
      <w:r w:rsidRPr="001F0BB1">
        <w:rPr>
          <w:sz w:val="24"/>
          <w:szCs w:val="24"/>
        </w:rPr>
        <w:tab/>
        <w:t xml:space="preserve">Savage P, Dixon L, Grieve D, Watson C. SGLT2 Inhibition in Heart Failure: Clues to Cardiac Effects? Cardiol Rev. 2024 Jan 8; </w:t>
      </w:r>
    </w:p>
    <w:p w14:paraId="297CF107" w14:textId="77777777" w:rsidR="005028E5" w:rsidRPr="001F0BB1" w:rsidRDefault="005028E5" w:rsidP="005028E5">
      <w:pPr>
        <w:rPr>
          <w:sz w:val="24"/>
          <w:szCs w:val="24"/>
        </w:rPr>
      </w:pPr>
      <w:r w:rsidRPr="001F0BB1">
        <w:rPr>
          <w:sz w:val="24"/>
          <w:szCs w:val="24"/>
        </w:rPr>
        <w:t>16.</w:t>
      </w:r>
      <w:r w:rsidRPr="001F0BB1">
        <w:rPr>
          <w:sz w:val="24"/>
          <w:szCs w:val="24"/>
        </w:rPr>
        <w:tab/>
        <w:t xml:space="preserve">McDonagh TA, Metra M, Adamo M, Gardner RS, Baumbach A, Böhm M, et al. 2021 ESC Guidelines for the diagnosis and treatment of acute and chronic heart failure. Eur Heart J. 2021 Sep 21;42(36):3599–726. </w:t>
      </w:r>
    </w:p>
    <w:p w14:paraId="39375FC1" w14:textId="77777777" w:rsidR="005028E5" w:rsidRPr="001F0BB1" w:rsidRDefault="005028E5" w:rsidP="005028E5">
      <w:pPr>
        <w:rPr>
          <w:sz w:val="24"/>
          <w:szCs w:val="24"/>
        </w:rPr>
      </w:pPr>
      <w:r w:rsidRPr="001F0BB1">
        <w:rPr>
          <w:sz w:val="24"/>
          <w:szCs w:val="24"/>
        </w:rPr>
        <w:t>17.</w:t>
      </w:r>
      <w:r w:rsidRPr="001F0BB1">
        <w:rPr>
          <w:sz w:val="24"/>
          <w:szCs w:val="24"/>
        </w:rPr>
        <w:tab/>
        <w:t xml:space="preserve">Brown AJM, Gandy S, McCrimmon R, Houston JG, Struthers AD, Lang CC. A randomized controlled trial of dapagliflozin on left ventricular hypertrophy in people with type two diabetes: the DAPA-LVH trial. Eur Heart J. 2020 Sep 21;41(36):3421–32. </w:t>
      </w:r>
    </w:p>
    <w:p w14:paraId="1C61412A" w14:textId="77777777" w:rsidR="005028E5" w:rsidRPr="001F0BB1" w:rsidRDefault="005028E5" w:rsidP="005028E5">
      <w:pPr>
        <w:rPr>
          <w:sz w:val="24"/>
          <w:szCs w:val="24"/>
        </w:rPr>
      </w:pPr>
      <w:r w:rsidRPr="001F0BB1">
        <w:rPr>
          <w:sz w:val="24"/>
          <w:szCs w:val="24"/>
        </w:rPr>
        <w:t>18.</w:t>
      </w:r>
      <w:r w:rsidRPr="001F0BB1">
        <w:rPr>
          <w:sz w:val="24"/>
          <w:szCs w:val="24"/>
        </w:rPr>
        <w:tab/>
        <w:t xml:space="preserve">Sen T, Li J, Neuen BL, Neal B, Arnott C, Parikh CR, et al. Effects of the SGLT2 inhibitor canagliflozin on plasma biomarkers TNFR-1, TNFR-2 and KIM-1 in the CANVAS trial. Diabetologia. 2021 Oct;64(10):2147–58. </w:t>
      </w:r>
    </w:p>
    <w:p w14:paraId="5A0D97C3" w14:textId="77777777" w:rsidR="005028E5" w:rsidRPr="001F0BB1" w:rsidRDefault="005028E5" w:rsidP="005028E5">
      <w:pPr>
        <w:rPr>
          <w:sz w:val="24"/>
          <w:szCs w:val="24"/>
        </w:rPr>
      </w:pPr>
      <w:r w:rsidRPr="001F0BB1">
        <w:rPr>
          <w:sz w:val="24"/>
          <w:szCs w:val="24"/>
        </w:rPr>
        <w:t>19.</w:t>
      </w:r>
      <w:r w:rsidRPr="001F0BB1">
        <w:rPr>
          <w:sz w:val="24"/>
          <w:szCs w:val="24"/>
        </w:rPr>
        <w:tab/>
        <w:t xml:space="preserve">Kim SR, Lee SG, Kim SH, Kim JH, Choi E, Cho W, et al. SGLT2 inhibition modulates NLRP3 inflammasome activity via ketones and insulin in diabetes with cardiovascular disease. Nat Commun. 2020 May 1;11(1):2127. </w:t>
      </w:r>
    </w:p>
    <w:p w14:paraId="5683F3D2" w14:textId="77777777" w:rsidR="005028E5" w:rsidRPr="001F0BB1" w:rsidRDefault="005028E5" w:rsidP="005028E5">
      <w:pPr>
        <w:rPr>
          <w:sz w:val="24"/>
          <w:szCs w:val="24"/>
        </w:rPr>
      </w:pPr>
      <w:r w:rsidRPr="001F0BB1">
        <w:rPr>
          <w:sz w:val="24"/>
          <w:szCs w:val="24"/>
        </w:rPr>
        <w:lastRenderedPageBreak/>
        <w:t>20.</w:t>
      </w:r>
      <w:r w:rsidRPr="001F0BB1">
        <w:rPr>
          <w:sz w:val="24"/>
          <w:szCs w:val="24"/>
        </w:rPr>
        <w:tab/>
        <w:t xml:space="preserve">Gotzmann M, Henk P, Stervbo U, Blázquez-Navarro A, Mügge A, Babel N, et al. Empagliflozin Reduces Interleukin-6 Levels in Patients with Heart Failure. J Clin Med. 2023 Jul 3;12(13):4458. </w:t>
      </w:r>
    </w:p>
    <w:p w14:paraId="1F2DB348" w14:textId="77777777" w:rsidR="005028E5" w:rsidRPr="001F0BB1" w:rsidRDefault="005028E5" w:rsidP="005028E5">
      <w:pPr>
        <w:rPr>
          <w:sz w:val="24"/>
          <w:szCs w:val="24"/>
        </w:rPr>
      </w:pPr>
      <w:r w:rsidRPr="001F0BB1">
        <w:rPr>
          <w:sz w:val="24"/>
          <w:szCs w:val="24"/>
        </w:rPr>
        <w:t>21.</w:t>
      </w:r>
      <w:r w:rsidRPr="001F0BB1">
        <w:rPr>
          <w:sz w:val="24"/>
          <w:szCs w:val="24"/>
        </w:rPr>
        <w:tab/>
        <w:t xml:space="preserve">Dudek M, Kałużna-Oleksy M, Migaj J, Sawczak F, Krysztofiak H, Lesiak M, et al. sST2 and Heart Failure—Clinical Utility and Prognosis. J Clin Med. 2023 Apr 26;12(9):3136. </w:t>
      </w:r>
    </w:p>
    <w:p w14:paraId="37438B87" w14:textId="77777777" w:rsidR="005028E5" w:rsidRPr="001F0BB1" w:rsidRDefault="005028E5" w:rsidP="005028E5">
      <w:pPr>
        <w:rPr>
          <w:sz w:val="24"/>
          <w:szCs w:val="24"/>
        </w:rPr>
      </w:pPr>
      <w:r w:rsidRPr="001F0BB1">
        <w:rPr>
          <w:sz w:val="24"/>
          <w:szCs w:val="24"/>
        </w:rPr>
        <w:t>22.</w:t>
      </w:r>
      <w:r w:rsidRPr="001F0BB1">
        <w:rPr>
          <w:sz w:val="24"/>
          <w:szCs w:val="24"/>
        </w:rPr>
        <w:tab/>
        <w:t xml:space="preserve">Roselló-Lletí E, Rivera M, Bertomeu V, Cortés R, Jordán A, González-Molina A. [Interleukin-4 and cardiac fibrosis in patients with heart failure]. Rev Esp Cardiol. 2007 Jul;60(7):777–80. </w:t>
      </w:r>
    </w:p>
    <w:p w14:paraId="354C80A0" w14:textId="77777777" w:rsidR="005028E5" w:rsidRPr="001F0BB1" w:rsidRDefault="005028E5" w:rsidP="005028E5">
      <w:pPr>
        <w:rPr>
          <w:sz w:val="24"/>
          <w:szCs w:val="24"/>
        </w:rPr>
      </w:pPr>
      <w:r w:rsidRPr="001F0BB1">
        <w:rPr>
          <w:sz w:val="24"/>
          <w:szCs w:val="24"/>
        </w:rPr>
        <w:t>23.</w:t>
      </w:r>
      <w:r w:rsidRPr="001F0BB1">
        <w:rPr>
          <w:sz w:val="24"/>
          <w:szCs w:val="24"/>
        </w:rPr>
        <w:tab/>
        <w:t xml:space="preserve">Mustapic I, Bakovic D, Susilovic-Grabovac Z, Borovac JA. Left Ventricular Systolic Function After 3 Months of SGLT2 Inhibitor Therapy in Heart Failure Patients with Reduced Ejection Fraction. J Cardiovasc Transl Res. 2023 Oct;16(5):987–98. </w:t>
      </w:r>
    </w:p>
    <w:p w14:paraId="52EF5802" w14:textId="77777777" w:rsidR="005028E5" w:rsidRPr="001F0BB1" w:rsidRDefault="005028E5" w:rsidP="005028E5">
      <w:pPr>
        <w:rPr>
          <w:sz w:val="24"/>
          <w:szCs w:val="24"/>
        </w:rPr>
      </w:pPr>
      <w:r w:rsidRPr="001F0BB1">
        <w:rPr>
          <w:sz w:val="24"/>
          <w:szCs w:val="24"/>
        </w:rPr>
        <w:t>24.</w:t>
      </w:r>
      <w:r w:rsidRPr="001F0BB1">
        <w:rPr>
          <w:sz w:val="24"/>
          <w:szCs w:val="24"/>
        </w:rPr>
        <w:tab/>
        <w:t xml:space="preserve">Myhre PL, Prescott MF, Murphy SP, Fang JC, Mitchell GF, Ward JH, et al. Early B-Type Natriuretic Peptide Change in HFrEF Patients Treated With Sacubitril/Valsartan: A Pooled Analysis of EVALUATE-HF and PROVE-HF. JACC Heart Fail. 2022 Feb;10(2):119–28. </w:t>
      </w:r>
    </w:p>
    <w:p w14:paraId="4310356B" w14:textId="77777777" w:rsidR="005028E5" w:rsidRPr="001F0BB1" w:rsidRDefault="005028E5" w:rsidP="005028E5">
      <w:pPr>
        <w:rPr>
          <w:sz w:val="24"/>
          <w:szCs w:val="24"/>
        </w:rPr>
      </w:pPr>
      <w:r w:rsidRPr="001F0BB1">
        <w:rPr>
          <w:sz w:val="24"/>
          <w:szCs w:val="24"/>
        </w:rPr>
        <w:t>25.</w:t>
      </w:r>
      <w:r w:rsidRPr="001F0BB1">
        <w:rPr>
          <w:sz w:val="24"/>
          <w:szCs w:val="24"/>
        </w:rPr>
        <w:tab/>
        <w:t xml:space="preserve">Januzzi JL Jr, Prescott MF, Butler J, Felker GM, Maisel AS, McCague K, et al. Association of Change in N-Terminal Pro–B-Type Natriuretic Peptide Following Initiation of Sacubitril-Valsartan Treatment With Cardiac Structure and Function in Patients With Heart Failure With Reduced Ejection Fraction. JAMA. 2019 Sep 17;322(11):1085–95. </w:t>
      </w:r>
    </w:p>
    <w:p w14:paraId="5FDE2AE7" w14:textId="77777777" w:rsidR="005028E5" w:rsidRPr="001F0BB1" w:rsidRDefault="005028E5" w:rsidP="005028E5">
      <w:pPr>
        <w:rPr>
          <w:sz w:val="24"/>
          <w:szCs w:val="24"/>
        </w:rPr>
      </w:pPr>
      <w:r w:rsidRPr="001F0BB1">
        <w:rPr>
          <w:sz w:val="24"/>
          <w:szCs w:val="24"/>
        </w:rPr>
        <w:t>26.</w:t>
      </w:r>
      <w:r w:rsidRPr="001F0BB1">
        <w:rPr>
          <w:sz w:val="24"/>
          <w:szCs w:val="24"/>
        </w:rPr>
        <w:tab/>
        <w:t xml:space="preserve">Kohno M, Horio T, Yokokawa K, Yasunari K, Ikeda M, Minami M, et al. Brain natriuretic peptide as a marker for hypertensive left ventricular hypertrophy: changes during 1-year antihypertensive therapy with angiotensin-converting enzyme inhibitor. Am J Med. 1995 Mar;98(3):257–65. </w:t>
      </w:r>
    </w:p>
    <w:p w14:paraId="6920C25F" w14:textId="77777777" w:rsidR="005028E5" w:rsidRPr="001F0BB1" w:rsidRDefault="005028E5" w:rsidP="005028E5">
      <w:pPr>
        <w:rPr>
          <w:sz w:val="24"/>
          <w:szCs w:val="24"/>
        </w:rPr>
      </w:pPr>
      <w:r w:rsidRPr="001F0BB1">
        <w:rPr>
          <w:sz w:val="24"/>
          <w:szCs w:val="24"/>
        </w:rPr>
        <w:t>27.</w:t>
      </w:r>
      <w:r w:rsidRPr="001F0BB1">
        <w:rPr>
          <w:sz w:val="24"/>
          <w:szCs w:val="24"/>
        </w:rPr>
        <w:tab/>
        <w:t xml:space="preserve">Fonseca-Correa JI, Correa-Rotter R. Sodium-Glucose Cotransporter 2 Inhibitors Mechanisms of Action: A Review. Front Med. 2021 Dec 20;8:777861. </w:t>
      </w:r>
    </w:p>
    <w:p w14:paraId="28CDAA47" w14:textId="77777777" w:rsidR="005028E5" w:rsidRPr="001F0BB1" w:rsidRDefault="005028E5" w:rsidP="005028E5">
      <w:pPr>
        <w:rPr>
          <w:sz w:val="24"/>
          <w:szCs w:val="24"/>
        </w:rPr>
      </w:pPr>
      <w:r w:rsidRPr="001F0BB1">
        <w:rPr>
          <w:sz w:val="24"/>
          <w:szCs w:val="24"/>
        </w:rPr>
        <w:t>28.</w:t>
      </w:r>
      <w:r w:rsidRPr="001F0BB1">
        <w:rPr>
          <w:sz w:val="24"/>
          <w:szCs w:val="24"/>
        </w:rPr>
        <w:tab/>
        <w:t xml:space="preserve">Kluger AY, Tecson KM, Barbin CM, Lee AY, Lerma EV, Rosol ZP, et al. Cardiorenal Outcomes in the CANVAS, DECLARE-TIMI 58, and EMPA-REG OUTCOME Trials: A Systematic Review. Rev Cardiovasc Med. 2018 Jun 30;19(2):41–9. </w:t>
      </w:r>
    </w:p>
    <w:p w14:paraId="750A319E" w14:textId="77777777" w:rsidR="005028E5" w:rsidRPr="001F0BB1" w:rsidRDefault="005028E5" w:rsidP="005028E5">
      <w:pPr>
        <w:rPr>
          <w:sz w:val="24"/>
          <w:szCs w:val="24"/>
        </w:rPr>
      </w:pPr>
      <w:r w:rsidRPr="001F0BB1">
        <w:rPr>
          <w:sz w:val="24"/>
          <w:szCs w:val="24"/>
        </w:rPr>
        <w:t>29.</w:t>
      </w:r>
      <w:r w:rsidRPr="001F0BB1">
        <w:rPr>
          <w:sz w:val="24"/>
          <w:szCs w:val="24"/>
        </w:rPr>
        <w:tab/>
        <w:t xml:space="preserve">Bray JJH, Foster-Davies H, Stephens JW. A systematic review examining the effects of sodium-glucose cotransporter-2 inhibitors (SGLT2is) on biomarkers of inflammation and oxidative stress. Diabetes Res Clin Pract. 2020 Oct;168:108368. </w:t>
      </w:r>
    </w:p>
    <w:p w14:paraId="231E73B6" w14:textId="77777777" w:rsidR="005028E5" w:rsidRPr="001F0BB1" w:rsidRDefault="005028E5" w:rsidP="005028E5">
      <w:pPr>
        <w:rPr>
          <w:sz w:val="24"/>
          <w:szCs w:val="24"/>
        </w:rPr>
      </w:pPr>
      <w:r w:rsidRPr="001F0BB1">
        <w:rPr>
          <w:sz w:val="24"/>
          <w:szCs w:val="24"/>
        </w:rPr>
        <w:t>30.</w:t>
      </w:r>
      <w:r w:rsidRPr="001F0BB1">
        <w:rPr>
          <w:sz w:val="24"/>
          <w:szCs w:val="24"/>
        </w:rPr>
        <w:tab/>
        <w:t xml:space="preserve">Nabrdalik-Leśniak D, Nabrdalik K, Sedlaczek K, Główczyński P, Kwiendacz H, Sawczyn T, et al. Influence of SGLT2 Inhibitor Treatment on Urine Antioxidant Status in Type 2 Diabetic Patients: A Pilot Study. Oxid Med Cell Longev. 2021;2021:5593589. </w:t>
      </w:r>
    </w:p>
    <w:p w14:paraId="6249C397" w14:textId="77777777" w:rsidR="005028E5" w:rsidRPr="001F0BB1" w:rsidRDefault="005028E5" w:rsidP="005028E5">
      <w:pPr>
        <w:rPr>
          <w:sz w:val="24"/>
          <w:szCs w:val="24"/>
        </w:rPr>
      </w:pPr>
      <w:r w:rsidRPr="001F0BB1">
        <w:rPr>
          <w:sz w:val="24"/>
          <w:szCs w:val="24"/>
        </w:rPr>
        <w:t>31.</w:t>
      </w:r>
      <w:r w:rsidRPr="001F0BB1">
        <w:rPr>
          <w:sz w:val="24"/>
          <w:szCs w:val="24"/>
        </w:rPr>
        <w:tab/>
        <w:t xml:space="preserve">Lee TM, Chang NC, Lin SZ. Dapagliflozin, a selective SGLT2 Inhibitor, attenuated cardiac fibrosis by regulating the macrophage polarization via STAT3 signaling in infarcted rat hearts. Free Radic Biol Med. 2017 Mar;104:298–310. </w:t>
      </w:r>
    </w:p>
    <w:p w14:paraId="42E153B8" w14:textId="77777777" w:rsidR="005028E5" w:rsidRPr="001F0BB1" w:rsidRDefault="005028E5" w:rsidP="005028E5">
      <w:pPr>
        <w:rPr>
          <w:sz w:val="24"/>
          <w:szCs w:val="24"/>
        </w:rPr>
      </w:pPr>
      <w:r w:rsidRPr="001F0BB1">
        <w:rPr>
          <w:sz w:val="24"/>
          <w:szCs w:val="24"/>
        </w:rPr>
        <w:lastRenderedPageBreak/>
        <w:t>32.</w:t>
      </w:r>
      <w:r w:rsidRPr="001F0BB1">
        <w:rPr>
          <w:sz w:val="24"/>
          <w:szCs w:val="24"/>
        </w:rPr>
        <w:tab/>
        <w:t xml:space="preserve">Li C, Zhang J, Xue M, Li X, Han F, Liu X, et al. SGLT2 inhibition with empagliflozin attenuates myocardial oxidative stress and fibrosis in diabetic mice heart. Cardiovasc Diabetol. 2019 Feb 2;18(1):15. </w:t>
      </w:r>
    </w:p>
    <w:p w14:paraId="595587D8" w14:textId="77777777" w:rsidR="005028E5" w:rsidRPr="001F0BB1" w:rsidRDefault="005028E5" w:rsidP="005028E5">
      <w:pPr>
        <w:rPr>
          <w:sz w:val="24"/>
          <w:szCs w:val="24"/>
        </w:rPr>
      </w:pPr>
      <w:r w:rsidRPr="001F0BB1">
        <w:rPr>
          <w:sz w:val="24"/>
          <w:szCs w:val="24"/>
        </w:rPr>
        <w:t>33.</w:t>
      </w:r>
      <w:r w:rsidRPr="001F0BB1">
        <w:rPr>
          <w:sz w:val="24"/>
          <w:szCs w:val="24"/>
        </w:rPr>
        <w:tab/>
        <w:t xml:space="preserve">Uthman L, Baartscheer A, Bleijlevens B, Schumacher CA, Fiolet JWT, Koeman A, et al. Class effects of SGLT2 inhibitors in mouse cardiomyocytes and hearts: inhibition of Na+/H+ exchanger, lowering of cytosolic Na+ and vasodilation. Diabetologia. 2018 Mar;61(3):722–6. </w:t>
      </w:r>
    </w:p>
    <w:p w14:paraId="414946AE" w14:textId="77777777" w:rsidR="005028E5" w:rsidRPr="001F0BB1" w:rsidRDefault="005028E5" w:rsidP="005028E5">
      <w:pPr>
        <w:rPr>
          <w:sz w:val="24"/>
          <w:szCs w:val="24"/>
        </w:rPr>
      </w:pPr>
      <w:r w:rsidRPr="001F0BB1">
        <w:rPr>
          <w:sz w:val="24"/>
          <w:szCs w:val="24"/>
        </w:rPr>
        <w:t>34.</w:t>
      </w:r>
      <w:r w:rsidRPr="001F0BB1">
        <w:rPr>
          <w:sz w:val="24"/>
          <w:szCs w:val="24"/>
        </w:rPr>
        <w:tab/>
        <w:t xml:space="preserve">Baartscheer A, Schumacher CA, Wüst RCI, Fiolet JWT, Stienen GJM, Coronel R, et al. Empagliflozin decreases myocardial cytoplasmic Na+ through inhibition of the cardiac Na+/H+ exchanger in rats and rabbits. Diabetologia. 2017 Mar;60(3):568–73. </w:t>
      </w:r>
    </w:p>
    <w:p w14:paraId="3329598D" w14:textId="77777777" w:rsidR="005028E5" w:rsidRPr="001F0BB1" w:rsidRDefault="005028E5" w:rsidP="005028E5">
      <w:pPr>
        <w:rPr>
          <w:sz w:val="24"/>
          <w:szCs w:val="24"/>
        </w:rPr>
      </w:pPr>
      <w:r w:rsidRPr="001F0BB1">
        <w:rPr>
          <w:sz w:val="24"/>
          <w:szCs w:val="24"/>
        </w:rPr>
        <w:t>35.</w:t>
      </w:r>
      <w:r w:rsidRPr="001F0BB1">
        <w:rPr>
          <w:sz w:val="24"/>
          <w:szCs w:val="24"/>
        </w:rPr>
        <w:tab/>
        <w:t xml:space="preserve">Lopaschuk GD, Karwi QG, Ho KL, Pherwani S, Ketema EB. Ketone metabolism in the failing heart. Biochim Biophys Acta Mol Cell Biol Lipids. 2020 Dec;1865(12):158813. </w:t>
      </w:r>
    </w:p>
    <w:p w14:paraId="545D55FB" w14:textId="77777777" w:rsidR="005028E5" w:rsidRPr="001F0BB1" w:rsidRDefault="005028E5" w:rsidP="005028E5">
      <w:pPr>
        <w:rPr>
          <w:sz w:val="24"/>
          <w:szCs w:val="24"/>
        </w:rPr>
      </w:pPr>
      <w:r w:rsidRPr="001F0BB1">
        <w:rPr>
          <w:sz w:val="24"/>
          <w:szCs w:val="24"/>
        </w:rPr>
        <w:t>36.</w:t>
      </w:r>
      <w:r w:rsidRPr="001F0BB1">
        <w:rPr>
          <w:sz w:val="24"/>
          <w:szCs w:val="24"/>
        </w:rPr>
        <w:tab/>
        <w:t xml:space="preserve">Nielsen R, Møller N, Gormsen LC, Tolbod LP, Hansson NH, Sorensen J, et al. Cardiovascular Effects of Treatment With the Ketone Body 3-Hydroxybutyrate in Chronic Heart Failure Patients. Circulation. 2019 Apr 30;139(18):2129–41. </w:t>
      </w:r>
    </w:p>
    <w:p w14:paraId="1BB85D45" w14:textId="77777777" w:rsidR="005028E5" w:rsidRPr="001F0BB1" w:rsidRDefault="005028E5" w:rsidP="005028E5">
      <w:pPr>
        <w:rPr>
          <w:sz w:val="24"/>
          <w:szCs w:val="24"/>
        </w:rPr>
      </w:pPr>
      <w:r w:rsidRPr="001F0BB1">
        <w:rPr>
          <w:sz w:val="24"/>
          <w:szCs w:val="24"/>
        </w:rPr>
        <w:t>37.</w:t>
      </w:r>
      <w:r w:rsidRPr="001F0BB1">
        <w:rPr>
          <w:sz w:val="24"/>
          <w:szCs w:val="24"/>
        </w:rPr>
        <w:tab/>
        <w:t xml:space="preserve">Santos-Gallego CG, Requena-Ibanez JA, San Antonio R, Ishikawa K, Watanabe S, Picatoste B, et al. Empagliflozin Ameliorates Adverse Left Ventricular Remodeling in Nondiabetic Heart Failure by Enhancing Myocardial Energetics. J Am Coll Cardiol. 2019 Apr 23;73(15):1931–44. </w:t>
      </w:r>
    </w:p>
    <w:p w14:paraId="0ADEE6CD" w14:textId="77777777" w:rsidR="005028E5" w:rsidRPr="001F0BB1" w:rsidRDefault="005028E5" w:rsidP="005028E5">
      <w:pPr>
        <w:rPr>
          <w:sz w:val="24"/>
          <w:szCs w:val="24"/>
        </w:rPr>
      </w:pPr>
      <w:r w:rsidRPr="001F0BB1">
        <w:rPr>
          <w:sz w:val="24"/>
          <w:szCs w:val="24"/>
        </w:rPr>
        <w:t>38.</w:t>
      </w:r>
      <w:r w:rsidRPr="001F0BB1">
        <w:rPr>
          <w:sz w:val="24"/>
          <w:szCs w:val="24"/>
        </w:rPr>
        <w:tab/>
        <w:t xml:space="preserve">Youm YH, Nguyen KY, Grant RW, Goldberg EL, Bodogai M, Kim D, et al. The ketone metabolite β-hydroxybutyrate blocks NLRP3 inflammasome-mediated inflammatory disease. Nat Med. 2015 Mar;21(3):263–9. </w:t>
      </w:r>
    </w:p>
    <w:p w14:paraId="24490BEF" w14:textId="77777777" w:rsidR="005028E5" w:rsidRPr="001F0BB1" w:rsidRDefault="005028E5" w:rsidP="005028E5">
      <w:pPr>
        <w:rPr>
          <w:sz w:val="24"/>
          <w:szCs w:val="24"/>
        </w:rPr>
      </w:pPr>
      <w:r w:rsidRPr="001F0BB1">
        <w:rPr>
          <w:sz w:val="24"/>
          <w:szCs w:val="24"/>
        </w:rPr>
        <w:t>39.</w:t>
      </w:r>
      <w:r w:rsidRPr="001F0BB1">
        <w:rPr>
          <w:sz w:val="24"/>
          <w:szCs w:val="24"/>
        </w:rPr>
        <w:tab/>
        <w:t xml:space="preserve">Verma S, Mazer CD, Yan AT, Mason T, Garg V, Teoh H, et al. Effect of Empagliflozin on Left Ventricular Mass in Patients With Type 2 Diabetes Mellitus and Coronary Artery Disease: The EMPA-HEART CardioLink-6 Randomized Clinical Trial. Circulation. 2019 Nov 19;140(21):1693–702. </w:t>
      </w:r>
    </w:p>
    <w:p w14:paraId="215B91EA" w14:textId="77777777" w:rsidR="005028E5" w:rsidRPr="001F0BB1" w:rsidRDefault="005028E5" w:rsidP="005028E5">
      <w:pPr>
        <w:rPr>
          <w:sz w:val="24"/>
          <w:szCs w:val="24"/>
        </w:rPr>
      </w:pPr>
      <w:r w:rsidRPr="001F0BB1">
        <w:rPr>
          <w:sz w:val="24"/>
          <w:szCs w:val="24"/>
        </w:rPr>
        <w:t>40.</w:t>
      </w:r>
      <w:r w:rsidRPr="001F0BB1">
        <w:rPr>
          <w:sz w:val="24"/>
          <w:szCs w:val="24"/>
        </w:rPr>
        <w:tab/>
        <w:t xml:space="preserve">Santos-Gallego CG, Vargas-Delgado AP, Requena-Ibanez JA, Garcia-Ropero A, Mancini D, Pinney S, et al. Randomized Trial of Empagliflozin in Nondiabetic Patients With Heart Failure and Reduced Ejection Fraction. J Am Coll Cardiol. 2021 Jan 26;77(3):243–55. </w:t>
      </w:r>
    </w:p>
    <w:p w14:paraId="50F9796D" w14:textId="77777777" w:rsidR="005028E5" w:rsidRPr="001F0BB1" w:rsidRDefault="005028E5" w:rsidP="005028E5">
      <w:pPr>
        <w:rPr>
          <w:sz w:val="24"/>
          <w:szCs w:val="24"/>
        </w:rPr>
      </w:pPr>
      <w:r w:rsidRPr="001F0BB1">
        <w:rPr>
          <w:sz w:val="24"/>
          <w:szCs w:val="24"/>
        </w:rPr>
        <w:fldChar w:fldCharType="end"/>
      </w:r>
    </w:p>
    <w:p w14:paraId="0DB42603" w14:textId="77777777" w:rsidR="005028E5" w:rsidRPr="001F0BB1" w:rsidRDefault="005028E5" w:rsidP="005028E5">
      <w:pPr>
        <w:rPr>
          <w:b/>
          <w:bCs/>
          <w:iCs/>
          <w:sz w:val="24"/>
          <w:szCs w:val="24"/>
        </w:rPr>
      </w:pPr>
    </w:p>
    <w:p w14:paraId="53230BA5" w14:textId="77777777" w:rsidR="005028E5" w:rsidRPr="003B6BFD" w:rsidRDefault="005028E5" w:rsidP="005028E5">
      <w:pPr>
        <w:rPr>
          <w:sz w:val="24"/>
          <w:szCs w:val="24"/>
        </w:rPr>
      </w:pPr>
    </w:p>
    <w:p w14:paraId="02828885" w14:textId="77777777" w:rsidR="005028E5" w:rsidRDefault="005028E5" w:rsidP="005028E5">
      <w:pPr>
        <w:rPr>
          <w:b/>
          <w:bCs/>
          <w:sz w:val="24"/>
          <w:szCs w:val="24"/>
        </w:rPr>
      </w:pPr>
    </w:p>
    <w:p w14:paraId="64BC060B" w14:textId="77777777" w:rsidR="005028E5" w:rsidRPr="00F6680D" w:rsidRDefault="005028E5" w:rsidP="005028E5">
      <w:pPr>
        <w:rPr>
          <w:b/>
          <w:bCs/>
          <w:sz w:val="24"/>
          <w:szCs w:val="24"/>
        </w:rPr>
      </w:pPr>
    </w:p>
    <w:p w14:paraId="3B06CFE0" w14:textId="77777777" w:rsidR="005028E5" w:rsidRPr="002A28CF" w:rsidRDefault="005028E5" w:rsidP="002A28CF"/>
    <w:sectPr w:rsidR="005028E5" w:rsidRPr="002A28CF" w:rsidSect="0024021D">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E69C4" w14:textId="77777777" w:rsidR="00396DD3" w:rsidRDefault="00396DD3" w:rsidP="00AE3EFC">
      <w:pPr>
        <w:spacing w:after="0" w:line="240" w:lineRule="auto"/>
      </w:pPr>
      <w:r>
        <w:separator/>
      </w:r>
    </w:p>
  </w:endnote>
  <w:endnote w:type="continuationSeparator" w:id="0">
    <w:p w14:paraId="5BB010BC" w14:textId="77777777" w:rsidR="00396DD3" w:rsidRDefault="00396DD3" w:rsidP="00AE3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F7D89" w14:textId="4C31FE92" w:rsidR="00AE3EFC" w:rsidRDefault="005D4D02">
    <w:pPr>
      <w:pStyle w:val="Footer"/>
    </w:pPr>
    <w:r>
      <w:t>SiN-HF Protocol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52E7F3" w14:textId="77777777" w:rsidR="00396DD3" w:rsidRDefault="00396DD3" w:rsidP="00AE3EFC">
      <w:pPr>
        <w:spacing w:after="0" w:line="240" w:lineRule="auto"/>
      </w:pPr>
      <w:r>
        <w:separator/>
      </w:r>
    </w:p>
  </w:footnote>
  <w:footnote w:type="continuationSeparator" w:id="0">
    <w:p w14:paraId="042D808B" w14:textId="77777777" w:rsidR="00396DD3" w:rsidRDefault="00396DD3" w:rsidP="00AE3E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2071929"/>
      <w:docPartObj>
        <w:docPartGallery w:val="Page Numbers (Top of Page)"/>
        <w:docPartUnique/>
      </w:docPartObj>
    </w:sdtPr>
    <w:sdtEndPr>
      <w:rPr>
        <w:noProof/>
      </w:rPr>
    </w:sdtEndPr>
    <w:sdtContent>
      <w:p w14:paraId="2ACF337C" w14:textId="4FE9AD25" w:rsidR="00D03F05" w:rsidRDefault="00D03F05">
        <w:pPr>
          <w:pStyle w:val="Header"/>
        </w:pPr>
        <w:r>
          <w:fldChar w:fldCharType="begin"/>
        </w:r>
        <w:r>
          <w:instrText xml:space="preserve"> PAGE   \* MERGEFORMAT </w:instrText>
        </w:r>
        <w:r>
          <w:fldChar w:fldCharType="separate"/>
        </w:r>
        <w:r>
          <w:rPr>
            <w:noProof/>
          </w:rPr>
          <w:t>2</w:t>
        </w:r>
        <w:r>
          <w:rPr>
            <w:noProof/>
          </w:rPr>
          <w:fldChar w:fldCharType="end"/>
        </w:r>
      </w:p>
    </w:sdtContent>
  </w:sdt>
  <w:p w14:paraId="2D6FDCFD" w14:textId="77777777" w:rsidR="00D03F05" w:rsidRDefault="00D03F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66537"/>
    <w:multiLevelType w:val="hybridMultilevel"/>
    <w:tmpl w:val="534CE4BC"/>
    <w:lvl w:ilvl="0" w:tplc="0809000F">
      <w:start w:val="1"/>
      <w:numFmt w:val="decimal"/>
      <w:lvlText w:val="%1."/>
      <w:lvlJc w:val="left"/>
      <w:pPr>
        <w:ind w:left="785" w:hanging="360"/>
      </w:p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 w15:restartNumberingAfterBreak="0">
    <w:nsid w:val="0C205B18"/>
    <w:multiLevelType w:val="multilevel"/>
    <w:tmpl w:val="F99A531E"/>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EEB743B"/>
    <w:multiLevelType w:val="multilevel"/>
    <w:tmpl w:val="723E32F4"/>
    <w:lvl w:ilvl="0">
      <w:start w:val="1"/>
      <w:numFmt w:val="decimal"/>
      <w:lvlText w:val="%1."/>
      <w:lvlJc w:val="left"/>
      <w:pPr>
        <w:ind w:left="36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3" w15:restartNumberingAfterBreak="0">
    <w:nsid w:val="1344554C"/>
    <w:multiLevelType w:val="multilevel"/>
    <w:tmpl w:val="15E8BD04"/>
    <w:lvl w:ilvl="0">
      <w:start w:val="1"/>
      <w:numFmt w:val="decimal"/>
      <w:lvlText w:val="%1."/>
      <w:lvlJc w:val="left"/>
      <w:pPr>
        <w:ind w:left="400" w:hanging="40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1F1C28B8"/>
    <w:multiLevelType w:val="multilevel"/>
    <w:tmpl w:val="90B87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87C6EC5"/>
    <w:multiLevelType w:val="multilevel"/>
    <w:tmpl w:val="8760E9A6"/>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706C2BEA"/>
    <w:multiLevelType w:val="hybridMultilevel"/>
    <w:tmpl w:val="E30CFEBC"/>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7" w15:restartNumberingAfterBreak="0">
    <w:nsid w:val="78D02766"/>
    <w:multiLevelType w:val="hybridMultilevel"/>
    <w:tmpl w:val="BCE660B2"/>
    <w:lvl w:ilvl="0" w:tplc="038A4836">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09177416">
    <w:abstractNumId w:val="2"/>
  </w:num>
  <w:num w:numId="2" w16cid:durableId="435176172">
    <w:abstractNumId w:val="1"/>
  </w:num>
  <w:num w:numId="3" w16cid:durableId="1670980468">
    <w:abstractNumId w:val="3"/>
  </w:num>
  <w:num w:numId="4" w16cid:durableId="1826317362">
    <w:abstractNumId w:val="4"/>
  </w:num>
  <w:num w:numId="5" w16cid:durableId="1552231958">
    <w:abstractNumId w:val="7"/>
  </w:num>
  <w:num w:numId="6" w16cid:durableId="946426585">
    <w:abstractNumId w:val="6"/>
  </w:num>
  <w:num w:numId="7" w16cid:durableId="472335193">
    <w:abstractNumId w:val="0"/>
  </w:num>
  <w:num w:numId="8" w16cid:durableId="1563867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8CF"/>
    <w:rsid w:val="00065C93"/>
    <w:rsid w:val="000936A5"/>
    <w:rsid w:val="00093A67"/>
    <w:rsid w:val="000C6B4F"/>
    <w:rsid w:val="000D6DD2"/>
    <w:rsid w:val="000F6830"/>
    <w:rsid w:val="00141B92"/>
    <w:rsid w:val="001563A8"/>
    <w:rsid w:val="00175A07"/>
    <w:rsid w:val="001B2CEC"/>
    <w:rsid w:val="001D65FA"/>
    <w:rsid w:val="001F4428"/>
    <w:rsid w:val="00236BFB"/>
    <w:rsid w:val="0024021D"/>
    <w:rsid w:val="002A28CF"/>
    <w:rsid w:val="002B2A83"/>
    <w:rsid w:val="002E3A15"/>
    <w:rsid w:val="002F3761"/>
    <w:rsid w:val="00302D75"/>
    <w:rsid w:val="00350AA9"/>
    <w:rsid w:val="00352525"/>
    <w:rsid w:val="00396DD3"/>
    <w:rsid w:val="003B23C1"/>
    <w:rsid w:val="00444F51"/>
    <w:rsid w:val="005028E5"/>
    <w:rsid w:val="005259D4"/>
    <w:rsid w:val="00535AD6"/>
    <w:rsid w:val="00554B06"/>
    <w:rsid w:val="00581CD0"/>
    <w:rsid w:val="005D4D02"/>
    <w:rsid w:val="005E4B2D"/>
    <w:rsid w:val="0062362F"/>
    <w:rsid w:val="00625F2B"/>
    <w:rsid w:val="0062726F"/>
    <w:rsid w:val="00666B9A"/>
    <w:rsid w:val="006713D6"/>
    <w:rsid w:val="00693190"/>
    <w:rsid w:val="006E46EC"/>
    <w:rsid w:val="00736F89"/>
    <w:rsid w:val="007B450B"/>
    <w:rsid w:val="007D1DBE"/>
    <w:rsid w:val="007D3951"/>
    <w:rsid w:val="007D6DDC"/>
    <w:rsid w:val="007D7C0A"/>
    <w:rsid w:val="007F3E7D"/>
    <w:rsid w:val="00842E78"/>
    <w:rsid w:val="008817B9"/>
    <w:rsid w:val="0089336A"/>
    <w:rsid w:val="00913F37"/>
    <w:rsid w:val="009221B6"/>
    <w:rsid w:val="0093692B"/>
    <w:rsid w:val="00984384"/>
    <w:rsid w:val="00997546"/>
    <w:rsid w:val="009B165E"/>
    <w:rsid w:val="009D2F27"/>
    <w:rsid w:val="009D619F"/>
    <w:rsid w:val="009F3ECB"/>
    <w:rsid w:val="009F6AA3"/>
    <w:rsid w:val="009F777D"/>
    <w:rsid w:val="00A07FAF"/>
    <w:rsid w:val="00A44EA5"/>
    <w:rsid w:val="00A47DBD"/>
    <w:rsid w:val="00A6257D"/>
    <w:rsid w:val="00A9667C"/>
    <w:rsid w:val="00AB1FCB"/>
    <w:rsid w:val="00AD76DE"/>
    <w:rsid w:val="00AE3EFC"/>
    <w:rsid w:val="00AF4E6E"/>
    <w:rsid w:val="00B0047D"/>
    <w:rsid w:val="00B31965"/>
    <w:rsid w:val="00B55335"/>
    <w:rsid w:val="00B91C04"/>
    <w:rsid w:val="00BD4EEB"/>
    <w:rsid w:val="00BF1E3A"/>
    <w:rsid w:val="00C16FB2"/>
    <w:rsid w:val="00C25881"/>
    <w:rsid w:val="00C74B98"/>
    <w:rsid w:val="00C94DF4"/>
    <w:rsid w:val="00C97A32"/>
    <w:rsid w:val="00CA40D5"/>
    <w:rsid w:val="00CB226B"/>
    <w:rsid w:val="00D03F05"/>
    <w:rsid w:val="00D14000"/>
    <w:rsid w:val="00D7217B"/>
    <w:rsid w:val="00D82AE4"/>
    <w:rsid w:val="00D87D4C"/>
    <w:rsid w:val="00DA109A"/>
    <w:rsid w:val="00DE3D07"/>
    <w:rsid w:val="00E648D4"/>
    <w:rsid w:val="00EC6B48"/>
    <w:rsid w:val="00EE0310"/>
    <w:rsid w:val="00F40897"/>
    <w:rsid w:val="00F471E3"/>
    <w:rsid w:val="00F568E9"/>
    <w:rsid w:val="00FA6846"/>
    <w:rsid w:val="00FC46BE"/>
    <w:rsid w:val="00FE195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C4157"/>
  <w15:chartTrackingRefBased/>
  <w15:docId w15:val="{F32F8114-2216-4322-8920-0F81E5AB5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28CF"/>
    <w:rPr>
      <w:kern w:val="2"/>
      <w:lang w:val="en-GB"/>
    </w:rPr>
  </w:style>
  <w:style w:type="paragraph" w:styleId="Heading1">
    <w:name w:val="heading 1"/>
    <w:basedOn w:val="Normal"/>
    <w:next w:val="Normal"/>
    <w:link w:val="Heading1Char"/>
    <w:uiPriority w:val="9"/>
    <w:qFormat/>
    <w:rsid w:val="002A28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28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28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28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28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28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28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28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28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28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28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28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28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28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28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28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28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28CF"/>
    <w:rPr>
      <w:rFonts w:eastAsiaTheme="majorEastAsia" w:cstheme="majorBidi"/>
      <w:color w:val="272727" w:themeColor="text1" w:themeTint="D8"/>
    </w:rPr>
  </w:style>
  <w:style w:type="paragraph" w:styleId="Title">
    <w:name w:val="Title"/>
    <w:basedOn w:val="Normal"/>
    <w:next w:val="Normal"/>
    <w:link w:val="TitleChar"/>
    <w:uiPriority w:val="10"/>
    <w:qFormat/>
    <w:rsid w:val="002A28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28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28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28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28CF"/>
    <w:pPr>
      <w:spacing w:before="160"/>
      <w:jc w:val="center"/>
    </w:pPr>
    <w:rPr>
      <w:i/>
      <w:iCs/>
      <w:color w:val="404040" w:themeColor="text1" w:themeTint="BF"/>
    </w:rPr>
  </w:style>
  <w:style w:type="character" w:customStyle="1" w:styleId="QuoteChar">
    <w:name w:val="Quote Char"/>
    <w:basedOn w:val="DefaultParagraphFont"/>
    <w:link w:val="Quote"/>
    <w:uiPriority w:val="29"/>
    <w:rsid w:val="002A28CF"/>
    <w:rPr>
      <w:i/>
      <w:iCs/>
      <w:color w:val="404040" w:themeColor="text1" w:themeTint="BF"/>
    </w:rPr>
  </w:style>
  <w:style w:type="paragraph" w:styleId="ListParagraph">
    <w:name w:val="List Paragraph"/>
    <w:basedOn w:val="Normal"/>
    <w:uiPriority w:val="34"/>
    <w:qFormat/>
    <w:rsid w:val="002A28CF"/>
    <w:pPr>
      <w:ind w:left="720"/>
      <w:contextualSpacing/>
    </w:pPr>
  </w:style>
  <w:style w:type="character" w:styleId="IntenseEmphasis">
    <w:name w:val="Intense Emphasis"/>
    <w:basedOn w:val="DefaultParagraphFont"/>
    <w:uiPriority w:val="21"/>
    <w:qFormat/>
    <w:rsid w:val="002A28CF"/>
    <w:rPr>
      <w:i/>
      <w:iCs/>
      <w:color w:val="0F4761" w:themeColor="accent1" w:themeShade="BF"/>
    </w:rPr>
  </w:style>
  <w:style w:type="paragraph" w:styleId="IntenseQuote">
    <w:name w:val="Intense Quote"/>
    <w:basedOn w:val="Normal"/>
    <w:next w:val="Normal"/>
    <w:link w:val="IntenseQuoteChar"/>
    <w:uiPriority w:val="30"/>
    <w:qFormat/>
    <w:rsid w:val="002A28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28CF"/>
    <w:rPr>
      <w:i/>
      <w:iCs/>
      <w:color w:val="0F4761" w:themeColor="accent1" w:themeShade="BF"/>
    </w:rPr>
  </w:style>
  <w:style w:type="character" w:styleId="IntenseReference">
    <w:name w:val="Intense Reference"/>
    <w:basedOn w:val="DefaultParagraphFont"/>
    <w:uiPriority w:val="32"/>
    <w:qFormat/>
    <w:rsid w:val="002A28CF"/>
    <w:rPr>
      <w:b/>
      <w:bCs/>
      <w:smallCaps/>
      <w:color w:val="0F4761" w:themeColor="accent1" w:themeShade="BF"/>
      <w:spacing w:val="5"/>
    </w:rPr>
  </w:style>
  <w:style w:type="character" w:styleId="Hyperlink">
    <w:name w:val="Hyperlink"/>
    <w:basedOn w:val="DefaultParagraphFont"/>
    <w:uiPriority w:val="99"/>
    <w:unhideWhenUsed/>
    <w:rsid w:val="002A28CF"/>
    <w:rPr>
      <w:color w:val="467886" w:themeColor="hyperlink"/>
      <w:u w:val="single"/>
    </w:rPr>
  </w:style>
  <w:style w:type="character" w:styleId="FollowedHyperlink">
    <w:name w:val="FollowedHyperlink"/>
    <w:basedOn w:val="DefaultParagraphFont"/>
    <w:uiPriority w:val="99"/>
    <w:semiHidden/>
    <w:unhideWhenUsed/>
    <w:rsid w:val="002A28CF"/>
    <w:rPr>
      <w:color w:val="96607D" w:themeColor="followedHyperlink"/>
      <w:u w:val="single"/>
    </w:rPr>
  </w:style>
  <w:style w:type="table" w:styleId="TableGrid">
    <w:name w:val="Table Grid"/>
    <w:basedOn w:val="TableNormal"/>
    <w:uiPriority w:val="39"/>
    <w:rsid w:val="005259D4"/>
    <w:pPr>
      <w:spacing w:after="0" w:line="240" w:lineRule="auto"/>
    </w:pPr>
    <w:rPr>
      <w:rFonts w:eastAsiaTheme="minorEastAsia"/>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3E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3EFC"/>
    <w:rPr>
      <w:kern w:val="2"/>
      <w:lang w:val="en-GB"/>
    </w:rPr>
  </w:style>
  <w:style w:type="paragraph" w:styleId="Footer">
    <w:name w:val="footer"/>
    <w:basedOn w:val="Normal"/>
    <w:link w:val="FooterChar"/>
    <w:uiPriority w:val="99"/>
    <w:unhideWhenUsed/>
    <w:rsid w:val="00AE3E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3EFC"/>
    <w:rPr>
      <w:kern w:val="2"/>
      <w:lang w:val="en-GB"/>
    </w:rPr>
  </w:style>
  <w:style w:type="paragraph" w:styleId="NoSpacing">
    <w:name w:val="No Spacing"/>
    <w:uiPriority w:val="1"/>
    <w:qFormat/>
    <w:rsid w:val="00581CD0"/>
    <w:pPr>
      <w:spacing w:after="0" w:line="240" w:lineRule="auto"/>
    </w:pPr>
  </w:style>
  <w:style w:type="character" w:styleId="CommentReference">
    <w:name w:val="annotation reference"/>
    <w:basedOn w:val="DefaultParagraphFont"/>
    <w:uiPriority w:val="99"/>
    <w:semiHidden/>
    <w:unhideWhenUsed/>
    <w:rsid w:val="00302D75"/>
    <w:rPr>
      <w:sz w:val="16"/>
      <w:szCs w:val="16"/>
    </w:rPr>
  </w:style>
  <w:style w:type="paragraph" w:styleId="CommentText">
    <w:name w:val="annotation text"/>
    <w:basedOn w:val="Normal"/>
    <w:link w:val="CommentTextChar"/>
    <w:uiPriority w:val="99"/>
    <w:unhideWhenUsed/>
    <w:rsid w:val="00302D75"/>
    <w:pPr>
      <w:spacing w:line="240" w:lineRule="auto"/>
    </w:pPr>
    <w:rPr>
      <w:kern w:val="0"/>
      <w:sz w:val="20"/>
      <w:szCs w:val="20"/>
      <w:lang w:val="en-US"/>
    </w:rPr>
  </w:style>
  <w:style w:type="character" w:customStyle="1" w:styleId="CommentTextChar">
    <w:name w:val="Comment Text Char"/>
    <w:basedOn w:val="DefaultParagraphFont"/>
    <w:link w:val="CommentText"/>
    <w:uiPriority w:val="99"/>
    <w:rsid w:val="00302D7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na.dixon@belfasttrust.hscni.ne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hris.watson@qub.ac.u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26999</Words>
  <Characters>153895</Characters>
  <Application>Microsoft Office Word</Application>
  <DocSecurity>0</DocSecurity>
  <Lines>1282</Lines>
  <Paragraphs>361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Savage</dc:creator>
  <cp:keywords/>
  <dc:description/>
  <cp:lastModifiedBy>Patrick Savage</cp:lastModifiedBy>
  <cp:revision>3</cp:revision>
  <cp:lastPrinted>2025-07-02T12:00:00Z</cp:lastPrinted>
  <dcterms:created xsi:type="dcterms:W3CDTF">2025-08-05T12:00:00Z</dcterms:created>
  <dcterms:modified xsi:type="dcterms:W3CDTF">2025-08-05T12:01:00Z</dcterms:modified>
</cp:coreProperties>
</file>