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rPr>
          <w:rFonts w:hint="default" w:ascii="Arial Bold" w:hAnsi="Arial Bold" w:cs="Arial Bold"/>
          <w:b/>
          <w:bCs/>
          <w:lang w:val="en-US" w:eastAsia="zh-CN"/>
        </w:rPr>
      </w:pPr>
      <w:r>
        <w:rPr>
          <w:rFonts w:hint="default" w:ascii="Arial Bold" w:hAnsi="Arial Bold" w:cs="Arial Bold"/>
          <w:b/>
          <w:bCs/>
          <w:lang w:val="en-US" w:eastAsia="zh-CN"/>
        </w:rPr>
        <w:t>Supplementary Figures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5922010"/>
            <wp:effectExtent l="0" t="0" r="10795" b="21590"/>
            <wp:docPr id="1" name="图片 1" descr="Sup Fi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 Fig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92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Arial Regular" w:hAnsi="Arial Regular" w:cs="Arial Regular"/>
          <w:b w:val="0"/>
          <w:bCs w:val="0"/>
          <w:szCs w:val="21"/>
          <w:lang w:val="en-US"/>
        </w:rPr>
      </w:pPr>
      <w:r>
        <w:rPr>
          <w:rFonts w:hint="eastAsia" w:ascii="Arial Regular" w:hAnsi="Arial Regular" w:cs="Arial Regular"/>
          <w:b w:val="0"/>
          <w:bCs w:val="0"/>
          <w:szCs w:val="21"/>
          <w:lang w:val="en-US" w:eastAsia="zh-CN"/>
        </w:rPr>
        <w:t xml:space="preserve">Supplementary Figure 1 </w:t>
      </w:r>
      <w:r>
        <w:rPr>
          <w:rFonts w:hint="default" w:ascii="Arial Regular" w:hAnsi="Arial Regular" w:cs="Arial Regular"/>
          <w:b w:val="0"/>
          <w:bCs w:val="0"/>
          <w:szCs w:val="21"/>
        </w:rPr>
        <w:t xml:space="preserve">DNN </w:t>
      </w:r>
      <w:r>
        <w:rPr>
          <w:rFonts w:hint="default" w:ascii="Arial Regular" w:hAnsi="Arial Regular" w:cs="Arial Regular"/>
          <w:b w:val="0"/>
          <w:bCs w:val="0"/>
          <w:szCs w:val="21"/>
          <w:lang w:val="en-US"/>
        </w:rPr>
        <w:t>o</w:t>
      </w:r>
      <w:r>
        <w:rPr>
          <w:rFonts w:hint="default" w:ascii="Arial Regular" w:hAnsi="Arial Regular" w:cs="Arial Regular"/>
          <w:b w:val="0"/>
          <w:bCs w:val="0"/>
          <w:szCs w:val="21"/>
        </w:rPr>
        <w:t xml:space="preserve">utperforms </w:t>
      </w:r>
      <w:r>
        <w:rPr>
          <w:rFonts w:hint="default" w:ascii="Arial Regular" w:hAnsi="Arial Regular" w:cs="Arial Regular"/>
          <w:b w:val="0"/>
          <w:bCs w:val="0"/>
          <w:szCs w:val="21"/>
          <w:lang w:val="en-US"/>
        </w:rPr>
        <w:t>c</w:t>
      </w:r>
      <w:r>
        <w:rPr>
          <w:rFonts w:hint="default" w:ascii="Arial Regular" w:hAnsi="Arial Regular" w:cs="Arial Regular"/>
          <w:b w:val="0"/>
          <w:bCs w:val="0"/>
          <w:szCs w:val="21"/>
        </w:rPr>
        <w:t>omparators in</w:t>
      </w:r>
      <w:r>
        <w:rPr>
          <w:rFonts w:hint="eastAsia" w:ascii="Arial Regular" w:hAnsi="Arial Regular" w:cs="Arial Regular"/>
          <w:b w:val="0"/>
          <w:bCs w:val="0"/>
          <w:szCs w:val="21"/>
          <w:lang w:val="en-US" w:eastAsia="zh-CN"/>
        </w:rPr>
        <w:t xml:space="preserve"> NIHSS</w:t>
      </w:r>
      <w:r>
        <w:rPr>
          <w:rFonts w:hint="default" w:ascii="Arial Regular" w:hAnsi="Arial Regular" w:cs="Arial Regular"/>
          <w:b w:val="0"/>
          <w:bCs w:val="0"/>
          <w:szCs w:val="21"/>
        </w:rPr>
        <w:t xml:space="preserve"> Prognosis Prediction</w:t>
      </w:r>
      <w:r>
        <w:rPr>
          <w:rFonts w:hint="default" w:ascii="Arial Regular" w:hAnsi="Arial Regular" w:cs="Arial Regular"/>
          <w:b w:val="0"/>
          <w:bCs w:val="0"/>
          <w:szCs w:val="21"/>
          <w:lang w:val="en-US"/>
        </w:rPr>
        <w:t xml:space="preserve">. (A) ROC curves of DNN, </w:t>
      </w:r>
      <w:r>
        <w:rPr>
          <w:rFonts w:hint="eastAsia" w:ascii="Arial Regular" w:hAnsi="Arial Regular" w:cs="Arial Regular"/>
          <w:b w:val="0"/>
          <w:bCs w:val="0"/>
          <w:szCs w:val="21"/>
          <w:lang w:val="en-US" w:eastAsia="zh-CN"/>
        </w:rPr>
        <w:t>RF</w:t>
      </w:r>
      <w:r>
        <w:rPr>
          <w:rFonts w:hint="default" w:ascii="Arial Regular" w:hAnsi="Arial Regular" w:cs="Arial Regular"/>
          <w:b w:val="0"/>
          <w:bCs w:val="0"/>
          <w:szCs w:val="21"/>
          <w:lang w:val="en-US" w:eastAsia="zh-CN"/>
        </w:rPr>
        <w:t xml:space="preserve">, </w:t>
      </w:r>
      <w:r>
        <w:rPr>
          <w:rFonts w:hint="default" w:ascii="Arial Regular" w:hAnsi="Arial Regular" w:cs="Arial Regular"/>
          <w:b w:val="0"/>
          <w:bCs w:val="0"/>
          <w:szCs w:val="21"/>
          <w:lang w:val="en-US"/>
        </w:rPr>
        <w:t xml:space="preserve">LR, KNN, XGBoost, Bagging. (B) The evaluation metrics of the multiple models. </w:t>
      </w:r>
    </w:p>
    <w:p>
      <w:pPr>
        <w:rPr>
          <w:rFonts w:hint="eastAsia" w:ascii="Arial Regular" w:hAnsi="Arial Regular" w:cs="Arial Regular" w:eastAsiaTheme="minorEastAsia"/>
          <w:b w:val="0"/>
          <w:bCs w:val="0"/>
          <w:szCs w:val="21"/>
          <w:lang w:val="en-US" w:eastAsia="zh-CN"/>
        </w:rPr>
      </w:pPr>
      <w:r>
        <w:rPr>
          <w:rFonts w:hint="eastAsia" w:ascii="Arial Regular" w:hAnsi="Arial Regular" w:cs="Arial Regular" w:eastAsiaTheme="minorEastAsia"/>
          <w:b w:val="0"/>
          <w:bCs w:val="0"/>
          <w:szCs w:val="21"/>
          <w:lang w:val="en-US" w:eastAsia="zh-CN"/>
        </w:rPr>
        <w:drawing>
          <wp:inline distT="0" distB="0" distL="114300" distR="114300">
            <wp:extent cx="5273675" cy="3983355"/>
            <wp:effectExtent l="0" t="0" r="9525" b="4445"/>
            <wp:docPr id="2" name="图片 2" descr="Sup Fi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up Fig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Arial Regular" w:hAnsi="Arial Regular" w:cs="Arial Regular"/>
          <w:b w:val="0"/>
          <w:bCs w:val="0"/>
          <w:szCs w:val="21"/>
          <w:lang w:val="en-US"/>
        </w:rPr>
      </w:pPr>
      <w:r>
        <w:rPr>
          <w:rFonts w:hint="eastAsia" w:ascii="Arial Regular" w:hAnsi="Arial Regular" w:cs="Arial Regular"/>
          <w:b w:val="0"/>
          <w:bCs w:val="0"/>
          <w:szCs w:val="21"/>
          <w:lang w:val="en-US" w:eastAsia="zh-CN"/>
        </w:rPr>
        <w:t xml:space="preserve">Supplementary Figure 2 </w:t>
      </w:r>
      <w:r>
        <w:rPr>
          <w:rFonts w:hint="default" w:ascii="Arial Regular" w:hAnsi="Arial Regular" w:cs="Arial Regular"/>
          <w:b w:val="0"/>
          <w:bCs w:val="0"/>
          <w:szCs w:val="21"/>
          <w:lang w:val="en-US"/>
        </w:rPr>
        <w:t xml:space="preserve">SHAP Interpretation based on NIHSS model. (A) Feature Importance rank of bar plot. (B) Feature importance rank of beeswarm. (C-D) Force plots of the individual samples.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Arial Regular" w:hAnsi="Arial Regular" w:cs="Arial Regular"/>
          <w:b w:val="0"/>
          <w:bCs w:val="0"/>
          <w:szCs w:val="21"/>
          <w:lang w:val="en-US"/>
        </w:rPr>
      </w:pPr>
      <w:r>
        <w:rPr>
          <w:rFonts w:hint="default" w:ascii="Arial Regular" w:hAnsi="Arial Regular" w:cs="Arial Regular"/>
          <w:b w:val="0"/>
          <w:bCs w:val="0"/>
          <w:szCs w:val="21"/>
          <w:lang w:val="en-US"/>
        </w:rPr>
        <w:drawing>
          <wp:inline distT="0" distB="0" distL="114300" distR="114300">
            <wp:extent cx="5266690" cy="2969895"/>
            <wp:effectExtent l="0" t="0" r="16510" b="1905"/>
            <wp:docPr id="3" name="图片 3" descr="Sup Fi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up Fig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Arial Regular" w:hAnsi="Arial Regular" w:cs="Arial Regular"/>
          <w:b w:val="0"/>
          <w:bCs w:val="0"/>
          <w:szCs w:val="21"/>
          <w:lang w:val="en-US"/>
        </w:rPr>
      </w:pPr>
      <w:r>
        <w:rPr>
          <w:rFonts w:hint="eastAsia" w:ascii="Arial Regular" w:hAnsi="Arial Regular" w:cs="Arial Regular"/>
          <w:b w:val="0"/>
          <w:bCs w:val="0"/>
          <w:szCs w:val="21"/>
          <w:lang w:val="en-US" w:eastAsia="zh-CN"/>
        </w:rPr>
        <w:t xml:space="preserve">Supplementary Figure </w:t>
      </w:r>
      <w:r>
        <w:rPr>
          <w:rFonts w:hint="default" w:ascii="Arial Regular" w:hAnsi="Arial Regular" w:cs="Arial Regular"/>
          <w:b w:val="0"/>
          <w:bCs w:val="0"/>
          <w:szCs w:val="21"/>
          <w:lang w:val="en-US" w:eastAsia="zh-CN"/>
        </w:rPr>
        <w:t xml:space="preserve">3 </w:t>
      </w:r>
      <w:r>
        <w:rPr>
          <w:rFonts w:hint="default" w:ascii="Arial Regular" w:hAnsi="Arial Regular" w:cs="Arial Regular"/>
          <w:b w:val="0"/>
          <w:bCs w:val="0"/>
          <w:szCs w:val="21"/>
          <w:lang w:val="en-US"/>
        </w:rPr>
        <w:t xml:space="preserve">SHAP Feature Dependence Plots based on NIHSS model. (A) Age (B) Gender (C) PLT (D) UA (E) HCY (F) NIHSS_admission.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Arial Regular" w:hAnsi="Arial Regular" w:cs="Arial Regular"/>
          <w:b w:val="0"/>
          <w:bCs w:val="0"/>
          <w:szCs w:val="21"/>
          <w:lang w:val="en-US"/>
        </w:rPr>
      </w:pPr>
      <w:r>
        <w:rPr>
          <w:rFonts w:hint="default" w:ascii="Arial Regular" w:hAnsi="Arial Regular" w:cs="Arial Regular"/>
          <w:b w:val="0"/>
          <w:bCs w:val="0"/>
          <w:szCs w:val="21"/>
          <w:lang w:val="en-US"/>
        </w:rPr>
        <w:drawing>
          <wp:inline distT="0" distB="0" distL="114300" distR="114300">
            <wp:extent cx="5271770" cy="5594350"/>
            <wp:effectExtent l="0" t="0" r="11430" b="19050"/>
            <wp:docPr id="4" name="图片 4" descr="Sup Fi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up Fig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59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Arial Regular" w:hAnsi="Arial Regular" w:cs="Arial Regular"/>
          <w:b w:val="0"/>
          <w:bCs w:val="0"/>
          <w:szCs w:val="21"/>
          <w:lang w:val="en-US" w:eastAsia="zh-CN"/>
        </w:rPr>
      </w:pPr>
      <w:r>
        <w:rPr>
          <w:rFonts w:hint="eastAsia" w:ascii="Arial Regular" w:hAnsi="Arial Regular" w:cs="Arial Regular"/>
          <w:b w:val="0"/>
          <w:bCs w:val="0"/>
          <w:szCs w:val="21"/>
          <w:lang w:val="en-US" w:eastAsia="zh-CN"/>
        </w:rPr>
        <w:t xml:space="preserve">Supplementary Figure </w:t>
      </w:r>
      <w:r>
        <w:rPr>
          <w:rFonts w:hint="default" w:ascii="Arial Regular" w:hAnsi="Arial Regular" w:cs="Arial Regular"/>
          <w:b w:val="0"/>
          <w:bCs w:val="0"/>
          <w:szCs w:val="21"/>
          <w:lang w:val="en-US" w:eastAsia="zh-CN"/>
        </w:rPr>
        <w:t>4 Clinically Stratification analysis based on OCSP for NIHSS model. (A) ROC curves for four OCSP groups. (B-E) Feature Importance analysis in OCSP subgroups.</w:t>
      </w:r>
    </w:p>
    <w:p>
      <w:pPr>
        <w:rPr>
          <w:rFonts w:hint="default" w:ascii="Arial Regular" w:hAnsi="Arial Regular" w:cs="Arial Regular"/>
          <w:b w:val="0"/>
          <w:bCs w:val="0"/>
          <w:szCs w:val="21"/>
          <w:lang w:val="en-US" w:eastAsia="zh-CN"/>
        </w:rPr>
      </w:pPr>
      <w:r>
        <w:rPr>
          <w:rFonts w:hint="default" w:ascii="Arial Regular" w:hAnsi="Arial Regular" w:cs="Arial Regular"/>
          <w:b w:val="0"/>
          <w:bCs w:val="0"/>
          <w:szCs w:val="21"/>
          <w:lang w:val="en-US" w:eastAsia="zh-CN"/>
        </w:rPr>
        <w:drawing>
          <wp:inline distT="0" distB="0" distL="114300" distR="114300">
            <wp:extent cx="5273675" cy="4171950"/>
            <wp:effectExtent l="0" t="0" r="9525" b="19050"/>
            <wp:docPr id="5" name="图片 5" descr="Sup Fi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up Fig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Arial Regular" w:hAnsi="Arial Regular" w:cs="Arial Regular"/>
          <w:b w:val="0"/>
          <w:bCs w:val="0"/>
          <w:szCs w:val="21"/>
          <w:lang w:val="en-US"/>
        </w:rPr>
      </w:pPr>
      <w:r>
        <w:rPr>
          <w:rFonts w:hint="eastAsia" w:ascii="Arial Regular" w:hAnsi="Arial Regular" w:cs="Arial Regular"/>
          <w:b w:val="0"/>
          <w:bCs w:val="0"/>
          <w:szCs w:val="21"/>
          <w:lang w:val="en-US" w:eastAsia="zh-CN"/>
        </w:rPr>
        <w:t xml:space="preserve">Supplementary Figure 5 </w:t>
      </w:r>
      <w:r>
        <w:rPr>
          <w:rFonts w:hint="default" w:ascii="Arial Regular" w:hAnsi="Arial Regular" w:cs="Arial Regular"/>
          <w:b w:val="0"/>
          <w:bCs w:val="0"/>
          <w:szCs w:val="21"/>
          <w:lang w:val="en-US"/>
        </w:rPr>
        <w:t>KAN interpretation</w:t>
      </w:r>
      <w:r>
        <w:rPr>
          <w:rFonts w:hint="eastAsia" w:ascii="Arial Regular" w:hAnsi="Arial Regular" w:cs="Arial Regular"/>
          <w:b w:val="0"/>
          <w:bCs w:val="0"/>
          <w:szCs w:val="21"/>
          <w:lang w:val="en-US" w:eastAsia="zh-CN"/>
        </w:rPr>
        <w:t xml:space="preserve"> for NIHSS model</w:t>
      </w:r>
      <w:r>
        <w:rPr>
          <w:rFonts w:hint="default" w:ascii="Arial Regular" w:hAnsi="Arial Regular" w:cs="Arial Regular"/>
          <w:b w:val="0"/>
          <w:bCs w:val="0"/>
          <w:szCs w:val="21"/>
          <w:lang w:val="en-US"/>
        </w:rPr>
        <w:t xml:space="preserve">. (A) ROC curve (B) Feature importance rank (C) The fitting curve of UA to prediction outcome. (D) KAN network analysis. </w:t>
      </w:r>
    </w:p>
    <w:p>
      <w:pPr>
        <w:rPr>
          <w:rFonts w:hint="eastAsia" w:ascii="Arial Regular" w:hAnsi="Arial Regular" w:cs="Arial Regular" w:eastAsiaTheme="minorEastAsia"/>
          <w:b w:val="0"/>
          <w:bCs w:val="0"/>
          <w:szCs w:val="21"/>
          <w:lang w:val="en-US" w:eastAsia="zh-CN"/>
        </w:rPr>
      </w:pPr>
      <w:r>
        <w:rPr>
          <w:rFonts w:hint="eastAsia" w:ascii="Arial Regular" w:hAnsi="Arial Regular" w:cs="Arial Regular" w:eastAsiaTheme="minorEastAsia"/>
          <w:b w:val="0"/>
          <w:bCs w:val="0"/>
          <w:szCs w:val="21"/>
          <w:lang w:val="en-US" w:eastAsia="zh-CN"/>
        </w:rPr>
        <w:drawing>
          <wp:inline distT="0" distB="0" distL="114300" distR="114300">
            <wp:extent cx="5267960" cy="1363345"/>
            <wp:effectExtent l="0" t="0" r="15240" b="8255"/>
            <wp:docPr id="6" name="图片 6" descr="Sup Fi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up Fig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Arial Regular" w:hAnsi="Arial Regular" w:cs="Arial Regular"/>
          <w:b w:val="0"/>
          <w:bCs w:val="0"/>
          <w:szCs w:val="21"/>
          <w:lang w:val="en-US" w:eastAsia="zh-CN"/>
        </w:rPr>
      </w:pPr>
      <w:r>
        <w:rPr>
          <w:rFonts w:hint="eastAsia" w:ascii="Arial Regular" w:hAnsi="Arial Regular" w:cs="Arial Regular"/>
          <w:b w:val="0"/>
          <w:bCs w:val="0"/>
          <w:szCs w:val="21"/>
          <w:lang w:val="en-US" w:eastAsia="zh-CN"/>
        </w:rPr>
        <w:t>Supplementary Figure 6 The formulas generated by KAN</w:t>
      </w:r>
      <w:r>
        <w:rPr>
          <w:rFonts w:hint="default" w:ascii="Arial Regular" w:hAnsi="Arial Regular" w:cs="Arial Regular"/>
          <w:b w:val="0"/>
          <w:bCs w:val="0"/>
          <w:szCs w:val="21"/>
          <w:lang w:val="en-US" w:eastAsia="zh-CN"/>
        </w:rPr>
        <w:t xml:space="preserve">. (A) mRS model (B) NIHSS model. </w:t>
      </w:r>
    </w:p>
    <w:p>
      <w:pPr>
        <w:rPr>
          <w:rFonts w:hint="default" w:ascii="Arial Regular" w:hAnsi="Arial Regular" w:cs="Arial Regular"/>
          <w:b w:val="0"/>
          <w:bCs w:val="0"/>
          <w:szCs w:val="21"/>
          <w:lang w:val="en-US" w:eastAsia="zh-CN"/>
        </w:rPr>
      </w:pPr>
      <w:r>
        <w:rPr>
          <w:rFonts w:hint="default" w:ascii="Arial Regular" w:hAnsi="Arial Regular" w:cs="Arial Regular"/>
          <w:b w:val="0"/>
          <w:bCs w:val="0"/>
          <w:szCs w:val="21"/>
          <w:lang w:val="en-US" w:eastAsia="zh-CN"/>
        </w:rPr>
        <w:drawing>
          <wp:inline distT="0" distB="0" distL="114300" distR="114300">
            <wp:extent cx="5271770" cy="2583180"/>
            <wp:effectExtent l="0" t="0" r="11430" b="7620"/>
            <wp:docPr id="7" name="图片 7" descr="Sup Fi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up Fig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Arial Regular" w:hAnsi="Arial Regular" w:cs="Arial Regular"/>
          <w:b w:val="0"/>
          <w:bCs w:val="0"/>
          <w:szCs w:val="21"/>
          <w:lang w:val="en-US" w:eastAsia="zh-CN"/>
        </w:rPr>
      </w:pPr>
      <w:r>
        <w:rPr>
          <w:rFonts w:hint="eastAsia" w:ascii="Arial Regular" w:hAnsi="Arial Regular" w:cs="Arial Regular"/>
          <w:b w:val="0"/>
          <w:bCs w:val="0"/>
          <w:szCs w:val="21"/>
          <w:lang w:val="en-US" w:eastAsia="zh-CN"/>
        </w:rPr>
        <w:t xml:space="preserve">Supplementary Figure 7 </w:t>
      </w:r>
      <w:r>
        <w:rPr>
          <w:rFonts w:hint="default" w:ascii="Arial Regular" w:hAnsi="Arial Regular" w:cs="Arial Regular"/>
          <w:b w:val="0"/>
          <w:bCs w:val="0"/>
          <w:szCs w:val="21"/>
          <w:lang w:val="en-US" w:eastAsia="zh-CN"/>
        </w:rPr>
        <w:t>O</w:t>
      </w:r>
      <w:r>
        <w:rPr>
          <w:rFonts w:hint="eastAsia" w:ascii="Arial Regular" w:hAnsi="Arial Regular" w:cs="Arial Regular"/>
          <w:b w:val="0"/>
          <w:bCs w:val="0"/>
          <w:szCs w:val="21"/>
          <w:lang w:val="en-US" w:eastAsia="zh-CN"/>
        </w:rPr>
        <w:t>nline predictive model based on NIHSS model</w:t>
      </w:r>
      <w:r>
        <w:rPr>
          <w:rFonts w:hint="default" w:ascii="Arial Regular" w:hAnsi="Arial Regular" w:cs="Arial Regular"/>
          <w:b w:val="0"/>
          <w:bCs w:val="0"/>
          <w:szCs w:val="21"/>
          <w:lang w:val="en-US" w:eastAsia="zh-CN"/>
        </w:rPr>
        <w:t xml:space="preserve">. </w:t>
      </w:r>
    </w:p>
    <w:p>
      <w:pPr>
        <w:rPr>
          <w:rFonts w:hint="default" w:ascii="Arial Regular" w:hAnsi="Arial Regular" w:cs="Arial Regular"/>
          <w:b w:val="0"/>
          <w:bCs w:val="0"/>
          <w:szCs w:val="21"/>
          <w:lang w:val="en-US" w:eastAsia="zh-CN"/>
        </w:rPr>
      </w:pPr>
    </w:p>
    <w:p>
      <w:pPr>
        <w:rPr>
          <w:rFonts w:hint="default" w:ascii="Arial Regular" w:hAnsi="Arial Regular" w:cs="Arial Regular"/>
          <w:b w:val="0"/>
          <w:bCs w:val="0"/>
          <w:szCs w:val="21"/>
          <w:lang w:val="en-US" w:eastAsia="zh-CN"/>
        </w:rPr>
      </w:pPr>
      <w:r>
        <w:rPr>
          <w:rFonts w:hint="default" w:ascii="Arial Regular" w:hAnsi="Arial Regular" w:cs="Arial Regular"/>
          <w:b w:val="0"/>
          <w:bCs w:val="0"/>
          <w:szCs w:val="21"/>
          <w:lang w:val="en-US" w:eastAsia="zh-CN"/>
        </w:rPr>
        <w:t xml:space="preserve">Supplementary Table </w:t>
      </w:r>
      <w:bookmarkStart w:id="0" w:name="_GoBack"/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Arial Regular" w:hAnsi="Arial Regular" w:eastAsia="宋体" w:cs="Arial Regular"/>
          <w:sz w:val="21"/>
          <w:szCs w:val="21"/>
          <w:lang w:val="en-US" w:eastAsia="zh-CN"/>
        </w:rPr>
      </w:pPr>
      <w:r>
        <w:rPr>
          <w:rFonts w:hint="default" w:ascii="Arial Regular" w:hAnsi="Arial Regular" w:eastAsia="宋体" w:cs="Arial Regular"/>
          <w:sz w:val="21"/>
          <w:szCs w:val="21"/>
          <w:lang w:val="en-US" w:eastAsia="zh-CN"/>
        </w:rPr>
        <w:t>Supplementary Table 1 Baseline information of patients based on NIHSS prediction model</w:t>
      </w:r>
    </w:p>
    <w:tbl>
      <w:tblPr>
        <w:tblStyle w:val="2"/>
        <w:tblW w:w="0" w:type="auto"/>
        <w:jc w:val="center"/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40"/>
        <w:gridCol w:w="2561"/>
        <w:gridCol w:w="2198"/>
        <w:gridCol w:w="1011"/>
      </w:tblGrid>
      <w:tr>
        <w:tblPrEx>
          <w:shd w:val="clear" w:color="auto" w:fill="auto"/>
        </w:tblPrEx>
        <w:trPr>
          <w:trHeight w:val="0" w:hRule="atLeast"/>
          <w:tblHeader/>
          <w:jc w:val="center"/>
        </w:trPr>
        <w:tc>
          <w:tcPr>
            <w:tcW w:w="2440" w:type="dxa"/>
            <w:tcBorders>
              <w:top w:val="single" w:color="000000" w:sz="6" w:space="0"/>
              <w:left w:val="nil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759" w:type="dxa"/>
            <w:gridSpan w:val="2"/>
            <w:tcBorders>
              <w:top w:val="single" w:color="000000" w:sz="6" w:space="0"/>
              <w:left w:val="nil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  <w:lang w:val="en-US"/>
              </w:rPr>
              <w:t>NIHSS</w:t>
            </w:r>
          </w:p>
        </w:tc>
        <w:tc>
          <w:tcPr>
            <w:tcW w:w="1011" w:type="dxa"/>
            <w:tcBorders>
              <w:top w:val="single" w:color="000000" w:sz="6" w:space="0"/>
              <w:left w:val="nil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rPr>
          <w:trHeight w:val="0" w:hRule="atLeast"/>
          <w:tblHeader/>
          <w:jc w:val="center"/>
        </w:trPr>
        <w:tc>
          <w:tcPr>
            <w:tcW w:w="2440" w:type="dxa"/>
            <w:tcBorders>
              <w:top w:val="single" w:color="000000" w:sz="6" w:space="0"/>
              <w:left w:val="nil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Characteristics</w:t>
            </w:r>
          </w:p>
        </w:tc>
        <w:tc>
          <w:tcPr>
            <w:tcW w:w="2561" w:type="dxa"/>
            <w:tcBorders>
              <w:top w:val="single" w:color="000000" w:sz="6" w:space="0"/>
              <w:left w:val="nil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0</w:t>
            </w:r>
          </w:p>
        </w:tc>
        <w:tc>
          <w:tcPr>
            <w:tcW w:w="2198" w:type="dxa"/>
            <w:tcBorders>
              <w:top w:val="single" w:color="000000" w:sz="6" w:space="0"/>
              <w:left w:val="nil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1</w:t>
            </w:r>
          </w:p>
        </w:tc>
        <w:tc>
          <w:tcPr>
            <w:tcW w:w="1011" w:type="dxa"/>
            <w:tcBorders>
              <w:top w:val="single" w:color="000000" w:sz="6" w:space="0"/>
              <w:left w:val="nil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P value</w:t>
            </w:r>
          </w:p>
        </w:tc>
      </w:tr>
      <w:tr>
        <w:trPr>
          <w:trHeight w:val="0" w:hRule="atLeast"/>
          <w:jc w:val="center"/>
        </w:trPr>
        <w:tc>
          <w:tcPr>
            <w:tcW w:w="2440" w:type="dxa"/>
            <w:tcBorders>
              <w:top w:val="single" w:color="000000" w:sz="6" w:space="0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n</w:t>
            </w:r>
          </w:p>
        </w:tc>
        <w:tc>
          <w:tcPr>
            <w:tcW w:w="2561" w:type="dxa"/>
            <w:tcBorders>
              <w:top w:val="single" w:color="000000" w:sz="6" w:space="0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196</w:t>
            </w:r>
          </w:p>
        </w:tc>
        <w:tc>
          <w:tcPr>
            <w:tcW w:w="2198" w:type="dxa"/>
            <w:tcBorders>
              <w:top w:val="single" w:color="000000" w:sz="6" w:space="0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5</w:t>
            </w:r>
          </w:p>
        </w:tc>
        <w:tc>
          <w:tcPr>
            <w:tcW w:w="1011" w:type="dxa"/>
            <w:tcBorders>
              <w:top w:val="single" w:color="000000" w:sz="6" w:space="0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</w:p>
        </w:tc>
      </w:tr>
      <w:tr>
        <w:trPr>
          <w:trHeight w:val="0" w:hRule="atLeast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Age, mean ± sd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64.913 ± 11.024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61.2 ± 13.027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0.460</w:t>
            </w:r>
          </w:p>
        </w:tc>
      </w:tr>
      <w:tr>
        <w:trPr>
          <w:trHeight w:val="0" w:hRule="atLeast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Gender, n (%)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0.986</w:t>
            </w:r>
          </w:p>
        </w:tc>
      </w:tr>
      <w:tr>
        <w:trPr>
          <w:trHeight w:val="0" w:hRule="atLeast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/>
                <w:lang w:val="en-US"/>
              </w:rPr>
            </w:pPr>
            <w:r>
              <w:rPr>
                <w:rFonts w:hint="default"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  <w:lang w:val="en-US"/>
              </w:rPr>
              <w:t>Male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136 (67.7%)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4 (2%)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</w:p>
        </w:tc>
      </w:tr>
      <w:tr>
        <w:trPr>
          <w:trHeight w:val="0" w:hRule="atLeast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hint="default"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  <w:lang w:val="en-US"/>
              </w:rPr>
              <w:t>Female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60 (29.9%)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1 (0.5%)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</w:p>
        </w:tc>
      </w:tr>
      <w:tr>
        <w:trPr>
          <w:trHeight w:val="0" w:hRule="atLeast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hint="default" w:ascii="Arial" w:hAnsi="Arial" w:eastAsia="宋体" w:cs="Arial"/>
                <w:b w:val="0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h</w:t>
            </w:r>
            <w:r>
              <w:rPr>
                <w:rFonts w:hint="eastAsia" w:ascii="Arial" w:hAnsi="Arial" w:eastAsia="宋体" w:cs="Arial"/>
                <w:b w:val="0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yperte</w:t>
            </w:r>
            <w:r>
              <w:rPr>
                <w:rFonts w:hint="default" w:ascii="Arial" w:hAnsi="Arial" w:eastAsia="宋体" w:cs="Arial"/>
                <w:b w:val="0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n</w:t>
            </w:r>
            <w:r>
              <w:rPr>
                <w:rFonts w:hint="eastAsia" w:ascii="Arial" w:hAnsi="Arial" w:eastAsia="宋体" w:cs="Arial"/>
                <w:b w:val="0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sion</w:t>
            </w: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, n (%)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0.843</w:t>
            </w:r>
          </w:p>
        </w:tc>
      </w:tr>
      <w:tr>
        <w:trPr>
          <w:trHeight w:val="0" w:hRule="atLeast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/>
                <w:lang w:val="en-US"/>
              </w:rPr>
            </w:pPr>
            <w:r>
              <w:rPr>
                <w:rFonts w:hint="default"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  <w:lang w:val="en-US"/>
              </w:rPr>
              <w:t>No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62 (30.8%)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1 (0.5%)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</w:p>
        </w:tc>
      </w:tr>
      <w:tr>
        <w:trPr>
          <w:trHeight w:val="0" w:hRule="atLeast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/>
                <w:lang w:val="en-US"/>
              </w:rPr>
            </w:pPr>
            <w:r>
              <w:rPr>
                <w:rFonts w:hint="default"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  <w:lang w:val="en-US"/>
              </w:rPr>
              <w:t>Yes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133 (66.2%)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4 (2%)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</w:p>
        </w:tc>
      </w:tr>
      <w:tr>
        <w:trPr>
          <w:trHeight w:val="0" w:hRule="atLeast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/>
                <w:lang w:val="en-US"/>
              </w:rPr>
            </w:pPr>
            <w:r>
              <w:rPr>
                <w:rFonts w:hint="default" w:ascii="Arial Regular" w:hAnsi="Arial Regular" w:cs="Arial Regular"/>
                <w:sz w:val="18"/>
                <w:szCs w:val="18"/>
                <w:lang w:val="en-US"/>
              </w:rPr>
              <w:t>N/A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1 (0.5%)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0 (0%)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</w:p>
        </w:tc>
      </w:tr>
      <w:tr>
        <w:trPr>
          <w:trHeight w:val="0" w:hRule="atLeast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hint="default"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  <w:lang w:val="en-US"/>
              </w:rPr>
              <w:t>d</w:t>
            </w:r>
            <w:r>
              <w:rPr>
                <w:rFonts w:hint="eastAsia"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iabetes mellitus</w:t>
            </w: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, n (%)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1.000</w:t>
            </w:r>
          </w:p>
        </w:tc>
      </w:tr>
      <w:tr>
        <w:trPr>
          <w:trHeight w:val="0" w:hRule="atLeast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/>
                <w:lang w:val="en-US"/>
              </w:rPr>
            </w:pPr>
            <w:r>
              <w:rPr>
                <w:rFonts w:hint="default"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  <w:lang w:val="en-US"/>
              </w:rPr>
              <w:t>No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137 (68.2%)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3 (1.5%)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</w:p>
        </w:tc>
      </w:tr>
      <w:tr>
        <w:trPr>
          <w:trHeight w:val="0" w:hRule="atLeast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/>
                <w:lang w:val="en-US"/>
              </w:rPr>
            </w:pPr>
            <w:r>
              <w:rPr>
                <w:rFonts w:hint="default"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  <w:lang w:val="en-US"/>
              </w:rPr>
              <w:t>Yes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59 (29.4%)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2 (1%)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</w:p>
        </w:tc>
      </w:tr>
      <w:tr>
        <w:trPr>
          <w:trHeight w:val="0" w:hRule="atLeast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coronary artery disease</w:t>
            </w: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 xml:space="preserve">, </w:t>
            </w:r>
          </w:p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n (%)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1.000</w:t>
            </w:r>
          </w:p>
        </w:tc>
      </w:tr>
      <w:tr>
        <w:trPr>
          <w:trHeight w:val="0" w:hRule="atLeast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/>
                <w:lang w:val="en-US"/>
              </w:rPr>
            </w:pPr>
            <w:r>
              <w:rPr>
                <w:rFonts w:hint="default"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  <w:lang w:val="en-US"/>
              </w:rPr>
              <w:t>No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163 (81.1%)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4 (2%)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</w:p>
        </w:tc>
      </w:tr>
      <w:tr>
        <w:trPr>
          <w:trHeight w:val="0" w:hRule="atLeast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/>
                <w:lang w:val="en-US"/>
              </w:rPr>
            </w:pPr>
            <w:r>
              <w:rPr>
                <w:rFonts w:hint="default"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  <w:lang w:val="en-US"/>
              </w:rPr>
              <w:t>Yes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33 (16.4%)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1 (0.5%)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</w:p>
        </w:tc>
      </w:tr>
      <w:tr>
        <w:trPr>
          <w:trHeight w:val="0" w:hRule="atLeast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hint="eastAsia"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atrial fibrillation</w:t>
            </w: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, n (%)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1.000</w:t>
            </w:r>
          </w:p>
        </w:tc>
      </w:tr>
      <w:tr>
        <w:trPr>
          <w:trHeight w:val="0" w:hRule="atLeast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default"/>
                <w:lang w:val="en-US"/>
              </w:rPr>
            </w:pPr>
            <w:r>
              <w:rPr>
                <w:rFonts w:hint="default"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  <w:lang w:val="en-US"/>
              </w:rPr>
              <w:t>No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178 (88.6%)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5 (2.5%)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</w:p>
        </w:tc>
      </w:tr>
      <w:tr>
        <w:trPr>
          <w:trHeight w:val="0" w:hRule="atLeast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Yes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18 (9%)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0 (0%)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</w:p>
        </w:tc>
      </w:tr>
      <w:tr>
        <w:trPr>
          <w:trHeight w:val="0" w:hRule="atLeast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Stroke/TIA, n (%)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0.777</w:t>
            </w:r>
          </w:p>
        </w:tc>
      </w:tr>
      <w:tr>
        <w:trPr>
          <w:trHeight w:val="0" w:hRule="atLeast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No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111 (55.2%)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2 (1%)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</w:p>
        </w:tc>
      </w:tr>
      <w:tr>
        <w:trPr>
          <w:trHeight w:val="0" w:hRule="atLeast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Yes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85 (42.3%)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3 (1.5%)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</w:p>
        </w:tc>
      </w:tr>
      <w:tr>
        <w:trPr>
          <w:trHeight w:val="0" w:hRule="atLeast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Sm</w:t>
            </w:r>
            <w:r>
              <w:rPr>
                <w:rFonts w:hint="default"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  <w:lang w:val="en-US"/>
              </w:rPr>
              <w:t>o</w:t>
            </w: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k</w:t>
            </w:r>
            <w:r>
              <w:rPr>
                <w:rFonts w:hint="default"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  <w:lang w:val="en-US"/>
              </w:rPr>
              <w:t>e</w:t>
            </w: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, n (%)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0.991</w:t>
            </w:r>
          </w:p>
        </w:tc>
      </w:tr>
      <w:tr>
        <w:trPr>
          <w:trHeight w:val="0" w:hRule="atLeast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Yes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97 (48.3%)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3 (1.5%)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</w:p>
        </w:tc>
      </w:tr>
      <w:tr>
        <w:trPr>
          <w:trHeight w:val="0" w:hRule="atLeast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No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99 (49.3%)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2 (1%)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</w:p>
        </w:tc>
      </w:tr>
      <w:tr>
        <w:trPr>
          <w:trHeight w:val="0" w:hRule="atLeast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Alc</w:t>
            </w:r>
            <w:r>
              <w:rPr>
                <w:rFonts w:hint="default"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  <w:lang w:val="en-US"/>
              </w:rPr>
              <w:t>ohol</w:t>
            </w: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, n (%)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0.251</w:t>
            </w:r>
          </w:p>
        </w:tc>
      </w:tr>
      <w:tr>
        <w:trPr>
          <w:trHeight w:val="0" w:hRule="atLeast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Yes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86 (42.8%)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4 (2%)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</w:p>
        </w:tc>
      </w:tr>
      <w:tr>
        <w:trPr>
          <w:trHeight w:val="0" w:hRule="atLeast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No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110 (54.7%)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1 (0.5%)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</w:p>
        </w:tc>
      </w:tr>
      <w:tr>
        <w:trPr>
          <w:trHeight w:val="0" w:hRule="atLeast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OCSP, n (%)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0.841</w:t>
            </w:r>
          </w:p>
        </w:tc>
      </w:tr>
      <w:tr>
        <w:trPr>
          <w:trHeight w:val="0" w:hRule="atLeast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hint="eastAsia"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TACI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22 (10.9%)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1 (0.5%)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</w:p>
        </w:tc>
      </w:tr>
      <w:tr>
        <w:trPr>
          <w:trHeight w:val="0" w:hRule="atLeast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asciiTheme="minorHAnsi" w:hAnsiTheme="minorHAnsi" w:eastAsiaTheme="minorEastAsia" w:cstheme="minorBidi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POCI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asciiTheme="minorHAnsi" w:hAnsiTheme="minorHAnsi" w:eastAsiaTheme="minorEastAsia" w:cstheme="minorBidi"/>
                <w:sz w:val="24"/>
                <w:szCs w:val="24"/>
                <w:lang w:val="en-US" w:eastAsia="en-US" w:bidi="ar-SA"/>
              </w:rPr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74 (36.8%)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asciiTheme="minorHAnsi" w:hAnsiTheme="minorHAnsi" w:eastAsiaTheme="minorEastAsia" w:cstheme="minorBidi"/>
                <w:sz w:val="24"/>
                <w:szCs w:val="24"/>
                <w:lang w:val="en-US" w:eastAsia="en-US" w:bidi="ar-SA"/>
              </w:rPr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1 (0.5%)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leftChars="0" w:right="100" w:rightChars="0" w:firstLine="0" w:firstLineChars="0"/>
              <w:jc w:val="center"/>
              <w:rPr>
                <w:rFonts w:asciiTheme="minorHAnsi" w:hAnsiTheme="minorHAnsi" w:eastAsiaTheme="minorEastAsia" w:cstheme="minorBidi"/>
                <w:sz w:val="24"/>
                <w:szCs w:val="24"/>
                <w:lang w:val="en-US" w:eastAsia="en-US" w:bidi="ar-SA"/>
              </w:rPr>
            </w:pPr>
          </w:p>
        </w:tc>
      </w:tr>
      <w:tr>
        <w:trPr>
          <w:trHeight w:val="0" w:hRule="atLeast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hint="eastAsia"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LACI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30 (14.9%)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1 (0.5%)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</w:p>
        </w:tc>
      </w:tr>
      <w:tr>
        <w:trPr>
          <w:trHeight w:val="0" w:hRule="atLeast"/>
          <w:jc w:val="center"/>
        </w:trPr>
        <w:tc>
          <w:tcPr>
            <w:tcW w:w="244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hint="eastAsia"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LI</w:t>
            </w:r>
          </w:p>
        </w:tc>
        <w:tc>
          <w:tcPr>
            <w:tcW w:w="2561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70 (34.8%)</w:t>
            </w:r>
          </w:p>
        </w:tc>
        <w:tc>
          <w:tcPr>
            <w:tcW w:w="2198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  <w:r>
              <w:rPr>
                <w:rFonts w:ascii="Arial" w:hAnsi="Arial" w:eastAsia="Arial" w:cs="Arial"/>
                <w:b w:val="0"/>
                <w:i w:val="0"/>
                <w:color w:val="000000"/>
                <w:sz w:val="18"/>
                <w:szCs w:val="18"/>
                <w:u w:val="none"/>
              </w:rPr>
              <w:t>2 (1%)</w:t>
            </w:r>
          </w:p>
        </w:tc>
        <w:tc>
          <w:tcPr>
            <w:tcW w:w="1011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 w:line="240" w:lineRule="auto"/>
              <w:ind w:left="100" w:right="100" w:firstLine="0"/>
              <w:jc w:val="center"/>
            </w:pPr>
          </w:p>
        </w:tc>
      </w:tr>
    </w:tbl>
    <w:p>
      <w:pPr>
        <w:rPr>
          <w:rFonts w:hint="default" w:eastAsia="宋体"/>
          <w:lang w:val="en-US" w:eastAsia="zh-CN"/>
        </w:rPr>
      </w:pPr>
    </w:p>
    <w:p>
      <w:pPr>
        <w:rPr>
          <w:rFonts w:hint="default" w:ascii="Arial Regular" w:hAnsi="Arial Regular" w:cs="Arial Regular"/>
          <w:b w:val="0"/>
          <w:bCs w:val="0"/>
          <w:szCs w:val="21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Arial Regular">
    <w:panose1 w:val="020B0604020202090204"/>
    <w:charset w:val="00"/>
    <w:family w:val="auto"/>
    <w:pitch w:val="default"/>
    <w:sig w:usb0="E0000AFF" w:usb1="00007843" w:usb2="00000001" w:usb3="00000000" w:csb0="400001BF" w:csb1="DFF70000"/>
  </w:font>
  <w:font w:name="Arial Bold">
    <w:panose1 w:val="020B0604020202090204"/>
    <w:charset w:val="00"/>
    <w:family w:val="auto"/>
    <w:pitch w:val="default"/>
    <w:sig w:usb0="E0000AFF" w:usb1="00007843" w:usb2="00000001" w:usb3="00000000" w:csb0="400001BF" w:csb1="DFF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FFB81FF"/>
    <w:rsid w:val="2C23AAB4"/>
    <w:rsid w:val="4BE780ED"/>
    <w:rsid w:val="6FF52034"/>
    <w:rsid w:val="7E7A6F8E"/>
    <w:rsid w:val="AF9FE612"/>
    <w:rsid w:val="DFFEA141"/>
    <w:rsid w:val="F1F9684E"/>
    <w:rsid w:val="FFEB1F67"/>
    <w:rsid w:val="FFFB8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2025-07-15T16:15:00Z</dcterms:created>
  <dc:creator>Wang YD</dc:creator>
  <cp:lastModifiedBy>Wang YD</cp:lastModifiedBy>
  <dcterms:modified xsi:type="dcterms:W3CDTF">2025-07-15T17:35:23Z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4EEA961205623F2C130E76689123958A_41</vt:lpwstr>
  </property>
</Properties>
</file>