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4A3992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28"/>
          <w:szCs w:val="28"/>
        </w:rPr>
      </w:pPr>
      <w:r w:rsidRPr="000D608D">
        <w:rPr>
          <w:rFonts w:cs="Times New Roman"/>
          <w:sz w:val="28"/>
          <w:szCs w:val="28"/>
          <w:lang w:val="en-US"/>
        </w:rPr>
        <w:t xml:space="preserve">Additional file </w:t>
      </w:r>
      <w:r w:rsidRPr="000D608D">
        <w:rPr>
          <w:rFonts w:cs="Times New Roman"/>
          <w:sz w:val="28"/>
          <w:szCs w:val="28"/>
        </w:rPr>
        <w:t>2</w:t>
      </w:r>
    </w:p>
    <w:p w14:paraId="5C8F561A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  <w:lang w:val="en-US"/>
        </w:rPr>
        <w:drawing>
          <wp:inline distT="0" distB="0" distL="0" distR="0" wp14:anchorId="0F03F3AE" wp14:editId="25A8060C">
            <wp:extent cx="3162935" cy="4286707"/>
            <wp:effectExtent l="0" t="0" r="0" b="0"/>
            <wp:docPr id="52" name="Picture 52" descr="P15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P158#yIS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160" cy="432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708E7" w14:textId="20580E31" w:rsidR="000D608D" w:rsidRPr="000D608D" w:rsidRDefault="000D608D" w:rsidP="000D608D">
      <w:pPr>
        <w:pStyle w:val="Paper1"/>
        <w:spacing w:before="240"/>
        <w:jc w:val="both"/>
        <w:rPr>
          <w:rFonts w:cs="Times New Roman"/>
          <w:i/>
          <w:iCs/>
          <w:sz w:val="18"/>
          <w:szCs w:val="18"/>
          <w:lang w:val="en-US"/>
        </w:rPr>
      </w:pPr>
      <w:r w:rsidRPr="000D608D">
        <w:rPr>
          <w:rFonts w:cs="Times New Roman"/>
          <w:i/>
          <w:iCs/>
          <w:sz w:val="18"/>
          <w:szCs w:val="18"/>
          <w:lang w:val="en-US"/>
        </w:rPr>
        <w:t xml:space="preserve">Figure </w:t>
      </w:r>
      <w:r w:rsidR="00AF31CA">
        <w:rPr>
          <w:rFonts w:cs="Times New Roman"/>
          <w:i/>
          <w:iCs/>
          <w:sz w:val="18"/>
          <w:szCs w:val="18"/>
          <w:lang w:val="en-US"/>
        </w:rPr>
        <w:t>S1</w:t>
      </w:r>
      <w:r w:rsidRPr="000D608D">
        <w:rPr>
          <w:rFonts w:cs="Times New Roman"/>
          <w:i/>
          <w:iCs/>
          <w:sz w:val="18"/>
          <w:szCs w:val="18"/>
          <w:lang w:val="en-US"/>
        </w:rPr>
        <w:t xml:space="preserve"> – Distribution of </w:t>
      </w:r>
      <w:proofErr w:type="spellStart"/>
      <w:r w:rsidRPr="000D608D">
        <w:rPr>
          <w:rFonts w:cs="Times New Roman"/>
          <w:i/>
          <w:iCs/>
          <w:sz w:val="18"/>
          <w:szCs w:val="18"/>
          <w:lang w:val="en-US"/>
        </w:rPr>
        <w:t>CAZyme</w:t>
      </w:r>
      <w:proofErr w:type="spellEnd"/>
      <w:r w:rsidRPr="000D608D">
        <w:rPr>
          <w:rFonts w:cs="Times New Roman"/>
          <w:i/>
          <w:iCs/>
          <w:sz w:val="18"/>
          <w:szCs w:val="18"/>
          <w:lang w:val="en-US"/>
        </w:rPr>
        <w:t xml:space="preserve">-related genes located in the 21 Apiospora genome assemblies. </w:t>
      </w:r>
    </w:p>
    <w:p w14:paraId="174D3726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noProof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39FCB7CD" wp14:editId="2F240B37">
            <wp:extent cx="3355451" cy="5469890"/>
            <wp:effectExtent l="0" t="0" r="0" b="0"/>
            <wp:docPr id="53" name="Picture 53" descr="P160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P160#yIS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874" cy="5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96D40" w14:textId="11060657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S2</w:t>
      </w:r>
      <w:r w:rsidRPr="000D608D">
        <w:rPr>
          <w:color w:val="auto"/>
        </w:rPr>
        <w:t xml:space="preserve"> - Distribution of </w:t>
      </w:r>
      <w:proofErr w:type="spellStart"/>
      <w:r w:rsidRPr="000D608D">
        <w:rPr>
          <w:color w:val="auto"/>
        </w:rPr>
        <w:t>CAZyme</w:t>
      </w:r>
      <w:proofErr w:type="spellEnd"/>
      <w:r w:rsidRPr="000D608D">
        <w:rPr>
          <w:color w:val="auto"/>
        </w:rPr>
        <w:t>-related genes located in the 21 Apiospora genome assemblies.</w:t>
      </w:r>
    </w:p>
    <w:p w14:paraId="03F0DC76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noProof/>
          <w:sz w:val="18"/>
          <w:szCs w:val="18"/>
          <w:lang w:val="en-US"/>
        </w:rPr>
      </w:pPr>
    </w:p>
    <w:p w14:paraId="4A4654C9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noProof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14CF0B5C" wp14:editId="65F37BBF">
            <wp:extent cx="3350361" cy="5917565"/>
            <wp:effectExtent l="0" t="0" r="2540" b="6985"/>
            <wp:docPr id="54" name="Picture 54" descr="P16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P163#yIS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361" cy="591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F8C86" w14:textId="5E9E9288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S3</w:t>
      </w:r>
      <w:r w:rsidRPr="000D608D">
        <w:rPr>
          <w:color w:val="auto"/>
        </w:rPr>
        <w:t xml:space="preserve"> - Distribution of </w:t>
      </w:r>
      <w:proofErr w:type="spellStart"/>
      <w:r w:rsidRPr="000D608D">
        <w:rPr>
          <w:color w:val="auto"/>
        </w:rPr>
        <w:t>CAZyme</w:t>
      </w:r>
      <w:proofErr w:type="spellEnd"/>
      <w:r w:rsidRPr="000D608D">
        <w:rPr>
          <w:color w:val="auto"/>
        </w:rPr>
        <w:t>-related genes located in the 21 Apiospora genome assemblies.</w:t>
      </w:r>
      <w:r w:rsidRPr="000D608D">
        <w:rPr>
          <w:i w:val="0"/>
          <w:iCs w:val="0"/>
          <w:color w:val="auto"/>
        </w:rPr>
        <w:t xml:space="preserve"> </w:t>
      </w:r>
      <w:r w:rsidRPr="000D608D">
        <w:rPr>
          <w:color w:val="auto"/>
        </w:rPr>
        <w:t xml:space="preserve"> </w:t>
      </w:r>
    </w:p>
    <w:p w14:paraId="462E9A91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noProof/>
          <w:sz w:val="18"/>
          <w:szCs w:val="18"/>
          <w:lang w:val="en-US"/>
        </w:rPr>
      </w:pPr>
    </w:p>
    <w:p w14:paraId="04EC74C3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noProof/>
          <w:sz w:val="18"/>
          <w:szCs w:val="18"/>
          <w:lang w:val="en-US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48DF387C" wp14:editId="3686CEAE">
            <wp:extent cx="3533241" cy="5925185"/>
            <wp:effectExtent l="0" t="0" r="0" b="0"/>
            <wp:docPr id="55" name="Picture 55" descr="P16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P166#yIS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017" cy="59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608D">
        <w:rPr>
          <w:rFonts w:cs="Times New Roman"/>
          <w:noProof/>
          <w:sz w:val="18"/>
          <w:szCs w:val="18"/>
          <w:lang w:val="en-US"/>
        </w:rPr>
        <w:t xml:space="preserve"> </w:t>
      </w:r>
    </w:p>
    <w:p w14:paraId="7E480646" w14:textId="4EDA4C35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S4</w:t>
      </w:r>
      <w:r w:rsidRPr="000D608D">
        <w:rPr>
          <w:color w:val="auto"/>
        </w:rPr>
        <w:t xml:space="preserve"> - Distribution of </w:t>
      </w:r>
      <w:proofErr w:type="spellStart"/>
      <w:r w:rsidRPr="000D608D">
        <w:rPr>
          <w:color w:val="auto"/>
        </w:rPr>
        <w:t>CAZyme</w:t>
      </w:r>
      <w:proofErr w:type="spellEnd"/>
      <w:r w:rsidRPr="000D608D">
        <w:rPr>
          <w:color w:val="auto"/>
        </w:rPr>
        <w:t>-related genes located in the 21 Apiospora genome assemblies.</w:t>
      </w:r>
      <w:r w:rsidRPr="000D608D">
        <w:rPr>
          <w:i w:val="0"/>
          <w:iCs w:val="0"/>
          <w:color w:val="auto"/>
        </w:rPr>
        <w:t xml:space="preserve"> </w:t>
      </w:r>
      <w:r w:rsidRPr="000D608D">
        <w:rPr>
          <w:color w:val="auto"/>
        </w:rPr>
        <w:t xml:space="preserve"> </w:t>
      </w:r>
    </w:p>
    <w:p w14:paraId="2C25966E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noProof/>
          <w:sz w:val="18"/>
          <w:szCs w:val="18"/>
          <w:lang w:val="en-US"/>
        </w:rPr>
      </w:pPr>
    </w:p>
    <w:p w14:paraId="3908BC20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6CB3B6AF" wp14:editId="457450BC">
            <wp:extent cx="2925925" cy="5917996"/>
            <wp:effectExtent l="0" t="0" r="8255" b="6985"/>
            <wp:docPr id="56" name="Picture 56" descr="P169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P169#yIS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236" cy="593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5DA04" w14:textId="41DEE530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S5</w:t>
      </w:r>
      <w:r w:rsidRPr="000D608D">
        <w:rPr>
          <w:color w:val="auto"/>
        </w:rPr>
        <w:t xml:space="preserve"> - Distribution of </w:t>
      </w:r>
      <w:proofErr w:type="spellStart"/>
      <w:r w:rsidRPr="000D608D">
        <w:rPr>
          <w:color w:val="auto"/>
        </w:rPr>
        <w:t>CAZyme</w:t>
      </w:r>
      <w:proofErr w:type="spellEnd"/>
      <w:r w:rsidRPr="000D608D">
        <w:rPr>
          <w:color w:val="auto"/>
        </w:rPr>
        <w:t>-related genes located in the 21 Apiospora genome assemblies.</w:t>
      </w:r>
      <w:r w:rsidRPr="000D608D">
        <w:rPr>
          <w:i w:val="0"/>
          <w:iCs w:val="0"/>
          <w:color w:val="auto"/>
        </w:rPr>
        <w:t xml:space="preserve"> </w:t>
      </w:r>
      <w:r w:rsidRPr="000D608D">
        <w:rPr>
          <w:color w:val="auto"/>
        </w:rPr>
        <w:t xml:space="preserve"> </w:t>
      </w:r>
    </w:p>
    <w:p w14:paraId="0A297C63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  <w:lang w:val="en-US"/>
        </w:rPr>
      </w:pPr>
    </w:p>
    <w:p w14:paraId="74958687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1A4A0B33" wp14:editId="259C6145">
            <wp:extent cx="2926080" cy="5998464"/>
            <wp:effectExtent l="0" t="0" r="7620" b="2540"/>
            <wp:docPr id="57" name="Picture 57" descr="P172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P172#yIS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02" cy="600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6DB76" w14:textId="343E07EB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S6</w:t>
      </w:r>
      <w:r w:rsidRPr="000D608D">
        <w:rPr>
          <w:color w:val="auto"/>
        </w:rPr>
        <w:t xml:space="preserve"> - Distribution of </w:t>
      </w:r>
      <w:proofErr w:type="spellStart"/>
      <w:r w:rsidRPr="000D608D">
        <w:rPr>
          <w:color w:val="auto"/>
        </w:rPr>
        <w:t>CAZyme</w:t>
      </w:r>
      <w:proofErr w:type="spellEnd"/>
      <w:r w:rsidRPr="000D608D">
        <w:rPr>
          <w:color w:val="auto"/>
        </w:rPr>
        <w:t>-related genes located in the 21 Apiospora genome assemblies.</w:t>
      </w:r>
    </w:p>
    <w:p w14:paraId="4A2DFF6E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  <w:lang w:val="en-US"/>
        </w:rPr>
      </w:pPr>
    </w:p>
    <w:p w14:paraId="61ACF653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7B4C6150" wp14:editId="3C3E44AE">
            <wp:extent cx="4319905" cy="2592070"/>
            <wp:effectExtent l="0" t="0" r="4445" b="0"/>
            <wp:docPr id="5" name="Graphic 5" descr="P175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P175#yIS1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2C66A" w14:textId="2BB7B978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S7</w:t>
      </w:r>
      <w:r w:rsidRPr="000D608D">
        <w:rPr>
          <w:color w:val="auto"/>
        </w:rPr>
        <w:t xml:space="preserve"> – Distribution of genes with KOG associated terms in the core genome (blue) and in the dispensable genome (green).</w:t>
      </w:r>
    </w:p>
    <w:p w14:paraId="25329871" w14:textId="77777777" w:rsidR="000D608D" w:rsidRPr="000D608D" w:rsidRDefault="000D608D" w:rsidP="000D608D">
      <w:pPr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sz w:val="18"/>
          <w:szCs w:val="18"/>
          <w:lang w:val="en-US"/>
        </w:rPr>
        <w:br w:type="page"/>
      </w:r>
    </w:p>
    <w:p w14:paraId="210EE8EA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3BDDA28D" wp14:editId="40B1BECF">
            <wp:extent cx="4281170" cy="6664147"/>
            <wp:effectExtent l="0" t="0" r="0" b="3810"/>
            <wp:docPr id="58" name="Graphic 58" descr="P17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Graphic 58" descr="P178#yIS1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rcRect t="2227" b="347"/>
                    <a:stretch/>
                  </pic:blipFill>
                  <pic:spPr bwMode="auto">
                    <a:xfrm>
                      <a:off x="0" y="0"/>
                      <a:ext cx="4281170" cy="6664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A25E2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7DF1DEE4" wp14:editId="4300CCE9">
            <wp:extent cx="4319905" cy="6197600"/>
            <wp:effectExtent l="0" t="0" r="0" b="0"/>
            <wp:docPr id="59" name="Graphic 59" descr="P179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raphic 59" descr="P179#yIS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C36E1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</w:p>
    <w:p w14:paraId="00B21F2C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10C1D8B2" wp14:editId="77A2D42A">
            <wp:extent cx="4319905" cy="6197600"/>
            <wp:effectExtent l="0" t="0" r="0" b="0"/>
            <wp:docPr id="60" name="Graphic 60" descr="P181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raphic 60" descr="P181#yIS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28EC2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</w:p>
    <w:p w14:paraId="7C0B9605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3CB2559B" wp14:editId="208AE903">
            <wp:extent cx="4319905" cy="5818505"/>
            <wp:effectExtent l="0" t="0" r="0" b="0"/>
            <wp:docPr id="61" name="Graphic 61" descr="P18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raphic 61" descr="P183#yIS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7388C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</w:p>
    <w:p w14:paraId="55914114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</w:p>
    <w:p w14:paraId="407A7D86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0C19D96E" wp14:editId="56B7136C">
            <wp:extent cx="4319905" cy="5818505"/>
            <wp:effectExtent l="0" t="0" r="0" b="0"/>
            <wp:docPr id="62" name="Graphic 62" descr="P18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Graphic 62" descr="P186#yIS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E4EAE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</w:p>
    <w:p w14:paraId="298D2A40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4870F47E" wp14:editId="306072F2">
            <wp:extent cx="4319905" cy="5818505"/>
            <wp:effectExtent l="0" t="0" r="0" b="0"/>
            <wp:docPr id="63" name="Graphic 63" descr="P18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Graphic 63" descr="P188#yIS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AA634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</w:rPr>
      </w:pPr>
      <w:r w:rsidRPr="000D608D">
        <w:rPr>
          <w:rFonts w:cs="Times New Roman"/>
          <w:noProof/>
          <w:sz w:val="18"/>
          <w:szCs w:val="18"/>
        </w:rPr>
        <w:lastRenderedPageBreak/>
        <w:drawing>
          <wp:inline distT="0" distB="0" distL="0" distR="0" wp14:anchorId="7F267A56" wp14:editId="02303FF0">
            <wp:extent cx="4319905" cy="3879215"/>
            <wp:effectExtent l="0" t="0" r="0" b="0"/>
            <wp:docPr id="64" name="Graphic 64" descr="P189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Graphic 64" descr="P189#yIS1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6E145" w14:textId="775A5B87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S8</w:t>
      </w:r>
      <w:r w:rsidRPr="000D608D">
        <w:rPr>
          <w:color w:val="auto"/>
        </w:rPr>
        <w:t xml:space="preserve"> – Phylogenetic analysis of the PKS core genes located in the 21 Apiospora genome assemblies. </w:t>
      </w:r>
    </w:p>
    <w:p w14:paraId="1E5CFFBE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sz w:val="18"/>
          <w:szCs w:val="18"/>
          <w:lang w:val="en-US"/>
        </w:rPr>
        <w:br/>
      </w:r>
    </w:p>
    <w:p w14:paraId="70CBD03F" w14:textId="77777777" w:rsidR="000D608D" w:rsidRPr="000D608D" w:rsidRDefault="000D608D" w:rsidP="000D608D">
      <w:pPr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sz w:val="18"/>
          <w:szCs w:val="18"/>
          <w:lang w:val="en-US"/>
        </w:rPr>
        <w:br w:type="page"/>
      </w:r>
    </w:p>
    <w:p w14:paraId="5600F1E1" w14:textId="77777777" w:rsidR="000D608D" w:rsidRPr="000D608D" w:rsidRDefault="000D608D" w:rsidP="000D608D">
      <w:pPr>
        <w:pStyle w:val="Paper1"/>
        <w:spacing w:before="240"/>
        <w:jc w:val="both"/>
        <w:rPr>
          <w:rFonts w:cs="Times New Roman"/>
          <w:sz w:val="18"/>
          <w:szCs w:val="18"/>
          <w:lang w:val="en-US"/>
        </w:rPr>
      </w:pPr>
    </w:p>
    <w:p w14:paraId="7D4C1B47" w14:textId="77777777" w:rsidR="000D608D" w:rsidRPr="000D608D" w:rsidRDefault="000D608D" w:rsidP="000D608D">
      <w:pPr>
        <w:jc w:val="both"/>
        <w:rPr>
          <w:rFonts w:cs="Times New Roman"/>
          <w:sz w:val="18"/>
          <w:szCs w:val="18"/>
          <w:lang w:val="en-US"/>
        </w:rPr>
      </w:pPr>
    </w:p>
    <w:p w14:paraId="6BBF6B20" w14:textId="77777777" w:rsidR="000D608D" w:rsidRPr="000D608D" w:rsidRDefault="000D608D" w:rsidP="000D608D">
      <w:pPr>
        <w:spacing w:line="480" w:lineRule="auto"/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noProof/>
          <w:sz w:val="18"/>
          <w:szCs w:val="18"/>
        </w:rPr>
        <w:drawing>
          <wp:inline distT="0" distB="0" distL="0" distR="0" wp14:anchorId="1011960F" wp14:editId="0DB675F3">
            <wp:extent cx="4319905" cy="3455670"/>
            <wp:effectExtent l="0" t="0" r="4445" b="0"/>
            <wp:docPr id="65" name="Graphic 65" descr="P195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Graphic 65" descr="P195#yIS1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DA00A" w14:textId="7B835074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S9</w:t>
      </w:r>
      <w:r w:rsidRPr="000D608D">
        <w:rPr>
          <w:color w:val="auto"/>
        </w:rPr>
        <w:t xml:space="preserve"> – MCA analysis of the PKS profiles from all the Apiospora genomes.</w:t>
      </w:r>
    </w:p>
    <w:p w14:paraId="53716B62" w14:textId="77777777" w:rsidR="000D608D" w:rsidRPr="000D608D" w:rsidRDefault="000D608D" w:rsidP="000D608D">
      <w:pPr>
        <w:jc w:val="both"/>
        <w:rPr>
          <w:rFonts w:cs="Times New Roman"/>
          <w:sz w:val="18"/>
          <w:szCs w:val="18"/>
          <w:lang w:val="en-US"/>
        </w:rPr>
      </w:pPr>
    </w:p>
    <w:p w14:paraId="413180F1" w14:textId="77777777" w:rsidR="000D608D" w:rsidRPr="000D608D" w:rsidRDefault="000D608D" w:rsidP="000D608D">
      <w:pPr>
        <w:spacing w:line="480" w:lineRule="auto"/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2BD7B41C" wp14:editId="0D255EEE">
            <wp:extent cx="4319905" cy="5818505"/>
            <wp:effectExtent l="0" t="0" r="0" b="0"/>
            <wp:docPr id="66" name="Graphic 66" descr="P19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Graphic 66" descr="P198#yIS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C7E6F" w14:textId="77777777" w:rsidR="000D608D" w:rsidRPr="000D608D" w:rsidRDefault="000D608D" w:rsidP="000D608D">
      <w:pPr>
        <w:spacing w:line="480" w:lineRule="auto"/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6DB7923F" wp14:editId="36726729">
            <wp:extent cx="4319905" cy="5818505"/>
            <wp:effectExtent l="0" t="0" r="0" b="0"/>
            <wp:docPr id="67" name="Graphic 67" descr="P199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Graphic 67" descr="P199#yIS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3CD7" w14:textId="77777777" w:rsidR="000D608D" w:rsidRPr="000D608D" w:rsidRDefault="000D608D" w:rsidP="000D608D">
      <w:pPr>
        <w:spacing w:line="480" w:lineRule="auto"/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5DEC5580" wp14:editId="4E9905E3">
            <wp:extent cx="4319905" cy="3847880"/>
            <wp:effectExtent l="0" t="0" r="0" b="0"/>
            <wp:docPr id="68" name="Graphic 68" descr="P200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raphic 68" descr="P200#yIS1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rcRect b="5111"/>
                    <a:stretch/>
                  </pic:blipFill>
                  <pic:spPr bwMode="auto">
                    <a:xfrm>
                      <a:off x="0" y="0"/>
                      <a:ext cx="4319905" cy="384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A001C" w14:textId="288F13B3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S10</w:t>
      </w:r>
      <w:r w:rsidRPr="000D608D">
        <w:rPr>
          <w:color w:val="auto"/>
        </w:rPr>
        <w:t xml:space="preserve"> – Phylogenetic analysis of the NRPS core genes located in the 21 Apiospora genome assemblies.</w:t>
      </w:r>
    </w:p>
    <w:p w14:paraId="10C323B1" w14:textId="77777777" w:rsidR="000D608D" w:rsidRPr="000D608D" w:rsidRDefault="000D608D" w:rsidP="000D608D">
      <w:pPr>
        <w:spacing w:line="276" w:lineRule="auto"/>
        <w:jc w:val="both"/>
        <w:rPr>
          <w:rFonts w:cs="Times New Roman"/>
          <w:sz w:val="18"/>
          <w:szCs w:val="18"/>
          <w:lang w:val="en-US"/>
        </w:rPr>
      </w:pPr>
      <w:r w:rsidRPr="000D608D">
        <w:rPr>
          <w:rFonts w:cs="Times New Roman"/>
          <w:sz w:val="18"/>
          <w:szCs w:val="18"/>
          <w:lang w:val="en-US"/>
        </w:rPr>
        <w:br w:type="page"/>
      </w:r>
      <w:r w:rsidRPr="000D608D">
        <w:rPr>
          <w:rFonts w:cs="Times New Roman"/>
          <w:noProof/>
          <w:sz w:val="18"/>
          <w:szCs w:val="18"/>
          <w:lang w:val="en-US"/>
        </w:rPr>
        <w:lastRenderedPageBreak/>
        <w:drawing>
          <wp:inline distT="0" distB="0" distL="0" distR="0" wp14:anchorId="5F83AF01" wp14:editId="59DD9586">
            <wp:extent cx="4319905" cy="3455670"/>
            <wp:effectExtent l="0" t="0" r="4445" b="0"/>
            <wp:docPr id="69" name="Graphic 69" descr="P202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Graphic 69" descr="P202#yIS1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CF7E5" w14:textId="5E16B79E" w:rsidR="000D608D" w:rsidRPr="000D608D" w:rsidRDefault="000D608D" w:rsidP="000D608D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 w:rsidR="00AF31CA">
        <w:rPr>
          <w:color w:val="auto"/>
        </w:rPr>
        <w:t>S11</w:t>
      </w:r>
      <w:r w:rsidRPr="000D608D">
        <w:rPr>
          <w:color w:val="auto"/>
        </w:rPr>
        <w:t xml:space="preserve"> – MCA analysis of the NRPS profiles from all the Apiospora genomes.</w:t>
      </w:r>
    </w:p>
    <w:p w14:paraId="22FEE7AE" w14:textId="77777777" w:rsidR="00554D3F" w:rsidRDefault="00554D3F">
      <w:pPr>
        <w:rPr>
          <w:sz w:val="18"/>
          <w:szCs w:val="18"/>
          <w:lang w:val="en-US"/>
        </w:rPr>
      </w:pPr>
    </w:p>
    <w:p w14:paraId="14D3CD4A" w14:textId="77777777" w:rsidR="00C62A5A" w:rsidRDefault="00C62A5A">
      <w:pPr>
        <w:rPr>
          <w:sz w:val="18"/>
          <w:szCs w:val="18"/>
          <w:lang w:val="en-US"/>
        </w:rPr>
      </w:pPr>
    </w:p>
    <w:p w14:paraId="2A6DA369" w14:textId="77777777" w:rsidR="00C62A5A" w:rsidRDefault="00C62A5A">
      <w:pPr>
        <w:rPr>
          <w:sz w:val="18"/>
          <w:szCs w:val="18"/>
          <w:lang w:val="en-US"/>
        </w:rPr>
      </w:pPr>
    </w:p>
    <w:p w14:paraId="0C928599" w14:textId="77777777" w:rsidR="00C62A5A" w:rsidRDefault="00C62A5A">
      <w:pPr>
        <w:rPr>
          <w:sz w:val="18"/>
          <w:szCs w:val="18"/>
          <w:lang w:val="en-US"/>
        </w:rPr>
      </w:pPr>
    </w:p>
    <w:p w14:paraId="09F93A68" w14:textId="77777777" w:rsidR="00C62A5A" w:rsidRDefault="00C62A5A">
      <w:pPr>
        <w:rPr>
          <w:sz w:val="18"/>
          <w:szCs w:val="18"/>
          <w:lang w:val="en-US"/>
        </w:rPr>
      </w:pPr>
    </w:p>
    <w:p w14:paraId="409FD110" w14:textId="77777777" w:rsidR="00C62A5A" w:rsidRDefault="00C62A5A">
      <w:pPr>
        <w:rPr>
          <w:sz w:val="18"/>
          <w:szCs w:val="18"/>
          <w:lang w:val="en-US"/>
        </w:rPr>
      </w:pPr>
    </w:p>
    <w:p w14:paraId="5E8C806C" w14:textId="77777777" w:rsidR="00C62A5A" w:rsidRDefault="00C62A5A">
      <w:pPr>
        <w:rPr>
          <w:sz w:val="18"/>
          <w:szCs w:val="18"/>
          <w:lang w:val="en-US"/>
        </w:rPr>
      </w:pPr>
    </w:p>
    <w:p w14:paraId="3D51D217" w14:textId="77777777" w:rsidR="00C62A5A" w:rsidRDefault="00C62A5A">
      <w:pPr>
        <w:rPr>
          <w:sz w:val="18"/>
          <w:szCs w:val="18"/>
          <w:lang w:val="en-US"/>
        </w:rPr>
      </w:pPr>
    </w:p>
    <w:p w14:paraId="13AA2F34" w14:textId="77777777" w:rsidR="00C62A5A" w:rsidRDefault="00C62A5A">
      <w:pPr>
        <w:rPr>
          <w:sz w:val="18"/>
          <w:szCs w:val="18"/>
          <w:lang w:val="en-US"/>
        </w:rPr>
      </w:pPr>
    </w:p>
    <w:p w14:paraId="269D6644" w14:textId="77777777" w:rsidR="00C62A5A" w:rsidRDefault="00C62A5A">
      <w:pPr>
        <w:rPr>
          <w:sz w:val="18"/>
          <w:szCs w:val="18"/>
          <w:lang w:val="en-US"/>
        </w:rPr>
      </w:pPr>
    </w:p>
    <w:p w14:paraId="79F1626F" w14:textId="77777777" w:rsidR="00C62A5A" w:rsidRDefault="00C62A5A">
      <w:pPr>
        <w:rPr>
          <w:sz w:val="18"/>
          <w:szCs w:val="18"/>
          <w:lang w:val="en-US"/>
        </w:rPr>
      </w:pPr>
    </w:p>
    <w:p w14:paraId="691683B9" w14:textId="77777777" w:rsidR="00C62A5A" w:rsidRDefault="00C62A5A">
      <w:pPr>
        <w:rPr>
          <w:sz w:val="18"/>
          <w:szCs w:val="18"/>
          <w:lang w:val="en-US"/>
        </w:rPr>
      </w:pPr>
    </w:p>
    <w:p w14:paraId="61CD48CF" w14:textId="77777777" w:rsidR="00C62A5A" w:rsidRDefault="00C62A5A">
      <w:pPr>
        <w:rPr>
          <w:sz w:val="18"/>
          <w:szCs w:val="18"/>
          <w:lang w:val="en-US"/>
        </w:rPr>
      </w:pPr>
    </w:p>
    <w:p w14:paraId="0E1D346B" w14:textId="77777777" w:rsidR="00C62A5A" w:rsidRDefault="00C62A5A">
      <w:pPr>
        <w:rPr>
          <w:sz w:val="18"/>
          <w:szCs w:val="18"/>
          <w:lang w:val="en-US"/>
        </w:rPr>
      </w:pPr>
    </w:p>
    <w:p w14:paraId="2B454B2A" w14:textId="77777777" w:rsidR="00C62A5A" w:rsidRDefault="00C62A5A">
      <w:pPr>
        <w:rPr>
          <w:sz w:val="18"/>
          <w:szCs w:val="18"/>
          <w:lang w:val="en-US"/>
        </w:rPr>
      </w:pPr>
    </w:p>
    <w:p w14:paraId="03B88A26" w14:textId="77777777" w:rsidR="00C62A5A" w:rsidRDefault="00C62A5A">
      <w:pPr>
        <w:rPr>
          <w:noProof/>
          <w:sz w:val="18"/>
          <w:szCs w:val="18"/>
          <w:lang w:val="en-US"/>
        </w:rPr>
      </w:pPr>
    </w:p>
    <w:p w14:paraId="4B682861" w14:textId="77777777" w:rsidR="00C62A5A" w:rsidRDefault="00C62A5A">
      <w:pPr>
        <w:rPr>
          <w:noProof/>
          <w:sz w:val="18"/>
          <w:szCs w:val="18"/>
          <w:lang w:val="en-US"/>
        </w:rPr>
      </w:pPr>
    </w:p>
    <w:p w14:paraId="789C5D92" w14:textId="77777777" w:rsidR="00C62A5A" w:rsidRDefault="00C62A5A">
      <w:pPr>
        <w:rPr>
          <w:noProof/>
          <w:sz w:val="18"/>
          <w:szCs w:val="18"/>
          <w:lang w:val="en-US"/>
        </w:rPr>
      </w:pPr>
    </w:p>
    <w:p w14:paraId="5EF40B89" w14:textId="75E1F5B7" w:rsidR="00C62A5A" w:rsidRDefault="00C62A5A">
      <w:pPr>
        <w:rPr>
          <w:sz w:val="18"/>
          <w:szCs w:val="18"/>
          <w:lang w:val="en-US"/>
        </w:rPr>
      </w:pPr>
      <w:r>
        <w:rPr>
          <w:noProof/>
          <w:sz w:val="18"/>
          <w:szCs w:val="18"/>
          <w:lang w:val="en-US"/>
        </w:rPr>
        <w:drawing>
          <wp:inline distT="0" distB="0" distL="0" distR="0" wp14:anchorId="659C12B5" wp14:editId="5A2EA85C">
            <wp:extent cx="6214533" cy="4809744"/>
            <wp:effectExtent l="0" t="0" r="0" b="0"/>
            <wp:docPr id="78041248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744" cy="481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EEFDC" w14:textId="77777777" w:rsidR="00C62A5A" w:rsidRDefault="00C62A5A">
      <w:pPr>
        <w:rPr>
          <w:sz w:val="18"/>
          <w:szCs w:val="18"/>
          <w:lang w:val="en-US"/>
        </w:rPr>
      </w:pPr>
    </w:p>
    <w:p w14:paraId="1CDE291B" w14:textId="60F60BC6" w:rsidR="00C62A5A" w:rsidRPr="000D608D" w:rsidRDefault="00C62A5A" w:rsidP="00C62A5A">
      <w:pPr>
        <w:pStyle w:val="Billedtekst"/>
        <w:rPr>
          <w:color w:val="auto"/>
        </w:rPr>
      </w:pPr>
      <w:r w:rsidRPr="000D608D">
        <w:rPr>
          <w:color w:val="auto"/>
        </w:rPr>
        <w:t xml:space="preserve">Figure </w:t>
      </w:r>
      <w:r>
        <w:rPr>
          <w:color w:val="auto"/>
        </w:rPr>
        <w:t>S1</w:t>
      </w:r>
      <w:r>
        <w:rPr>
          <w:color w:val="auto"/>
        </w:rPr>
        <w:t>2</w:t>
      </w:r>
      <w:r w:rsidRPr="000D608D">
        <w:rPr>
          <w:color w:val="auto"/>
        </w:rPr>
        <w:t xml:space="preserve"> – </w:t>
      </w:r>
      <w:r w:rsidRPr="00C62A5A">
        <w:rPr>
          <w:color w:val="auto"/>
        </w:rPr>
        <w:t xml:space="preserve">Radial tree showing the phylogenetic relationship between 3-NPA oxidoreductase protein sequences from available genome sequenced </w:t>
      </w:r>
      <w:proofErr w:type="spellStart"/>
      <w:r w:rsidRPr="00C62A5A">
        <w:rPr>
          <w:color w:val="auto"/>
        </w:rPr>
        <w:t>Apiospora</w:t>
      </w:r>
      <w:proofErr w:type="spellEnd"/>
      <w:r w:rsidRPr="00C62A5A">
        <w:rPr>
          <w:color w:val="auto"/>
        </w:rPr>
        <w:t xml:space="preserve"> strains and selected strains of Aspergillus, Metarhizium, Penicillium and Streptomyces. Bold lines </w:t>
      </w:r>
      <w:proofErr w:type="gramStart"/>
      <w:r w:rsidRPr="00C62A5A">
        <w:rPr>
          <w:color w:val="auto"/>
        </w:rPr>
        <w:t>represents</w:t>
      </w:r>
      <w:proofErr w:type="gramEnd"/>
      <w:r w:rsidRPr="00C62A5A">
        <w:rPr>
          <w:color w:val="auto"/>
        </w:rPr>
        <w:t xml:space="preserve"> bootstrap values of &gt;80% from 100 replications.</w:t>
      </w:r>
      <w:r>
        <w:rPr>
          <w:color w:val="auto"/>
        </w:rPr>
        <w:t xml:space="preserve"> Note that</w:t>
      </w:r>
      <w:r w:rsidRPr="00C62A5A">
        <w:t xml:space="preserve"> </w:t>
      </w:r>
      <w:proofErr w:type="spellStart"/>
      <w:r w:rsidRPr="00C62A5A">
        <w:rPr>
          <w:color w:val="auto"/>
        </w:rPr>
        <w:t>Apiospora</w:t>
      </w:r>
      <w:proofErr w:type="spellEnd"/>
      <w:r w:rsidRPr="00C62A5A">
        <w:rPr>
          <w:color w:val="auto"/>
        </w:rPr>
        <w:t xml:space="preserve"> </w:t>
      </w:r>
      <w:proofErr w:type="spellStart"/>
      <w:r w:rsidRPr="00C62A5A">
        <w:rPr>
          <w:color w:val="auto"/>
        </w:rPr>
        <w:t>arundinis</w:t>
      </w:r>
      <w:proofErr w:type="spellEnd"/>
      <w:r w:rsidRPr="00C62A5A">
        <w:rPr>
          <w:color w:val="auto"/>
        </w:rPr>
        <w:t xml:space="preserve"> AAU 773</w:t>
      </w:r>
      <w:r>
        <w:rPr>
          <w:color w:val="auto"/>
        </w:rPr>
        <w:t xml:space="preserve">, </w:t>
      </w:r>
      <w:proofErr w:type="spellStart"/>
      <w:proofErr w:type="gramStart"/>
      <w:r w:rsidRPr="00C62A5A">
        <w:rPr>
          <w:color w:val="auto"/>
        </w:rPr>
        <w:t>Apiospora</w:t>
      </w:r>
      <w:proofErr w:type="spellEnd"/>
      <w:r w:rsidRPr="00C62A5A">
        <w:rPr>
          <w:color w:val="auto"/>
        </w:rPr>
        <w:t xml:space="preserve">  KUC</w:t>
      </w:r>
      <w:proofErr w:type="gramEnd"/>
      <w:r w:rsidRPr="00C62A5A">
        <w:rPr>
          <w:color w:val="auto"/>
        </w:rPr>
        <w:t>21332</w:t>
      </w:r>
      <w:r>
        <w:rPr>
          <w:color w:val="auto"/>
        </w:rPr>
        <w:t>,</w:t>
      </w:r>
      <w:r w:rsidRPr="00C62A5A">
        <w:t xml:space="preserve"> </w:t>
      </w:r>
      <w:proofErr w:type="spellStart"/>
      <w:r w:rsidRPr="00C62A5A">
        <w:rPr>
          <w:color w:val="auto"/>
        </w:rPr>
        <w:t>Apiospora</w:t>
      </w:r>
      <w:proofErr w:type="spellEnd"/>
      <w:r w:rsidRPr="00C62A5A">
        <w:rPr>
          <w:color w:val="auto"/>
        </w:rPr>
        <w:t xml:space="preserve"> </w:t>
      </w:r>
      <w:proofErr w:type="spellStart"/>
      <w:r w:rsidRPr="00C62A5A">
        <w:rPr>
          <w:color w:val="auto"/>
        </w:rPr>
        <w:t>malaysiana</w:t>
      </w:r>
      <w:proofErr w:type="spellEnd"/>
      <w:r>
        <w:rPr>
          <w:color w:val="auto"/>
        </w:rPr>
        <w:t xml:space="preserve"> and </w:t>
      </w:r>
      <w:proofErr w:type="spellStart"/>
      <w:r w:rsidRPr="00C62A5A">
        <w:rPr>
          <w:color w:val="auto"/>
        </w:rPr>
        <w:t>Apiospora</w:t>
      </w:r>
      <w:proofErr w:type="spellEnd"/>
      <w:r w:rsidRPr="00C62A5A">
        <w:rPr>
          <w:color w:val="auto"/>
        </w:rPr>
        <w:t xml:space="preserve"> </w:t>
      </w:r>
      <w:proofErr w:type="spellStart"/>
      <w:r w:rsidRPr="00C62A5A">
        <w:rPr>
          <w:color w:val="auto"/>
        </w:rPr>
        <w:t>pterosperma</w:t>
      </w:r>
      <w:proofErr w:type="spellEnd"/>
      <w:r>
        <w:rPr>
          <w:color w:val="auto"/>
        </w:rPr>
        <w:t xml:space="preserve"> did not contain the gene.. </w:t>
      </w:r>
    </w:p>
    <w:p w14:paraId="5ABCCD20" w14:textId="77777777" w:rsidR="00C62A5A" w:rsidRPr="000D608D" w:rsidRDefault="00C62A5A">
      <w:pPr>
        <w:rPr>
          <w:sz w:val="18"/>
          <w:szCs w:val="18"/>
          <w:lang w:val="en-US"/>
        </w:rPr>
      </w:pPr>
    </w:p>
    <w:sectPr w:rsidR="00C62A5A" w:rsidRPr="000D608D">
      <w:pgSz w:w="12240" w:h="15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08D"/>
    <w:rsid w:val="000D608D"/>
    <w:rsid w:val="00362BA8"/>
    <w:rsid w:val="00554D3F"/>
    <w:rsid w:val="00AF31CA"/>
    <w:rsid w:val="00C62A5A"/>
    <w:rsid w:val="00E35A10"/>
    <w:rsid w:val="00E63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CD5750"/>
  <w15:chartTrackingRefBased/>
  <w15:docId w15:val="{8505F449-59A3-427B-A4BE-E182500A0C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08D"/>
    <w:rPr>
      <w:rFonts w:ascii="Times New Roman" w:hAnsi="Times New Roman"/>
      <w:kern w:val="0"/>
      <w:sz w:val="20"/>
      <w:lang w:val="da-DK"/>
      <w14:ligatures w14:val="none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Billedtekst">
    <w:name w:val="caption"/>
    <w:basedOn w:val="Normal"/>
    <w:next w:val="Normal"/>
    <w:autoRedefine/>
    <w:uiPriority w:val="35"/>
    <w:unhideWhenUsed/>
    <w:qFormat/>
    <w:rsid w:val="000D608D"/>
    <w:pPr>
      <w:keepNext/>
      <w:spacing w:before="240" w:after="200" w:line="240" w:lineRule="auto"/>
      <w:jc w:val="both"/>
    </w:pPr>
    <w:rPr>
      <w:rFonts w:cs="Times New Roman"/>
      <w:i/>
      <w:iCs/>
      <w:color w:val="84B3DF" w:themeColor="accent1" w:themeTint="BF"/>
      <w:sz w:val="18"/>
      <w:szCs w:val="18"/>
      <w:lang w:val="en-US"/>
    </w:rPr>
  </w:style>
  <w:style w:type="paragraph" w:customStyle="1" w:styleId="Paper1">
    <w:name w:val="Paper_1"/>
    <w:basedOn w:val="Normal"/>
    <w:link w:val="Paper1Char"/>
    <w:qFormat/>
    <w:rsid w:val="000D608D"/>
    <w:rPr>
      <w:sz w:val="32"/>
    </w:rPr>
  </w:style>
  <w:style w:type="character" w:customStyle="1" w:styleId="Paper1Char">
    <w:name w:val="Paper_1 Char"/>
    <w:basedOn w:val="Standardskrifttypeiafsnit"/>
    <w:link w:val="Paper1"/>
    <w:rsid w:val="000D608D"/>
    <w:rPr>
      <w:rFonts w:ascii="Times New Roman" w:hAnsi="Times New Roman"/>
      <w:kern w:val="0"/>
      <w:sz w:val="32"/>
      <w:lang w:val="da-DK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227</Words>
  <Characters>1390</Characters>
  <Application>Microsoft Office Word</Application>
  <DocSecurity>0</DocSecurity>
  <Lines>11</Lines>
  <Paragraphs>3</Paragraphs>
  <ScaleCrop>false</ScaleCrop>
  <Company/>
  <LinksUpToDate>false</LinksUpToDate>
  <CharactersWithSpaces>1614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Trine Sørensen</dc:creator>
  <cp:keywords/>
  <dc:description/>
  <cp:lastModifiedBy>Teis Søndergaard</cp:lastModifiedBy>
  <cp:revision>2</cp:revision>
  <dcterms:created xsi:type="dcterms:W3CDTF">2025-08-04T11:49:00Z</dcterms:created>
  <dcterms:modified xsi:type="dcterms:W3CDTF">2025-08-04T11:49:00Z</dcterms:modified>
</cp:coreProperties>
</file>