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57268E" w14:textId="52663B76" w:rsidR="008E3567" w:rsidRPr="00225242" w:rsidRDefault="002A2505" w:rsidP="004A797E">
      <w:pPr>
        <w:spacing w:line="480" w:lineRule="auto"/>
        <w:rPr>
          <w:b/>
          <w:sz w:val="28"/>
          <w:szCs w:val="28"/>
        </w:rPr>
      </w:pPr>
      <w:r>
        <w:rPr>
          <w:b/>
          <w:sz w:val="28"/>
          <w:szCs w:val="28"/>
        </w:rPr>
        <w:t>Supporting</w:t>
      </w:r>
      <w:r w:rsidR="008E3567" w:rsidRPr="00225242">
        <w:rPr>
          <w:b/>
          <w:sz w:val="28"/>
          <w:szCs w:val="28"/>
        </w:rPr>
        <w:t xml:space="preserve"> Information</w:t>
      </w:r>
    </w:p>
    <w:p w14:paraId="5F6EE2C3" w14:textId="77777777" w:rsidR="004A797E" w:rsidRPr="00225242" w:rsidRDefault="004A797E" w:rsidP="00534446">
      <w:pPr>
        <w:rPr>
          <w:b/>
          <w:sz w:val="28"/>
          <w:szCs w:val="28"/>
        </w:rPr>
      </w:pPr>
    </w:p>
    <w:p w14:paraId="0DCCC656" w14:textId="279B8E3E" w:rsidR="000F7031" w:rsidRPr="001D35E4" w:rsidRDefault="00370D05" w:rsidP="000F7031">
      <w:pPr>
        <w:adjustRightInd w:val="0"/>
        <w:snapToGrid w:val="0"/>
        <w:spacing w:line="480" w:lineRule="auto"/>
        <w:jc w:val="both"/>
        <w:rPr>
          <w:b/>
          <w:sz w:val="28"/>
          <w:szCs w:val="28"/>
        </w:rPr>
      </w:pPr>
      <w:r w:rsidRPr="00370D05">
        <w:rPr>
          <w:b/>
          <w:sz w:val="28"/>
          <w:szCs w:val="28"/>
        </w:rPr>
        <w:t>Magnetically Guided Theranostics: Enhancing the Contrast of Magnetic Resonance Imaging with Multiple-Layer Montmorillonite-Based Iron/Platinum Nanoparticles for the Treatment of Orthotopic Hepatocellular Carcinoma</w:t>
      </w:r>
    </w:p>
    <w:p w14:paraId="21891AF0" w14:textId="77777777" w:rsidR="004A797E" w:rsidRPr="000F7031" w:rsidRDefault="004A797E" w:rsidP="00534446">
      <w:pPr>
        <w:adjustRightInd w:val="0"/>
        <w:snapToGrid w:val="0"/>
        <w:jc w:val="both"/>
        <w:rPr>
          <w:b/>
          <w:sz w:val="28"/>
          <w:szCs w:val="28"/>
          <w:highlight w:val="yellow"/>
          <w:shd w:val="clear" w:color="auto" w:fill="FFFFFF"/>
        </w:rPr>
      </w:pPr>
    </w:p>
    <w:p w14:paraId="23DB1E77" w14:textId="17637EDE" w:rsidR="00823CC2" w:rsidRPr="00225242" w:rsidRDefault="006B4C13" w:rsidP="00823CC2">
      <w:pPr>
        <w:snapToGrid w:val="0"/>
        <w:spacing w:line="480" w:lineRule="auto"/>
        <w:jc w:val="both"/>
        <w:rPr>
          <w:highlight w:val="yellow"/>
          <w:vertAlign w:val="superscript"/>
        </w:rPr>
      </w:pPr>
      <w:r w:rsidRPr="006B4C13">
        <w:rPr>
          <w:lang w:val="de-DE"/>
        </w:rPr>
        <w:t>Ming-Hsien Chan,</w:t>
      </w:r>
      <w:r w:rsidR="00CD7A3F" w:rsidRPr="00CD7A3F">
        <w:rPr>
          <w:rFonts w:hint="eastAsia"/>
          <w:vertAlign w:val="superscript"/>
          <w:lang w:val="de-DE"/>
        </w:rPr>
        <w:t>‡</w:t>
      </w:r>
      <w:r w:rsidRPr="006B4C13">
        <w:rPr>
          <w:lang w:val="de-DE"/>
        </w:rPr>
        <w:t xml:space="preserve"> </w:t>
      </w:r>
      <w:r w:rsidRPr="006B4C13">
        <w:rPr>
          <w:iCs/>
          <w:lang w:val="de-DE"/>
        </w:rPr>
        <w:t>Chi-Ning Lu</w:t>
      </w:r>
      <w:r w:rsidRPr="006B4C13">
        <w:rPr>
          <w:lang w:val="de-DE"/>
        </w:rPr>
        <w:t>,</w:t>
      </w:r>
      <w:r w:rsidR="00CD7A3F" w:rsidRPr="00CD7A3F">
        <w:rPr>
          <w:rFonts w:hint="eastAsia"/>
          <w:vertAlign w:val="superscript"/>
          <w:lang w:val="de-DE"/>
        </w:rPr>
        <w:t>‡</w:t>
      </w:r>
      <w:r w:rsidRPr="006B4C13">
        <w:rPr>
          <w:lang w:val="de-DE"/>
        </w:rPr>
        <w:t xml:space="preserve"> Yi-Lung Chung, </w:t>
      </w:r>
      <w:r w:rsidR="00370D05" w:rsidRPr="00370D05">
        <w:rPr>
          <w:lang w:val="de-DE"/>
        </w:rPr>
        <w:t>Yu-Chan Chang, Chien-Hsiu Li,</w:t>
      </w:r>
      <w:r w:rsidR="00370D05">
        <w:rPr>
          <w:rFonts w:hint="eastAsia"/>
          <w:lang w:val="de-DE"/>
        </w:rPr>
        <w:t xml:space="preserve"> </w:t>
      </w:r>
      <w:r w:rsidRPr="006B4C13">
        <w:rPr>
          <w:lang w:val="de-DE"/>
        </w:rPr>
        <w:t xml:space="preserve">Chi-Long Chen*, </w:t>
      </w:r>
      <w:r w:rsidRPr="006B4C13">
        <w:rPr>
          <w:iCs/>
          <w:lang w:val="de-DE"/>
        </w:rPr>
        <w:t>Da-Hua Wei</w:t>
      </w:r>
      <w:r w:rsidRPr="006B4C13">
        <w:rPr>
          <w:lang w:val="de-DE"/>
        </w:rPr>
        <w:t>*, and Michael Hsiao*</w:t>
      </w:r>
    </w:p>
    <w:p w14:paraId="10976B4F" w14:textId="77777777" w:rsidR="006B4C13" w:rsidRDefault="006B4C13" w:rsidP="006B4C13">
      <w:pPr>
        <w:tabs>
          <w:tab w:val="left" w:pos="0"/>
        </w:tabs>
        <w:adjustRightInd w:val="0"/>
        <w:snapToGrid w:val="0"/>
        <w:spacing w:line="480" w:lineRule="auto"/>
      </w:pPr>
    </w:p>
    <w:p w14:paraId="0EE160CB" w14:textId="5B2EBE07" w:rsidR="00CD7A3F" w:rsidRPr="00E16188" w:rsidRDefault="00370D05" w:rsidP="00CD7A3F">
      <w:pPr>
        <w:snapToGrid w:val="0"/>
        <w:spacing w:line="480" w:lineRule="auto"/>
        <w:rPr>
          <w:i/>
        </w:rPr>
      </w:pPr>
      <w:r w:rsidRPr="00370D05">
        <w:t>Michael Hsiao, Ming-Hsien Chan, and Chien-Hsiu Li</w:t>
      </w:r>
      <w:r w:rsidR="00CD7A3F" w:rsidRPr="00E16188">
        <w:t xml:space="preserve"> − </w:t>
      </w:r>
      <w:r w:rsidR="00CD7A3F" w:rsidRPr="00E16188">
        <w:rPr>
          <w:i/>
        </w:rPr>
        <w:t>Genomics Research Center, Academia Sinica, Taipei 115, Taiwan</w:t>
      </w:r>
    </w:p>
    <w:p w14:paraId="774B11CD" w14:textId="77777777" w:rsidR="00CD7A3F" w:rsidRPr="00E16188" w:rsidRDefault="00CD7A3F" w:rsidP="00CD7A3F">
      <w:pPr>
        <w:snapToGrid w:val="0"/>
        <w:spacing w:line="480" w:lineRule="auto"/>
        <w:rPr>
          <w:i/>
        </w:rPr>
      </w:pPr>
      <w:r w:rsidRPr="00E16188">
        <w:t xml:space="preserve">Chi-Ning Lu − </w:t>
      </w:r>
      <w:r w:rsidRPr="00E16188">
        <w:rPr>
          <w:i/>
        </w:rPr>
        <w:t>Department of Chemistry,</w:t>
      </w:r>
      <w:r w:rsidRPr="00E16188">
        <w:t xml:space="preserve"> </w:t>
      </w:r>
      <w:r w:rsidRPr="00E16188">
        <w:rPr>
          <w:i/>
        </w:rPr>
        <w:t>Saint Michael's College, Vermont 05439, USA</w:t>
      </w:r>
    </w:p>
    <w:p w14:paraId="15F6DF4F" w14:textId="06FDD520" w:rsidR="00CD7A3F" w:rsidRDefault="00CD7A3F" w:rsidP="00CD7A3F">
      <w:pPr>
        <w:snapToGrid w:val="0"/>
        <w:spacing w:line="480" w:lineRule="auto"/>
        <w:rPr>
          <w:i/>
        </w:rPr>
      </w:pPr>
      <w:r w:rsidRPr="00E16188">
        <w:t xml:space="preserve">Da-Hua Wei and Yi-Lung Chung − </w:t>
      </w:r>
      <w:r w:rsidRPr="00E16188">
        <w:rPr>
          <w:i/>
        </w:rPr>
        <w:t>Graduate Institute of Manufacturing Technology and Department of Mechanical Engineering, National Taipei University of Technology, National Taipei University of Technology, Taipei 106, Taiwan</w:t>
      </w:r>
    </w:p>
    <w:p w14:paraId="52E5DF33" w14:textId="57B098AB" w:rsidR="00370D05" w:rsidRPr="00E16188" w:rsidRDefault="00370D05" w:rsidP="00CD7A3F">
      <w:pPr>
        <w:snapToGrid w:val="0"/>
        <w:spacing w:line="480" w:lineRule="auto"/>
        <w:rPr>
          <w:i/>
        </w:rPr>
      </w:pPr>
      <w:r w:rsidRPr="00370D05">
        <w:t xml:space="preserve">Yu-Chan Chang </w:t>
      </w:r>
      <w:r w:rsidRPr="00370D05">
        <w:rPr>
          <w:i/>
        </w:rPr>
        <w:t xml:space="preserve">− </w:t>
      </w:r>
      <w:r w:rsidRPr="00370D05">
        <w:rPr>
          <w:bCs/>
          <w:i/>
        </w:rPr>
        <w:t>Department of Biomedical Imaging and Radiological Sciences, National Yang Ming Chiao Tung University, Taipei 112, Taiwan</w:t>
      </w:r>
    </w:p>
    <w:p w14:paraId="3AE19AAA" w14:textId="77777777" w:rsidR="00CD7A3F" w:rsidRPr="00E16188" w:rsidRDefault="00CD7A3F" w:rsidP="00CD7A3F">
      <w:pPr>
        <w:snapToGrid w:val="0"/>
        <w:spacing w:line="480" w:lineRule="auto"/>
        <w:rPr>
          <w:i/>
        </w:rPr>
      </w:pPr>
      <w:r w:rsidRPr="00E16188">
        <w:t xml:space="preserve">Chi-Long Chen − </w:t>
      </w:r>
      <w:r w:rsidRPr="00E16188">
        <w:rPr>
          <w:i/>
        </w:rPr>
        <w:t>Department of Pathology, College of Medicine and Department of Pathology, Taipei Medical University Hospital, Taipei 11031, Taiwan</w:t>
      </w:r>
    </w:p>
    <w:p w14:paraId="46140682" w14:textId="6AE40914" w:rsidR="006B4C13" w:rsidRDefault="00CD7A3F" w:rsidP="006B4C13">
      <w:pPr>
        <w:tabs>
          <w:tab w:val="left" w:pos="0"/>
        </w:tabs>
        <w:adjustRightInd w:val="0"/>
        <w:snapToGrid w:val="0"/>
        <w:spacing w:line="480" w:lineRule="auto"/>
        <w:rPr>
          <w:i/>
        </w:rPr>
      </w:pPr>
      <w:r w:rsidRPr="00E16188">
        <w:t xml:space="preserve">Michael Hsiao − </w:t>
      </w:r>
      <w:r w:rsidRPr="00E16188">
        <w:rPr>
          <w:i/>
        </w:rPr>
        <w:t>Department of Biochemistry, College of Medicine, Kaohsiung Medical University, Kaohsiung 807, Taiwan</w:t>
      </w:r>
    </w:p>
    <w:p w14:paraId="493D3A47" w14:textId="77777777" w:rsidR="00370D05" w:rsidRPr="006B4C13" w:rsidRDefault="00370D05" w:rsidP="006B4C13">
      <w:pPr>
        <w:tabs>
          <w:tab w:val="left" w:pos="0"/>
        </w:tabs>
        <w:adjustRightInd w:val="0"/>
        <w:snapToGrid w:val="0"/>
        <w:spacing w:line="480" w:lineRule="auto"/>
        <w:rPr>
          <w:i/>
        </w:rPr>
      </w:pPr>
    </w:p>
    <w:p w14:paraId="094A7090" w14:textId="77777777" w:rsidR="006B4C13" w:rsidRPr="006B4C13" w:rsidRDefault="006B4C13" w:rsidP="006B4C13">
      <w:pPr>
        <w:tabs>
          <w:tab w:val="left" w:pos="0"/>
        </w:tabs>
        <w:adjustRightInd w:val="0"/>
        <w:snapToGrid w:val="0"/>
        <w:spacing w:line="480" w:lineRule="auto"/>
      </w:pPr>
      <w:r w:rsidRPr="006B4C13">
        <w:t>*Corresponding Authors:</w:t>
      </w:r>
    </w:p>
    <w:p w14:paraId="07CCF4CB" w14:textId="77777777" w:rsidR="006B4C13" w:rsidRPr="006B4C13" w:rsidRDefault="006B4C13" w:rsidP="006B4C13">
      <w:pPr>
        <w:tabs>
          <w:tab w:val="left" w:pos="0"/>
        </w:tabs>
        <w:adjustRightInd w:val="0"/>
        <w:snapToGrid w:val="0"/>
        <w:spacing w:line="480" w:lineRule="auto"/>
      </w:pPr>
      <w:r w:rsidRPr="006B4C13">
        <w:t xml:space="preserve">Michael Hsiao, ORCID: orcid.org/0000-0002-6131-5706; Email: </w:t>
      </w:r>
      <w:hyperlink r:id="rId7" w:history="1">
        <w:r w:rsidRPr="006B4C13">
          <w:rPr>
            <w:rStyle w:val="a7"/>
          </w:rPr>
          <w:t>mhsiao@gate.sinica.edu.tw</w:t>
        </w:r>
      </w:hyperlink>
    </w:p>
    <w:p w14:paraId="5CD7D73A" w14:textId="77777777" w:rsidR="006B4C13" w:rsidRPr="006B4C13" w:rsidRDefault="004F3658" w:rsidP="006B4C13">
      <w:pPr>
        <w:tabs>
          <w:tab w:val="left" w:pos="0"/>
        </w:tabs>
        <w:adjustRightInd w:val="0"/>
        <w:snapToGrid w:val="0"/>
        <w:spacing w:line="480" w:lineRule="auto"/>
      </w:pPr>
      <w:hyperlink r:id="rId8" w:history="1"/>
      <w:r w:rsidR="006B4C13" w:rsidRPr="006B4C13">
        <w:t xml:space="preserve">Da-Hua Wei, ORCID: orcid.org/0000-0001-7603-3739; Email: : </w:t>
      </w:r>
      <w:hyperlink r:id="rId9" w:history="1">
        <w:r w:rsidR="006B4C13" w:rsidRPr="006B4C13">
          <w:rPr>
            <w:rStyle w:val="a7"/>
          </w:rPr>
          <w:t>dhwei@ntut.edu.tw</w:t>
        </w:r>
      </w:hyperlink>
    </w:p>
    <w:p w14:paraId="76ACD32B" w14:textId="5F68B0D9" w:rsidR="00E46893" w:rsidRPr="00225242" w:rsidRDefault="006B4C13" w:rsidP="006B4C13">
      <w:pPr>
        <w:tabs>
          <w:tab w:val="left" w:pos="0"/>
        </w:tabs>
        <w:adjustRightInd w:val="0"/>
        <w:snapToGrid w:val="0"/>
        <w:spacing w:line="480" w:lineRule="auto"/>
        <w:rPr>
          <w:u w:val="single"/>
        </w:rPr>
      </w:pPr>
      <w:r w:rsidRPr="006B4C13">
        <w:t xml:space="preserve">Chi-Long Chen, ORCID: orcid.org/0000-0003-2875-1669; Email: : </w:t>
      </w:r>
      <w:hyperlink r:id="rId10" w:history="1">
        <w:r w:rsidRPr="006B4C13">
          <w:rPr>
            <w:rStyle w:val="a7"/>
          </w:rPr>
          <w:t>chencl@tmu.edu.tw</w:t>
        </w:r>
      </w:hyperlink>
      <w:r w:rsidR="00823CC2" w:rsidRPr="00225242">
        <w:br w:type="page"/>
      </w:r>
    </w:p>
    <w:p w14:paraId="5F2E2110" w14:textId="28D42399" w:rsidR="008E3567" w:rsidRPr="00225242" w:rsidRDefault="002A2505" w:rsidP="002C09A7">
      <w:pPr>
        <w:tabs>
          <w:tab w:val="left" w:pos="0"/>
        </w:tabs>
        <w:adjustRightInd w:val="0"/>
        <w:snapToGrid w:val="0"/>
        <w:spacing w:line="480" w:lineRule="auto"/>
        <w:rPr>
          <w:b/>
          <w:sz w:val="28"/>
          <w:szCs w:val="28"/>
        </w:rPr>
      </w:pPr>
      <w:r w:rsidRPr="002A2505">
        <w:rPr>
          <w:b/>
          <w:sz w:val="28"/>
          <w:szCs w:val="28"/>
          <w:shd w:val="clear" w:color="auto" w:fill="FFFFFF"/>
        </w:rPr>
        <w:lastRenderedPageBreak/>
        <w:t>Supporting</w:t>
      </w:r>
      <w:r w:rsidR="008E3567" w:rsidRPr="00225242">
        <w:rPr>
          <w:b/>
          <w:sz w:val="28"/>
          <w:szCs w:val="28"/>
        </w:rPr>
        <w:t xml:space="preserve"> Figure 1</w:t>
      </w:r>
    </w:p>
    <w:p w14:paraId="07B75A2D" w14:textId="5550BEB0" w:rsidR="008E3567" w:rsidRPr="00225242" w:rsidRDefault="00CD7A3F" w:rsidP="008E3567">
      <w:pPr>
        <w:widowControl/>
        <w:jc w:val="center"/>
      </w:pPr>
      <w:r>
        <w:rPr>
          <w:noProof/>
        </w:rPr>
        <w:drawing>
          <wp:inline distT="0" distB="0" distL="0" distR="0" wp14:anchorId="03656140" wp14:editId="7D8014C4">
            <wp:extent cx="6174000" cy="7032951"/>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l="2674" t="1176" r="6295"/>
                    <a:stretch/>
                  </pic:blipFill>
                  <pic:spPr bwMode="auto">
                    <a:xfrm>
                      <a:off x="0" y="0"/>
                      <a:ext cx="6174000" cy="7032951"/>
                    </a:xfrm>
                    <a:prstGeom prst="rect">
                      <a:avLst/>
                    </a:prstGeom>
                    <a:noFill/>
                    <a:ln>
                      <a:noFill/>
                    </a:ln>
                    <a:extLst>
                      <a:ext uri="{53640926-AAD7-44D8-BBD7-CCE9431645EC}">
                        <a14:shadowObscured xmlns:a14="http://schemas.microsoft.com/office/drawing/2010/main"/>
                      </a:ext>
                    </a:extLst>
                  </pic:spPr>
                </pic:pic>
              </a:graphicData>
            </a:graphic>
          </wp:inline>
        </w:drawing>
      </w:r>
    </w:p>
    <w:p w14:paraId="68726FEA" w14:textId="1FA48B89" w:rsidR="00E536EA" w:rsidRPr="00225242" w:rsidRDefault="008A5CD6" w:rsidP="00FF32A0">
      <w:pPr>
        <w:widowControl/>
        <w:jc w:val="both"/>
      </w:pPr>
      <w:r w:rsidRPr="00225242">
        <w:rPr>
          <w:b/>
        </w:rPr>
        <w:t>Figure S1</w:t>
      </w:r>
      <w:r w:rsidR="008E3567" w:rsidRPr="00225242">
        <w:rPr>
          <w:b/>
        </w:rPr>
        <w:t xml:space="preserve">. </w:t>
      </w:r>
      <w:r w:rsidR="00881876" w:rsidRPr="00225242">
        <w:rPr>
          <w:b/>
        </w:rPr>
        <w:t xml:space="preserve">The characterization of </w:t>
      </w:r>
      <w:r w:rsidR="00CD7A3F">
        <w:rPr>
          <w:b/>
        </w:rPr>
        <w:t>MMT</w:t>
      </w:r>
      <w:r w:rsidR="00881876" w:rsidRPr="00225242">
        <w:rPr>
          <w:b/>
        </w:rPr>
        <w:t xml:space="preserve"> and </w:t>
      </w:r>
      <w:r w:rsidR="00534446" w:rsidRPr="00225242">
        <w:rPr>
          <w:b/>
        </w:rPr>
        <w:t xml:space="preserve">CTAB-modified </w:t>
      </w:r>
      <w:r w:rsidR="00CD7A3F">
        <w:rPr>
          <w:b/>
        </w:rPr>
        <w:t>MMT</w:t>
      </w:r>
      <w:r w:rsidR="00881876" w:rsidRPr="00225242">
        <w:rPr>
          <w:b/>
        </w:rPr>
        <w:t>.</w:t>
      </w:r>
      <w:r w:rsidR="00E536EA" w:rsidRPr="00225242">
        <w:t xml:space="preserve"> </w:t>
      </w:r>
      <w:r w:rsidR="00CD7A3F" w:rsidRPr="00CD7A3F">
        <w:t>(a) The schematic shows the possible mechanism related to layer-shaped MMT that can limit the space FePt NPs and increase the magnetic properties. (b) SEM image of CTAB-modified MMT. (c) TGA analysis evaluates the weight loss after removing the CTAB molecules. (d) The XRD patterns of MMT and CTAB-modified MMT. (e) FTIR spectrum detection of the Si–O, and C–H functional group has been successfully modified with MMT.</w:t>
      </w:r>
      <w:r w:rsidR="00E536EA" w:rsidRPr="00225242">
        <w:br w:type="page"/>
      </w:r>
    </w:p>
    <w:p w14:paraId="093C52C1" w14:textId="17FD7813" w:rsidR="008A5CD6" w:rsidRDefault="002A2505" w:rsidP="00E536EA">
      <w:pPr>
        <w:widowControl/>
        <w:rPr>
          <w:b/>
          <w:sz w:val="28"/>
          <w:szCs w:val="28"/>
        </w:rPr>
      </w:pPr>
      <w:r w:rsidRPr="002A2505">
        <w:rPr>
          <w:b/>
          <w:sz w:val="28"/>
          <w:szCs w:val="28"/>
          <w:shd w:val="clear" w:color="auto" w:fill="FFFFFF"/>
        </w:rPr>
        <w:lastRenderedPageBreak/>
        <w:t>Supporting</w:t>
      </w:r>
      <w:r w:rsidR="008A5CD6" w:rsidRPr="00225242">
        <w:rPr>
          <w:b/>
          <w:sz w:val="28"/>
          <w:szCs w:val="28"/>
        </w:rPr>
        <w:t xml:space="preserve"> Figure 2</w:t>
      </w:r>
    </w:p>
    <w:p w14:paraId="704F0E38" w14:textId="0D128EB6" w:rsidR="00FF32A0" w:rsidRPr="00225242" w:rsidRDefault="006B4C13" w:rsidP="00FF32A0">
      <w:pPr>
        <w:widowControl/>
        <w:jc w:val="both"/>
      </w:pPr>
      <w:r>
        <w:rPr>
          <w:noProof/>
        </w:rPr>
        <w:drawing>
          <wp:inline distT="0" distB="0" distL="0" distR="0" wp14:anchorId="1C53CBA2" wp14:editId="401992F7">
            <wp:extent cx="6174000" cy="2916934"/>
            <wp:effectExtent l="0" t="0" r="0" b="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r="4026"/>
                    <a:stretch/>
                  </pic:blipFill>
                  <pic:spPr bwMode="auto">
                    <a:xfrm>
                      <a:off x="0" y="0"/>
                      <a:ext cx="6174000" cy="2916934"/>
                    </a:xfrm>
                    <a:prstGeom prst="rect">
                      <a:avLst/>
                    </a:prstGeom>
                    <a:noFill/>
                    <a:ln>
                      <a:noFill/>
                    </a:ln>
                    <a:extLst>
                      <a:ext uri="{53640926-AAD7-44D8-BBD7-CCE9431645EC}">
                        <a14:shadowObscured xmlns:a14="http://schemas.microsoft.com/office/drawing/2010/main"/>
                      </a:ext>
                    </a:extLst>
                  </pic:spPr>
                </pic:pic>
              </a:graphicData>
            </a:graphic>
          </wp:inline>
        </w:drawing>
      </w:r>
    </w:p>
    <w:p w14:paraId="51B2ED49" w14:textId="7456FF10" w:rsidR="00FF32A0" w:rsidRPr="00FF32A0" w:rsidRDefault="00FF32A0" w:rsidP="00FF32A0">
      <w:pPr>
        <w:widowControl/>
        <w:jc w:val="both"/>
      </w:pPr>
      <w:r>
        <w:rPr>
          <w:b/>
        </w:rPr>
        <w:t>Figure S2</w:t>
      </w:r>
      <w:r w:rsidRPr="00225242">
        <w:rPr>
          <w:b/>
        </w:rPr>
        <w:t xml:space="preserve">. Experimental results of electrochemical detection. </w:t>
      </w:r>
      <w:r w:rsidRPr="00225242">
        <w:t xml:space="preserve">Cyclic voltammetry of series </w:t>
      </w:r>
      <w:r w:rsidR="00CD7A3F">
        <w:t xml:space="preserve">(a) </w:t>
      </w:r>
      <w:r w:rsidRPr="00225242">
        <w:t>FePt</w:t>
      </w:r>
      <w:r w:rsidR="00CD7A3F">
        <w:t xml:space="preserve"> NPs, (b) </w:t>
      </w:r>
      <w:r w:rsidR="00CD7A3F" w:rsidRPr="00CD7A3F">
        <w:t>FePt@MMT/3.5%</w:t>
      </w:r>
      <w:r w:rsidR="00CD7A3F">
        <w:t xml:space="preserve">, (c) </w:t>
      </w:r>
      <w:r w:rsidR="00CD7A3F" w:rsidRPr="00CD7A3F">
        <w:t>FePt@MMT</w:t>
      </w:r>
      <w:r w:rsidR="00CD7A3F">
        <w:t>/</w:t>
      </w:r>
      <w:r w:rsidR="00CD7A3F">
        <w:rPr>
          <w:rFonts w:hint="eastAsia"/>
        </w:rPr>
        <w:t>7</w:t>
      </w:r>
      <w:r w:rsidR="00CD7A3F" w:rsidRPr="00CD7A3F">
        <w:t>%</w:t>
      </w:r>
      <w:r w:rsidR="00CD7A3F">
        <w:t>,</w:t>
      </w:r>
      <w:r w:rsidR="00CD7A3F">
        <w:rPr>
          <w:rFonts w:hint="eastAsia"/>
        </w:rPr>
        <w:t xml:space="preserve"> </w:t>
      </w:r>
      <w:r w:rsidR="00CD7A3F">
        <w:t xml:space="preserve">(d) </w:t>
      </w:r>
      <w:r w:rsidR="00CD7A3F" w:rsidRPr="00CD7A3F">
        <w:t>FePt@MMT/10.5%</w:t>
      </w:r>
      <w:r w:rsidR="00CD7A3F">
        <w:t>,</w:t>
      </w:r>
      <w:r w:rsidR="00CD7A3F">
        <w:rPr>
          <w:rFonts w:hint="eastAsia"/>
        </w:rPr>
        <w:t xml:space="preserve"> </w:t>
      </w:r>
      <w:r w:rsidR="00CD7A3F">
        <w:t xml:space="preserve">(e) </w:t>
      </w:r>
      <w:r w:rsidR="00CD7A3F" w:rsidRPr="00CD7A3F">
        <w:t>FePt@MMT</w:t>
      </w:r>
      <w:r w:rsidR="00CD7A3F">
        <w:t>/</w:t>
      </w:r>
      <w:r w:rsidR="00CD7A3F">
        <w:rPr>
          <w:rFonts w:hint="eastAsia"/>
        </w:rPr>
        <w:t>14</w:t>
      </w:r>
      <w:r w:rsidR="00CD7A3F" w:rsidRPr="00CD7A3F">
        <w:t>%</w:t>
      </w:r>
      <w:r w:rsidR="00CD7A3F">
        <w:t>,</w:t>
      </w:r>
      <w:r w:rsidR="00CD7A3F">
        <w:rPr>
          <w:rFonts w:hint="eastAsia"/>
        </w:rPr>
        <w:t xml:space="preserve"> a</w:t>
      </w:r>
      <w:r w:rsidR="00CD7A3F">
        <w:t xml:space="preserve">nd (f) </w:t>
      </w:r>
      <w:r w:rsidR="00CD7A3F" w:rsidRPr="00CD7A3F">
        <w:t>FePt@MMT/17.5%</w:t>
      </w:r>
      <w:r w:rsidR="00CD7A3F">
        <w:rPr>
          <w:rFonts w:hint="eastAsia"/>
        </w:rPr>
        <w:t xml:space="preserve"> </w:t>
      </w:r>
      <w:r w:rsidRPr="00225242">
        <w:t>nanocomposites analysis</w:t>
      </w:r>
      <w:r w:rsidR="00CD7A3F">
        <w:t xml:space="preserve"> (Insert:</w:t>
      </w:r>
      <w:r w:rsidR="00CD7A3F" w:rsidRPr="00225242">
        <w:t xml:space="preserve"> Direct</w:t>
      </w:r>
      <w:r w:rsidR="00CD7A3F">
        <w:t xml:space="preserve"> methanol fuel cell reaction)</w:t>
      </w:r>
      <w:r w:rsidRPr="00225242">
        <w:t>.</w:t>
      </w:r>
    </w:p>
    <w:p w14:paraId="2E8CACC1" w14:textId="1673A3CF" w:rsidR="008A5CD6" w:rsidRPr="006B4C13" w:rsidRDefault="008A5CD6" w:rsidP="006B4C13">
      <w:pPr>
        <w:widowControl/>
        <w:rPr>
          <w:b/>
          <w:sz w:val="28"/>
          <w:szCs w:val="28"/>
        </w:rPr>
      </w:pPr>
      <w:r w:rsidRPr="00225242">
        <w:br w:type="page"/>
      </w:r>
    </w:p>
    <w:p w14:paraId="65CC337D" w14:textId="0F722362" w:rsidR="008A5CD6" w:rsidRPr="00225242" w:rsidRDefault="002A2505" w:rsidP="008A5CD6">
      <w:pPr>
        <w:widowControl/>
        <w:jc w:val="both"/>
        <w:rPr>
          <w:b/>
          <w:sz w:val="28"/>
          <w:szCs w:val="28"/>
        </w:rPr>
      </w:pPr>
      <w:r w:rsidRPr="002A2505">
        <w:rPr>
          <w:b/>
          <w:sz w:val="28"/>
          <w:szCs w:val="28"/>
          <w:shd w:val="clear" w:color="auto" w:fill="FFFFFF"/>
        </w:rPr>
        <w:lastRenderedPageBreak/>
        <w:t>Supporting</w:t>
      </w:r>
      <w:r w:rsidR="006B4C13">
        <w:rPr>
          <w:b/>
          <w:sz w:val="28"/>
          <w:szCs w:val="28"/>
        </w:rPr>
        <w:t xml:space="preserve"> Figure 3</w:t>
      </w:r>
    </w:p>
    <w:p w14:paraId="146F9A10" w14:textId="07083379" w:rsidR="00FF32A0" w:rsidRPr="006B4C13" w:rsidRDefault="006B4C13" w:rsidP="00FF32A0">
      <w:pPr>
        <w:widowControl/>
        <w:rPr>
          <w:b/>
          <w:sz w:val="28"/>
          <w:szCs w:val="28"/>
        </w:rPr>
      </w:pPr>
      <w:r>
        <w:rPr>
          <w:b/>
          <w:noProof/>
          <w:sz w:val="28"/>
          <w:szCs w:val="28"/>
        </w:rPr>
        <w:drawing>
          <wp:inline distT="0" distB="0" distL="0" distR="0" wp14:anchorId="6B81F06E" wp14:editId="4BC76B53">
            <wp:extent cx="6174000" cy="4676182"/>
            <wp:effectExtent l="0" t="0" r="0" b="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3">
                      <a:extLst>
                        <a:ext uri="{28A0092B-C50C-407E-A947-70E740481C1C}">
                          <a14:useLocalDpi xmlns:a14="http://schemas.microsoft.com/office/drawing/2010/main" val="0"/>
                        </a:ext>
                      </a:extLst>
                    </a:blip>
                    <a:srcRect l="5349" r="4239"/>
                    <a:stretch/>
                  </pic:blipFill>
                  <pic:spPr bwMode="auto">
                    <a:xfrm>
                      <a:off x="0" y="0"/>
                      <a:ext cx="6174000" cy="4676182"/>
                    </a:xfrm>
                    <a:prstGeom prst="rect">
                      <a:avLst/>
                    </a:prstGeom>
                    <a:noFill/>
                    <a:ln>
                      <a:noFill/>
                    </a:ln>
                    <a:extLst>
                      <a:ext uri="{53640926-AAD7-44D8-BBD7-CCE9431645EC}">
                        <a14:shadowObscured xmlns:a14="http://schemas.microsoft.com/office/drawing/2010/main"/>
                      </a:ext>
                    </a:extLst>
                  </pic:spPr>
                </pic:pic>
              </a:graphicData>
            </a:graphic>
          </wp:inline>
        </w:drawing>
      </w:r>
    </w:p>
    <w:p w14:paraId="3644AE3C" w14:textId="42A0D9FA" w:rsidR="008A5CD6" w:rsidRPr="00225242" w:rsidRDefault="006B4C13" w:rsidP="00FF32A0">
      <w:pPr>
        <w:widowControl/>
        <w:jc w:val="both"/>
      </w:pPr>
      <w:r>
        <w:rPr>
          <w:b/>
        </w:rPr>
        <w:t>Figure S3</w:t>
      </w:r>
      <w:r w:rsidR="00FF32A0" w:rsidRPr="00225242">
        <w:rPr>
          <w:b/>
        </w:rPr>
        <w:t>. Experimental results of dye adsorption with FePt@</w:t>
      </w:r>
      <w:r>
        <w:rPr>
          <w:b/>
        </w:rPr>
        <w:t>MMT</w:t>
      </w:r>
      <w:r w:rsidR="00FF32A0" w:rsidRPr="00225242">
        <w:rPr>
          <w:b/>
        </w:rPr>
        <w:t xml:space="preserve">. </w:t>
      </w:r>
      <w:r w:rsidR="00FF32A0" w:rsidRPr="00225242">
        <w:t>The change of (a and c) Congo red and (b and d) Methylene blue concentration after adding FePt@</w:t>
      </w:r>
      <w:r>
        <w:t>MMT</w:t>
      </w:r>
      <w:r w:rsidR="00FF32A0" w:rsidRPr="00225242">
        <w:t xml:space="preserve"> and CTAB-modified FePt@</w:t>
      </w:r>
      <w:r>
        <w:t>MMT</w:t>
      </w:r>
      <w:r w:rsidR="00FF32A0" w:rsidRPr="00225242">
        <w:t xml:space="preserve"> nanocomposites were measured by ultraviolet-visible absorption spectrometer to judge the ability of the sample to adsorb dye.</w:t>
      </w:r>
      <w:r w:rsidR="008A5CD6" w:rsidRPr="00225242">
        <w:br w:type="page"/>
      </w:r>
    </w:p>
    <w:p w14:paraId="633E80D6" w14:textId="06B80F90" w:rsidR="001170F9" w:rsidRPr="00225242" w:rsidRDefault="002A2505" w:rsidP="001170F9">
      <w:pPr>
        <w:widowControl/>
        <w:jc w:val="both"/>
        <w:rPr>
          <w:b/>
          <w:sz w:val="28"/>
          <w:szCs w:val="28"/>
        </w:rPr>
      </w:pPr>
      <w:r w:rsidRPr="002A2505">
        <w:rPr>
          <w:b/>
          <w:sz w:val="28"/>
          <w:szCs w:val="28"/>
          <w:shd w:val="clear" w:color="auto" w:fill="FFFFFF"/>
        </w:rPr>
        <w:lastRenderedPageBreak/>
        <w:t>Supporting</w:t>
      </w:r>
      <w:r w:rsidR="006B4C13">
        <w:rPr>
          <w:b/>
          <w:sz w:val="28"/>
          <w:szCs w:val="28"/>
        </w:rPr>
        <w:t xml:space="preserve"> Figure 4</w:t>
      </w:r>
    </w:p>
    <w:p w14:paraId="6FE18C79" w14:textId="08F5F201" w:rsidR="001170F9" w:rsidRPr="00225242" w:rsidRDefault="00EE2926" w:rsidP="001170F9">
      <w:pPr>
        <w:widowControl/>
        <w:jc w:val="center"/>
      </w:pPr>
      <w:r>
        <w:rPr>
          <w:noProof/>
        </w:rPr>
        <w:drawing>
          <wp:inline distT="0" distB="0" distL="0" distR="0" wp14:anchorId="5828E664" wp14:editId="0B6102F3">
            <wp:extent cx="5504815" cy="6496050"/>
            <wp:effectExtent l="0" t="0" r="635"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a:extLst>
                        <a:ext uri="{28A0092B-C50C-407E-A947-70E740481C1C}">
                          <a14:useLocalDpi xmlns:a14="http://schemas.microsoft.com/office/drawing/2010/main" val="0"/>
                        </a:ext>
                      </a:extLst>
                    </a:blip>
                    <a:srcRect l="3857" r="6963" b="2472"/>
                    <a:stretch/>
                  </pic:blipFill>
                  <pic:spPr bwMode="auto">
                    <a:xfrm>
                      <a:off x="0" y="0"/>
                      <a:ext cx="5505190" cy="6496493"/>
                    </a:xfrm>
                    <a:prstGeom prst="rect">
                      <a:avLst/>
                    </a:prstGeom>
                    <a:noFill/>
                    <a:ln>
                      <a:noFill/>
                    </a:ln>
                    <a:extLst>
                      <a:ext uri="{53640926-AAD7-44D8-BBD7-CCE9431645EC}">
                        <a14:shadowObscured xmlns:a14="http://schemas.microsoft.com/office/drawing/2010/main"/>
                      </a:ext>
                    </a:extLst>
                  </pic:spPr>
                </pic:pic>
              </a:graphicData>
            </a:graphic>
          </wp:inline>
        </w:drawing>
      </w:r>
    </w:p>
    <w:p w14:paraId="5347D217" w14:textId="3D36ACFC" w:rsidR="00717DF2" w:rsidRDefault="006B4C13" w:rsidP="006B4C13">
      <w:pPr>
        <w:widowControl/>
        <w:jc w:val="both"/>
      </w:pPr>
      <w:r>
        <w:rPr>
          <w:b/>
        </w:rPr>
        <w:t>Figure S4</w:t>
      </w:r>
      <w:r w:rsidR="001170F9" w:rsidRPr="00225242">
        <w:rPr>
          <w:b/>
        </w:rPr>
        <w:t xml:space="preserve">. </w:t>
      </w:r>
      <w:r w:rsidR="008D7FFE" w:rsidRPr="00225242">
        <w:rPr>
          <w:b/>
        </w:rPr>
        <w:t>Cell viability analysis</w:t>
      </w:r>
      <w:r w:rsidR="001170F9" w:rsidRPr="00225242">
        <w:rPr>
          <w:b/>
        </w:rPr>
        <w:t xml:space="preserve">. </w:t>
      </w:r>
      <w:r w:rsidR="008D7FFE" w:rsidRPr="00225242">
        <w:t>The toxicity of FePt NPs and FePt@</w:t>
      </w:r>
      <w:r>
        <w:t>MMT</w:t>
      </w:r>
      <w:r w:rsidR="008D7FFE" w:rsidRPr="00225242">
        <w:t xml:space="preserve"> nanocomposites were tested and stored at different concentrations for 48 hours. The results showed that the effect of different concentrations on cell viability was not significantly reduced, and the cell survival rate was maintained above 80%. Prove that FePt NPs and FePt@</w:t>
      </w:r>
      <w:r>
        <w:t>MMT</w:t>
      </w:r>
      <w:r w:rsidR="008D7FFE" w:rsidRPr="00225242">
        <w:t xml:space="preserve"> nanocomposites have good biocompatibility</w:t>
      </w:r>
      <w:r w:rsidR="00C6108E">
        <w:rPr>
          <w:rFonts w:hint="eastAsia"/>
        </w:rPr>
        <w:t xml:space="preserve"> in (</w:t>
      </w:r>
      <w:r w:rsidR="00C6108E">
        <w:t>a, c</w:t>
      </w:r>
      <w:r w:rsidR="00C6108E">
        <w:rPr>
          <w:rFonts w:hint="eastAsia"/>
        </w:rPr>
        <w:t>)</w:t>
      </w:r>
      <w:r w:rsidR="00C6108E">
        <w:t xml:space="preserve"> Mahlavu, (b, d) SK-Hep1, and (e) 293T</w:t>
      </w:r>
      <w:r w:rsidR="008D7FFE" w:rsidRPr="00225242">
        <w:t>.</w:t>
      </w:r>
      <w:r w:rsidR="00C6108E">
        <w:t xml:space="preserve"> Moreover, the different treatment groups were evaluated the (f) cell toxicity of 293T.</w:t>
      </w:r>
    </w:p>
    <w:p w14:paraId="7545BD22" w14:textId="77777777" w:rsidR="00717DF2" w:rsidRDefault="00717DF2">
      <w:pPr>
        <w:widowControl/>
      </w:pPr>
      <w:r>
        <w:br w:type="page"/>
      </w:r>
    </w:p>
    <w:p w14:paraId="75F41AD5" w14:textId="5B233DA3" w:rsidR="00717DF2" w:rsidRPr="00225242" w:rsidRDefault="00717DF2" w:rsidP="00717DF2">
      <w:pPr>
        <w:widowControl/>
        <w:jc w:val="both"/>
        <w:rPr>
          <w:b/>
          <w:sz w:val="28"/>
          <w:szCs w:val="28"/>
        </w:rPr>
      </w:pPr>
      <w:r w:rsidRPr="002A2505">
        <w:rPr>
          <w:b/>
          <w:sz w:val="28"/>
          <w:szCs w:val="28"/>
          <w:shd w:val="clear" w:color="auto" w:fill="FFFFFF"/>
        </w:rPr>
        <w:lastRenderedPageBreak/>
        <w:t>Supporting</w:t>
      </w:r>
      <w:r>
        <w:rPr>
          <w:b/>
          <w:sz w:val="28"/>
          <w:szCs w:val="28"/>
        </w:rPr>
        <w:t xml:space="preserve"> Figure 5</w:t>
      </w:r>
    </w:p>
    <w:p w14:paraId="4EBD8DB9" w14:textId="12F9F956" w:rsidR="002A2505" w:rsidRDefault="009F293C" w:rsidP="00C04D4B">
      <w:pPr>
        <w:widowControl/>
        <w:jc w:val="center"/>
      </w:pPr>
      <w:bookmarkStart w:id="0" w:name="_GoBack"/>
      <w:r>
        <w:rPr>
          <w:noProof/>
        </w:rPr>
        <w:pict w14:anchorId="539EA6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4.5pt;height:574.1pt">
            <v:imagedata r:id="rId15" o:title="Figure S5"/>
          </v:shape>
        </w:pict>
      </w:r>
      <w:bookmarkEnd w:id="0"/>
    </w:p>
    <w:p w14:paraId="4AA90C21" w14:textId="4106E425" w:rsidR="00717DF2" w:rsidRDefault="00717DF2" w:rsidP="00717DF2">
      <w:pPr>
        <w:widowControl/>
        <w:jc w:val="both"/>
      </w:pPr>
      <w:r>
        <w:rPr>
          <w:b/>
        </w:rPr>
        <w:t>Figure S5</w:t>
      </w:r>
      <w:r w:rsidRPr="00225242">
        <w:rPr>
          <w:b/>
        </w:rPr>
        <w:t>.</w:t>
      </w:r>
      <w:r>
        <w:rPr>
          <w:b/>
        </w:rPr>
        <w:t xml:space="preserve"> Long-term IVIS results of orthotopic implant-</w:t>
      </w:r>
      <w:r w:rsidR="00C04D4B">
        <w:rPr>
          <w:b/>
        </w:rPr>
        <w:t>Mahlavu/</w:t>
      </w:r>
      <w:r>
        <w:rPr>
          <w:b/>
        </w:rPr>
        <w:t>SK</w:t>
      </w:r>
      <w:r w:rsidR="00C04D4B">
        <w:rPr>
          <w:b/>
        </w:rPr>
        <w:t>-</w:t>
      </w:r>
      <w:r>
        <w:rPr>
          <w:rFonts w:hint="eastAsia"/>
          <w:b/>
        </w:rPr>
        <w:t>He</w:t>
      </w:r>
      <w:r>
        <w:rPr>
          <w:b/>
        </w:rPr>
        <w:t>p1 cells for</w:t>
      </w:r>
      <w:r w:rsidRPr="00225242">
        <w:rPr>
          <w:b/>
        </w:rPr>
        <w:t xml:space="preserve"> </w:t>
      </w:r>
      <w:r>
        <w:rPr>
          <w:b/>
        </w:rPr>
        <w:t>6 weeks’ evaluation</w:t>
      </w:r>
      <w:r w:rsidRPr="00225242">
        <w:rPr>
          <w:b/>
        </w:rPr>
        <w:t xml:space="preserve">. </w:t>
      </w:r>
      <w:r w:rsidR="00C04D4B">
        <w:t>(a) A</w:t>
      </w:r>
      <w:r w:rsidR="00537890" w:rsidRPr="00537890">
        <w:t xml:space="preserve"> total of four groups of mice were Control, MIT, FePt@MMT and FePt@MMT-MIT for IVIS long-term tracking</w:t>
      </w:r>
      <w:r w:rsidR="00C04D4B">
        <w:t xml:space="preserve"> with the </w:t>
      </w:r>
      <w:r w:rsidR="00C04D4B" w:rsidRPr="00C04D4B">
        <w:t>Mahlavu</w:t>
      </w:r>
      <w:r w:rsidR="00C04D4B">
        <w:t xml:space="preserve"> HCC cell line</w:t>
      </w:r>
      <w:r w:rsidR="00537890" w:rsidRPr="00537890">
        <w:t>.</w:t>
      </w:r>
      <w:r w:rsidR="00C04D4B">
        <w:t xml:space="preserve"> Orthotopic SK-Hep1 cell line implant and evaluate with the (b) IVIS result and photo imagines of liver tissues. (c) The H&amp;E staining of o</w:t>
      </w:r>
      <w:r w:rsidR="00C04D4B" w:rsidRPr="00C04D4B">
        <w:t>rthotopic SK-Hep1</w:t>
      </w:r>
      <w:r w:rsidR="00C04D4B">
        <w:t xml:space="preserve"> liver tissues.</w:t>
      </w:r>
    </w:p>
    <w:p w14:paraId="10A45F67" w14:textId="25CFCA73" w:rsidR="002A2505" w:rsidRDefault="002A2505">
      <w:pPr>
        <w:widowControl/>
        <w:rPr>
          <w:b/>
          <w:sz w:val="28"/>
          <w:szCs w:val="28"/>
        </w:rPr>
      </w:pPr>
      <w:r>
        <w:br w:type="page"/>
      </w:r>
      <w:r w:rsidRPr="002A2505">
        <w:rPr>
          <w:b/>
          <w:sz w:val="28"/>
          <w:szCs w:val="28"/>
          <w:shd w:val="clear" w:color="auto" w:fill="FFFFFF"/>
        </w:rPr>
        <w:lastRenderedPageBreak/>
        <w:t>Supporting</w:t>
      </w:r>
      <w:r>
        <w:rPr>
          <w:b/>
          <w:sz w:val="28"/>
          <w:szCs w:val="28"/>
        </w:rPr>
        <w:t xml:space="preserve"> Table 1</w:t>
      </w:r>
    </w:p>
    <w:p w14:paraId="30965428" w14:textId="66F36863" w:rsidR="002A2505" w:rsidRDefault="002A2505">
      <w:pPr>
        <w:widowControl/>
      </w:pPr>
    </w:p>
    <w:p w14:paraId="54CAFD6F" w14:textId="08CDC8C3" w:rsidR="002A2505" w:rsidRDefault="002A2505" w:rsidP="002A2505">
      <w:pPr>
        <w:widowControl/>
        <w:jc w:val="center"/>
      </w:pPr>
      <w:r w:rsidRPr="002A2505">
        <w:rPr>
          <w:b/>
        </w:rPr>
        <w:t>Table 1.</w:t>
      </w:r>
      <w:r>
        <w:t xml:space="preserve"> </w:t>
      </w:r>
      <w:r w:rsidRPr="002A2505">
        <w:t>Ms, Δ</w:t>
      </w:r>
      <w:r>
        <w:t>T/Δt and SAR values of FePt NPs and</w:t>
      </w:r>
      <w:r w:rsidRPr="002A2505">
        <w:t xml:space="preserve"> FePt@MMT nanocomposites</w:t>
      </w:r>
      <w:r>
        <w:t>.</w:t>
      </w:r>
    </w:p>
    <w:tbl>
      <w:tblPr>
        <w:tblStyle w:val="af"/>
        <w:tblW w:w="0" w:type="auto"/>
        <w:jc w:val="center"/>
        <w:tblLook w:val="04A0" w:firstRow="1" w:lastRow="0" w:firstColumn="1" w:lastColumn="0" w:noHBand="0" w:noVBand="1"/>
      </w:tblPr>
      <w:tblGrid>
        <w:gridCol w:w="2259"/>
        <w:gridCol w:w="923"/>
        <w:gridCol w:w="847"/>
        <w:gridCol w:w="1003"/>
        <w:gridCol w:w="876"/>
        <w:gridCol w:w="803"/>
      </w:tblGrid>
      <w:tr w:rsidR="002A2505" w:rsidRPr="002A2505" w14:paraId="0D3A6B3F" w14:textId="77777777" w:rsidTr="00F5270E">
        <w:trPr>
          <w:jc w:val="center"/>
        </w:trPr>
        <w:tc>
          <w:tcPr>
            <w:tcW w:w="0" w:type="auto"/>
            <w:shd w:val="clear" w:color="auto" w:fill="FFFF00"/>
            <w:vAlign w:val="center"/>
          </w:tcPr>
          <w:p w14:paraId="0CECADB1"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Sample</w:t>
            </w:r>
          </w:p>
        </w:tc>
        <w:tc>
          <w:tcPr>
            <w:tcW w:w="0" w:type="auto"/>
            <w:shd w:val="clear" w:color="auto" w:fill="FFFF00"/>
            <w:vAlign w:val="center"/>
          </w:tcPr>
          <w:p w14:paraId="6ED00669" w14:textId="77777777" w:rsidR="002A2505" w:rsidRPr="002A2505" w:rsidRDefault="002A2505" w:rsidP="00F5270E">
            <w:pPr>
              <w:jc w:val="center"/>
              <w:rPr>
                <w:b/>
              </w:rPr>
            </w:pPr>
            <w:r w:rsidRPr="002A2505">
              <w:rPr>
                <w:b/>
              </w:rPr>
              <w:t>m</w:t>
            </w:r>
            <w:r w:rsidRPr="002A2505">
              <w:rPr>
                <w:b/>
                <w:vertAlign w:val="subscript"/>
              </w:rPr>
              <w:t>Sample</w:t>
            </w:r>
          </w:p>
          <w:p w14:paraId="3D92E34E" w14:textId="77777777" w:rsidR="002A2505" w:rsidRPr="002A2505" w:rsidRDefault="002A2505" w:rsidP="00F5270E">
            <w:pPr>
              <w:jc w:val="center"/>
              <w:rPr>
                <w:b/>
              </w:rPr>
            </w:pPr>
            <w:r w:rsidRPr="002A2505">
              <w:rPr>
                <w:b/>
              </w:rPr>
              <w:t>(g)</w:t>
            </w:r>
          </w:p>
        </w:tc>
        <w:tc>
          <w:tcPr>
            <w:tcW w:w="0" w:type="auto"/>
            <w:shd w:val="clear" w:color="auto" w:fill="FFFF00"/>
            <w:vAlign w:val="center"/>
          </w:tcPr>
          <w:p w14:paraId="4726F63C" w14:textId="77777777" w:rsidR="002A2505" w:rsidRPr="002A2505" w:rsidRDefault="002A2505" w:rsidP="00F5270E">
            <w:pPr>
              <w:jc w:val="center"/>
              <w:rPr>
                <w:b/>
              </w:rPr>
            </w:pPr>
            <w:r w:rsidRPr="002A2505">
              <w:rPr>
                <w:b/>
              </w:rPr>
              <w:t>m</w:t>
            </w:r>
            <w:r w:rsidRPr="002A2505">
              <w:rPr>
                <w:rFonts w:hint="eastAsia"/>
                <w:b/>
                <w:vertAlign w:val="subscript"/>
              </w:rPr>
              <w:t>water</w:t>
            </w:r>
          </w:p>
          <w:p w14:paraId="3CC13FE7" w14:textId="77777777" w:rsidR="002A2505" w:rsidRPr="002A2505" w:rsidRDefault="002A2505" w:rsidP="00F5270E">
            <w:pPr>
              <w:jc w:val="center"/>
              <w:rPr>
                <w:b/>
              </w:rPr>
            </w:pPr>
            <w:r w:rsidRPr="002A2505">
              <w:rPr>
                <w:b/>
              </w:rPr>
              <w:t>(L)</w:t>
            </w:r>
          </w:p>
        </w:tc>
        <w:tc>
          <w:tcPr>
            <w:tcW w:w="0" w:type="auto"/>
            <w:shd w:val="clear" w:color="auto" w:fill="FFFF00"/>
            <w:vAlign w:val="center"/>
          </w:tcPr>
          <w:p w14:paraId="5CBD4E2B" w14:textId="77777777" w:rsidR="002A2505" w:rsidRPr="002A2505" w:rsidRDefault="002A2505" w:rsidP="00F5270E">
            <w:pPr>
              <w:jc w:val="center"/>
              <w:rPr>
                <w:b/>
                <w:vertAlign w:val="subscript"/>
              </w:rPr>
            </w:pPr>
            <w:r w:rsidRPr="002A2505">
              <w:rPr>
                <w:b/>
              </w:rPr>
              <w:t>M</w:t>
            </w:r>
            <w:r w:rsidRPr="002A2505">
              <w:rPr>
                <w:b/>
                <w:vertAlign w:val="subscript"/>
              </w:rPr>
              <w:t>s</w:t>
            </w:r>
          </w:p>
          <w:p w14:paraId="656CABE0" w14:textId="77777777" w:rsidR="002A2505" w:rsidRPr="002A2505" w:rsidRDefault="002A2505" w:rsidP="00F5270E">
            <w:pPr>
              <w:jc w:val="center"/>
              <w:rPr>
                <w:b/>
              </w:rPr>
            </w:pPr>
            <w:r w:rsidRPr="002A2505">
              <w:rPr>
                <w:b/>
              </w:rPr>
              <w:t>(emu/g)</w:t>
            </w:r>
          </w:p>
        </w:tc>
        <w:tc>
          <w:tcPr>
            <w:tcW w:w="0" w:type="auto"/>
            <w:shd w:val="clear" w:color="auto" w:fill="FFFF00"/>
            <w:vAlign w:val="center"/>
          </w:tcPr>
          <w:p w14:paraId="150A8B91" w14:textId="77777777" w:rsidR="002A2505" w:rsidRPr="002A2505" w:rsidRDefault="002A2505" w:rsidP="00F5270E">
            <w:pPr>
              <w:pStyle w:val="af0"/>
              <w:kinsoku w:val="0"/>
              <w:overflowPunct w:val="0"/>
              <w:spacing w:after="120"/>
              <w:jc w:val="center"/>
              <w:rPr>
                <w:rFonts w:ascii="Times New Roman" w:hAnsi="Times New Roman" w:cs="Times New Roman"/>
                <w:b/>
                <w:sz w:val="24"/>
                <w:szCs w:val="24"/>
              </w:rPr>
            </w:pPr>
            <w:r w:rsidRPr="002A2505">
              <w:rPr>
                <w:rFonts w:ascii="Times New Roman" w:eastAsia="SimSun" w:hAnsi="Times New Roman" w:cs="Times New Roman"/>
                <w:b/>
                <w:sz w:val="24"/>
                <w:szCs w:val="24"/>
              </w:rPr>
              <w:t>Δ</w:t>
            </w:r>
            <w:r w:rsidRPr="002A2505">
              <w:rPr>
                <w:rFonts w:ascii="Times New Roman" w:hAnsi="Times New Roman" w:cs="Times New Roman"/>
                <w:b/>
                <w:sz w:val="24"/>
                <w:szCs w:val="24"/>
              </w:rPr>
              <w:t>T/</w:t>
            </w:r>
            <w:r w:rsidRPr="002A2505">
              <w:rPr>
                <w:rFonts w:ascii="Times New Roman" w:eastAsia="SimSun" w:hAnsi="Times New Roman" w:cs="Times New Roman"/>
                <w:b/>
                <w:sz w:val="24"/>
                <w:szCs w:val="24"/>
              </w:rPr>
              <w:t>Δ</w:t>
            </w:r>
            <w:r w:rsidRPr="002A2505">
              <w:rPr>
                <w:rFonts w:ascii="Times New Roman" w:hAnsi="Times New Roman" w:cs="Times New Roman"/>
                <w:b/>
                <w:sz w:val="24"/>
                <w:szCs w:val="24"/>
              </w:rPr>
              <w:t>t</w:t>
            </w:r>
          </w:p>
          <w:p w14:paraId="5098EF53" w14:textId="77777777" w:rsidR="002A2505" w:rsidRPr="002A2505" w:rsidRDefault="002A2505" w:rsidP="00F5270E">
            <w:pPr>
              <w:jc w:val="center"/>
              <w:rPr>
                <w:b/>
              </w:rPr>
            </w:pPr>
            <w:r w:rsidRPr="002A2505">
              <w:rPr>
                <w:b/>
              </w:rPr>
              <w:t>(</w:t>
            </w:r>
            <w:r w:rsidRPr="002A2505">
              <w:rPr>
                <w:rFonts w:eastAsia="SimSun"/>
                <w:b/>
              </w:rPr>
              <w:t>℃</w:t>
            </w:r>
            <w:r w:rsidRPr="002A2505">
              <w:rPr>
                <w:b/>
              </w:rPr>
              <w:t>/s)</w:t>
            </w:r>
          </w:p>
        </w:tc>
        <w:tc>
          <w:tcPr>
            <w:tcW w:w="0" w:type="auto"/>
            <w:shd w:val="clear" w:color="auto" w:fill="FFFF00"/>
            <w:vAlign w:val="center"/>
          </w:tcPr>
          <w:p w14:paraId="16221F18" w14:textId="77777777" w:rsidR="002A2505" w:rsidRPr="002A2505" w:rsidRDefault="002A2505" w:rsidP="00F5270E">
            <w:pPr>
              <w:jc w:val="center"/>
              <w:rPr>
                <w:b/>
              </w:rPr>
            </w:pPr>
            <w:r w:rsidRPr="002A2505">
              <w:rPr>
                <w:b/>
              </w:rPr>
              <w:t>SAR</w:t>
            </w:r>
          </w:p>
          <w:p w14:paraId="360F8A53" w14:textId="77777777" w:rsidR="002A2505" w:rsidRPr="002A2505" w:rsidRDefault="002A2505" w:rsidP="00F5270E">
            <w:pPr>
              <w:jc w:val="center"/>
              <w:rPr>
                <w:b/>
              </w:rPr>
            </w:pPr>
            <w:r w:rsidRPr="002A2505">
              <w:rPr>
                <w:b/>
              </w:rPr>
              <w:t>(W/g)</w:t>
            </w:r>
          </w:p>
        </w:tc>
      </w:tr>
      <w:tr w:rsidR="002A2505" w:rsidRPr="002A2505" w14:paraId="3571AA03" w14:textId="77777777" w:rsidTr="00F5270E">
        <w:trPr>
          <w:jc w:val="center"/>
        </w:trPr>
        <w:tc>
          <w:tcPr>
            <w:tcW w:w="0" w:type="auto"/>
            <w:vAlign w:val="center"/>
          </w:tcPr>
          <w:p w14:paraId="1531023E"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FePt NPs</w:t>
            </w:r>
          </w:p>
        </w:tc>
        <w:tc>
          <w:tcPr>
            <w:tcW w:w="0" w:type="auto"/>
            <w:vAlign w:val="center"/>
          </w:tcPr>
          <w:p w14:paraId="142FBA66"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6×10</w:t>
            </w:r>
            <w:r w:rsidRPr="002A2505">
              <w:rPr>
                <w:rFonts w:ascii="Times New Roman" w:eastAsia="標楷體" w:hAnsi="Times New Roman" w:cs="Times New Roman"/>
                <w:b/>
                <w:sz w:val="24"/>
                <w:szCs w:val="24"/>
                <w:vertAlign w:val="superscript"/>
              </w:rPr>
              <w:t>-3</w:t>
            </w:r>
          </w:p>
        </w:tc>
        <w:tc>
          <w:tcPr>
            <w:tcW w:w="0" w:type="auto"/>
            <w:vAlign w:val="center"/>
          </w:tcPr>
          <w:p w14:paraId="060EA58A"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hint="eastAsia"/>
                <w:b/>
                <w:sz w:val="24"/>
                <w:szCs w:val="24"/>
              </w:rPr>
              <w:t>1</w:t>
            </w:r>
            <w:r w:rsidRPr="002A2505">
              <w:rPr>
                <w:rFonts w:ascii="Times New Roman" w:eastAsia="標楷體" w:hAnsi="Times New Roman" w:cs="Times New Roman"/>
                <w:b/>
                <w:sz w:val="24"/>
                <w:szCs w:val="24"/>
              </w:rPr>
              <w:t>×10</w:t>
            </w:r>
            <w:r w:rsidRPr="002A2505">
              <w:rPr>
                <w:rFonts w:ascii="Times New Roman" w:eastAsia="標楷體" w:hAnsi="Times New Roman" w:cs="Times New Roman"/>
                <w:b/>
                <w:sz w:val="24"/>
                <w:szCs w:val="24"/>
                <w:vertAlign w:val="superscript"/>
              </w:rPr>
              <w:t>-3</w:t>
            </w:r>
          </w:p>
        </w:tc>
        <w:tc>
          <w:tcPr>
            <w:tcW w:w="0" w:type="auto"/>
            <w:vAlign w:val="center"/>
          </w:tcPr>
          <w:p w14:paraId="7AF1415F"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14.67</w:t>
            </w:r>
          </w:p>
        </w:tc>
        <w:tc>
          <w:tcPr>
            <w:tcW w:w="0" w:type="auto"/>
            <w:vAlign w:val="center"/>
          </w:tcPr>
          <w:p w14:paraId="1465DA17"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0.0193</w:t>
            </w:r>
          </w:p>
        </w:tc>
        <w:tc>
          <w:tcPr>
            <w:tcW w:w="0" w:type="auto"/>
            <w:vAlign w:val="center"/>
          </w:tcPr>
          <w:p w14:paraId="226C7282"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13.37</w:t>
            </w:r>
          </w:p>
        </w:tc>
      </w:tr>
      <w:tr w:rsidR="002A2505" w:rsidRPr="002A2505" w14:paraId="33864969" w14:textId="77777777" w:rsidTr="00F5270E">
        <w:trPr>
          <w:jc w:val="center"/>
        </w:trPr>
        <w:tc>
          <w:tcPr>
            <w:tcW w:w="0" w:type="auto"/>
            <w:vAlign w:val="center"/>
          </w:tcPr>
          <w:p w14:paraId="64940530" w14:textId="55982CA2"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FePt@MMT/3.5%</w:t>
            </w:r>
          </w:p>
        </w:tc>
        <w:tc>
          <w:tcPr>
            <w:tcW w:w="0" w:type="auto"/>
            <w:vAlign w:val="center"/>
          </w:tcPr>
          <w:p w14:paraId="1D97E2F3"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6×10</w:t>
            </w:r>
            <w:r w:rsidRPr="002A2505">
              <w:rPr>
                <w:rFonts w:ascii="Times New Roman" w:eastAsia="標楷體" w:hAnsi="Times New Roman" w:cs="Times New Roman"/>
                <w:b/>
                <w:sz w:val="24"/>
                <w:szCs w:val="24"/>
                <w:vertAlign w:val="superscript"/>
              </w:rPr>
              <w:t>-3</w:t>
            </w:r>
          </w:p>
        </w:tc>
        <w:tc>
          <w:tcPr>
            <w:tcW w:w="0" w:type="auto"/>
            <w:vAlign w:val="center"/>
          </w:tcPr>
          <w:p w14:paraId="66EA35F4"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hint="eastAsia"/>
                <w:b/>
                <w:sz w:val="24"/>
                <w:szCs w:val="24"/>
              </w:rPr>
              <w:t>1</w:t>
            </w:r>
            <w:r w:rsidRPr="002A2505">
              <w:rPr>
                <w:rFonts w:ascii="Times New Roman" w:eastAsia="標楷體" w:hAnsi="Times New Roman" w:cs="Times New Roman"/>
                <w:b/>
                <w:sz w:val="24"/>
                <w:szCs w:val="24"/>
              </w:rPr>
              <w:t>×10</w:t>
            </w:r>
            <w:r w:rsidRPr="002A2505">
              <w:rPr>
                <w:rFonts w:ascii="Times New Roman" w:eastAsia="標楷體" w:hAnsi="Times New Roman" w:cs="Times New Roman"/>
                <w:b/>
                <w:sz w:val="24"/>
                <w:szCs w:val="24"/>
                <w:vertAlign w:val="superscript"/>
              </w:rPr>
              <w:t>-3</w:t>
            </w:r>
          </w:p>
        </w:tc>
        <w:tc>
          <w:tcPr>
            <w:tcW w:w="0" w:type="auto"/>
            <w:vAlign w:val="center"/>
          </w:tcPr>
          <w:p w14:paraId="4224BBE4"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17.21</w:t>
            </w:r>
          </w:p>
        </w:tc>
        <w:tc>
          <w:tcPr>
            <w:tcW w:w="0" w:type="auto"/>
            <w:vAlign w:val="center"/>
          </w:tcPr>
          <w:p w14:paraId="1648E309"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0.0303</w:t>
            </w:r>
          </w:p>
        </w:tc>
        <w:tc>
          <w:tcPr>
            <w:tcW w:w="0" w:type="auto"/>
            <w:vAlign w:val="center"/>
          </w:tcPr>
          <w:p w14:paraId="053A9582"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21.02</w:t>
            </w:r>
          </w:p>
        </w:tc>
      </w:tr>
      <w:tr w:rsidR="002A2505" w:rsidRPr="002A2505" w14:paraId="136885A2" w14:textId="77777777" w:rsidTr="00F5270E">
        <w:trPr>
          <w:jc w:val="center"/>
        </w:trPr>
        <w:tc>
          <w:tcPr>
            <w:tcW w:w="0" w:type="auto"/>
            <w:vAlign w:val="center"/>
          </w:tcPr>
          <w:p w14:paraId="41BB08ED" w14:textId="560F3C6C" w:rsidR="002A2505" w:rsidRPr="002A2505" w:rsidRDefault="002A2505" w:rsidP="00F5270E">
            <w:pPr>
              <w:jc w:val="center"/>
            </w:pPr>
            <w:r w:rsidRPr="002A2505">
              <w:rPr>
                <w:rFonts w:eastAsia="標楷體"/>
                <w:b/>
              </w:rPr>
              <w:t>FePt@MMT/7%</w:t>
            </w:r>
          </w:p>
        </w:tc>
        <w:tc>
          <w:tcPr>
            <w:tcW w:w="0" w:type="auto"/>
            <w:vAlign w:val="center"/>
          </w:tcPr>
          <w:p w14:paraId="3F524663"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6×10</w:t>
            </w:r>
            <w:r w:rsidRPr="002A2505">
              <w:rPr>
                <w:rFonts w:ascii="Times New Roman" w:eastAsia="標楷體" w:hAnsi="Times New Roman" w:cs="Times New Roman"/>
                <w:b/>
                <w:sz w:val="24"/>
                <w:szCs w:val="24"/>
                <w:vertAlign w:val="superscript"/>
              </w:rPr>
              <w:t>-3</w:t>
            </w:r>
          </w:p>
        </w:tc>
        <w:tc>
          <w:tcPr>
            <w:tcW w:w="0" w:type="auto"/>
            <w:vAlign w:val="center"/>
          </w:tcPr>
          <w:p w14:paraId="52631915"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hint="eastAsia"/>
                <w:b/>
                <w:sz w:val="24"/>
                <w:szCs w:val="24"/>
              </w:rPr>
              <w:t>1</w:t>
            </w:r>
            <w:r w:rsidRPr="002A2505">
              <w:rPr>
                <w:rFonts w:ascii="Times New Roman" w:eastAsia="標楷體" w:hAnsi="Times New Roman" w:cs="Times New Roman"/>
                <w:b/>
                <w:sz w:val="24"/>
                <w:szCs w:val="24"/>
              </w:rPr>
              <w:t>×10</w:t>
            </w:r>
            <w:r w:rsidRPr="002A2505">
              <w:rPr>
                <w:rFonts w:ascii="Times New Roman" w:eastAsia="標楷體" w:hAnsi="Times New Roman" w:cs="Times New Roman"/>
                <w:b/>
                <w:sz w:val="24"/>
                <w:szCs w:val="24"/>
                <w:vertAlign w:val="superscript"/>
              </w:rPr>
              <w:t>-3</w:t>
            </w:r>
          </w:p>
        </w:tc>
        <w:tc>
          <w:tcPr>
            <w:tcW w:w="0" w:type="auto"/>
            <w:vAlign w:val="center"/>
          </w:tcPr>
          <w:p w14:paraId="3EC621A8"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19.69</w:t>
            </w:r>
          </w:p>
        </w:tc>
        <w:tc>
          <w:tcPr>
            <w:tcW w:w="0" w:type="auto"/>
            <w:vAlign w:val="center"/>
          </w:tcPr>
          <w:p w14:paraId="5205FA81"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0.0341</w:t>
            </w:r>
          </w:p>
        </w:tc>
        <w:tc>
          <w:tcPr>
            <w:tcW w:w="0" w:type="auto"/>
            <w:vAlign w:val="center"/>
          </w:tcPr>
          <w:p w14:paraId="4A6803D9"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23.64</w:t>
            </w:r>
          </w:p>
        </w:tc>
      </w:tr>
      <w:tr w:rsidR="002A2505" w:rsidRPr="002A2505" w14:paraId="03DCC94A" w14:textId="77777777" w:rsidTr="00F5270E">
        <w:trPr>
          <w:jc w:val="center"/>
        </w:trPr>
        <w:tc>
          <w:tcPr>
            <w:tcW w:w="0" w:type="auto"/>
            <w:vAlign w:val="center"/>
          </w:tcPr>
          <w:p w14:paraId="2BDB5D9D" w14:textId="3FB0FFA5" w:rsidR="002A2505" w:rsidRPr="002A2505" w:rsidRDefault="002A2505" w:rsidP="00F5270E">
            <w:pPr>
              <w:jc w:val="center"/>
            </w:pPr>
            <w:r w:rsidRPr="002A2505">
              <w:rPr>
                <w:rFonts w:eastAsia="標楷體"/>
                <w:b/>
              </w:rPr>
              <w:t>FePt@MMT/10.5%</w:t>
            </w:r>
          </w:p>
        </w:tc>
        <w:tc>
          <w:tcPr>
            <w:tcW w:w="0" w:type="auto"/>
            <w:vAlign w:val="center"/>
          </w:tcPr>
          <w:p w14:paraId="19A307A2"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6×10</w:t>
            </w:r>
            <w:r w:rsidRPr="002A2505">
              <w:rPr>
                <w:rFonts w:ascii="Times New Roman" w:eastAsia="標楷體" w:hAnsi="Times New Roman" w:cs="Times New Roman"/>
                <w:b/>
                <w:sz w:val="24"/>
                <w:szCs w:val="24"/>
                <w:vertAlign w:val="superscript"/>
              </w:rPr>
              <w:t>-3</w:t>
            </w:r>
          </w:p>
        </w:tc>
        <w:tc>
          <w:tcPr>
            <w:tcW w:w="0" w:type="auto"/>
            <w:vAlign w:val="center"/>
          </w:tcPr>
          <w:p w14:paraId="1E68A327"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hint="eastAsia"/>
                <w:b/>
                <w:sz w:val="24"/>
                <w:szCs w:val="24"/>
              </w:rPr>
              <w:t>1</w:t>
            </w:r>
            <w:r w:rsidRPr="002A2505">
              <w:rPr>
                <w:rFonts w:ascii="Times New Roman" w:eastAsia="標楷體" w:hAnsi="Times New Roman" w:cs="Times New Roman"/>
                <w:b/>
                <w:sz w:val="24"/>
                <w:szCs w:val="24"/>
              </w:rPr>
              <w:t>×10</w:t>
            </w:r>
            <w:r w:rsidRPr="002A2505">
              <w:rPr>
                <w:rFonts w:ascii="Times New Roman" w:eastAsia="標楷體" w:hAnsi="Times New Roman" w:cs="Times New Roman"/>
                <w:b/>
                <w:sz w:val="24"/>
                <w:szCs w:val="24"/>
                <w:vertAlign w:val="superscript"/>
              </w:rPr>
              <w:t>-3</w:t>
            </w:r>
          </w:p>
        </w:tc>
        <w:tc>
          <w:tcPr>
            <w:tcW w:w="0" w:type="auto"/>
            <w:vAlign w:val="center"/>
          </w:tcPr>
          <w:p w14:paraId="2F47C5B8"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24.54</w:t>
            </w:r>
          </w:p>
        </w:tc>
        <w:tc>
          <w:tcPr>
            <w:tcW w:w="0" w:type="auto"/>
            <w:vAlign w:val="center"/>
          </w:tcPr>
          <w:p w14:paraId="6F78E04F"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0.0574</w:t>
            </w:r>
          </w:p>
        </w:tc>
        <w:tc>
          <w:tcPr>
            <w:tcW w:w="0" w:type="auto"/>
            <w:vAlign w:val="center"/>
          </w:tcPr>
          <w:p w14:paraId="0B4226F2"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39.74</w:t>
            </w:r>
          </w:p>
        </w:tc>
      </w:tr>
      <w:tr w:rsidR="002A2505" w:rsidRPr="002A2505" w14:paraId="2F6BC481" w14:textId="77777777" w:rsidTr="00F5270E">
        <w:trPr>
          <w:jc w:val="center"/>
        </w:trPr>
        <w:tc>
          <w:tcPr>
            <w:tcW w:w="0" w:type="auto"/>
            <w:vAlign w:val="center"/>
          </w:tcPr>
          <w:p w14:paraId="4822D846" w14:textId="13FB0136" w:rsidR="002A2505" w:rsidRPr="002A2505" w:rsidRDefault="002A2505" w:rsidP="00F5270E">
            <w:pPr>
              <w:jc w:val="center"/>
            </w:pPr>
            <w:r w:rsidRPr="002A2505">
              <w:rPr>
                <w:rFonts w:eastAsia="標楷體"/>
                <w:b/>
              </w:rPr>
              <w:t>FePt@MMT/14%</w:t>
            </w:r>
          </w:p>
        </w:tc>
        <w:tc>
          <w:tcPr>
            <w:tcW w:w="0" w:type="auto"/>
            <w:vAlign w:val="center"/>
          </w:tcPr>
          <w:p w14:paraId="7BCFDEB3"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6×10</w:t>
            </w:r>
            <w:r w:rsidRPr="002A2505">
              <w:rPr>
                <w:rFonts w:ascii="Times New Roman" w:eastAsia="標楷體" w:hAnsi="Times New Roman" w:cs="Times New Roman"/>
                <w:b/>
                <w:sz w:val="24"/>
                <w:szCs w:val="24"/>
                <w:vertAlign w:val="superscript"/>
              </w:rPr>
              <w:t>-3</w:t>
            </w:r>
          </w:p>
        </w:tc>
        <w:tc>
          <w:tcPr>
            <w:tcW w:w="0" w:type="auto"/>
            <w:vAlign w:val="center"/>
          </w:tcPr>
          <w:p w14:paraId="709F8118"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hint="eastAsia"/>
                <w:b/>
                <w:sz w:val="24"/>
                <w:szCs w:val="24"/>
              </w:rPr>
              <w:t>1</w:t>
            </w:r>
            <w:r w:rsidRPr="002A2505">
              <w:rPr>
                <w:rFonts w:ascii="Times New Roman" w:eastAsia="標楷體" w:hAnsi="Times New Roman" w:cs="Times New Roman"/>
                <w:b/>
                <w:sz w:val="24"/>
                <w:szCs w:val="24"/>
              </w:rPr>
              <w:t>×10</w:t>
            </w:r>
            <w:r w:rsidRPr="002A2505">
              <w:rPr>
                <w:rFonts w:ascii="Times New Roman" w:eastAsia="標楷體" w:hAnsi="Times New Roman" w:cs="Times New Roman"/>
                <w:b/>
                <w:sz w:val="24"/>
                <w:szCs w:val="24"/>
                <w:vertAlign w:val="superscript"/>
              </w:rPr>
              <w:t>-3</w:t>
            </w:r>
          </w:p>
        </w:tc>
        <w:tc>
          <w:tcPr>
            <w:tcW w:w="0" w:type="auto"/>
            <w:vAlign w:val="center"/>
          </w:tcPr>
          <w:p w14:paraId="32287087"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18.37</w:t>
            </w:r>
          </w:p>
        </w:tc>
        <w:tc>
          <w:tcPr>
            <w:tcW w:w="0" w:type="auto"/>
            <w:vAlign w:val="center"/>
          </w:tcPr>
          <w:p w14:paraId="5471B9CB"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0.0319</w:t>
            </w:r>
          </w:p>
        </w:tc>
        <w:tc>
          <w:tcPr>
            <w:tcW w:w="0" w:type="auto"/>
            <w:vAlign w:val="center"/>
          </w:tcPr>
          <w:p w14:paraId="29F176EA"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22.08</w:t>
            </w:r>
          </w:p>
        </w:tc>
      </w:tr>
      <w:tr w:rsidR="002A2505" w:rsidRPr="002A2505" w14:paraId="1AFBDA8F" w14:textId="77777777" w:rsidTr="00F5270E">
        <w:trPr>
          <w:jc w:val="center"/>
        </w:trPr>
        <w:tc>
          <w:tcPr>
            <w:tcW w:w="0" w:type="auto"/>
            <w:vAlign w:val="center"/>
          </w:tcPr>
          <w:p w14:paraId="545E4601" w14:textId="2B3E2553" w:rsidR="002A2505" w:rsidRPr="002A2505" w:rsidRDefault="002A2505" w:rsidP="00F5270E">
            <w:pPr>
              <w:jc w:val="center"/>
            </w:pPr>
            <w:r w:rsidRPr="002A2505">
              <w:rPr>
                <w:rFonts w:eastAsia="標楷體"/>
                <w:b/>
              </w:rPr>
              <w:t>FePt@MMT/17.5%</w:t>
            </w:r>
          </w:p>
        </w:tc>
        <w:tc>
          <w:tcPr>
            <w:tcW w:w="0" w:type="auto"/>
            <w:vAlign w:val="center"/>
          </w:tcPr>
          <w:p w14:paraId="3FB07698"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6×10</w:t>
            </w:r>
            <w:r w:rsidRPr="002A2505">
              <w:rPr>
                <w:rFonts w:ascii="Times New Roman" w:eastAsia="標楷體" w:hAnsi="Times New Roman" w:cs="Times New Roman"/>
                <w:b/>
                <w:sz w:val="24"/>
                <w:szCs w:val="24"/>
                <w:vertAlign w:val="superscript"/>
              </w:rPr>
              <w:t>-3</w:t>
            </w:r>
          </w:p>
        </w:tc>
        <w:tc>
          <w:tcPr>
            <w:tcW w:w="0" w:type="auto"/>
            <w:vAlign w:val="center"/>
          </w:tcPr>
          <w:p w14:paraId="6FC28413"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hint="eastAsia"/>
                <w:b/>
                <w:sz w:val="24"/>
                <w:szCs w:val="24"/>
              </w:rPr>
              <w:t>1</w:t>
            </w:r>
            <w:r w:rsidRPr="002A2505">
              <w:rPr>
                <w:rFonts w:ascii="Times New Roman" w:eastAsia="標楷體" w:hAnsi="Times New Roman" w:cs="Times New Roman"/>
                <w:b/>
                <w:sz w:val="24"/>
                <w:szCs w:val="24"/>
              </w:rPr>
              <w:t>×10</w:t>
            </w:r>
            <w:r w:rsidRPr="002A2505">
              <w:rPr>
                <w:rFonts w:ascii="Times New Roman" w:eastAsia="標楷體" w:hAnsi="Times New Roman" w:cs="Times New Roman"/>
                <w:b/>
                <w:sz w:val="24"/>
                <w:szCs w:val="24"/>
                <w:vertAlign w:val="superscript"/>
              </w:rPr>
              <w:t>-3</w:t>
            </w:r>
          </w:p>
        </w:tc>
        <w:tc>
          <w:tcPr>
            <w:tcW w:w="0" w:type="auto"/>
            <w:vAlign w:val="center"/>
          </w:tcPr>
          <w:p w14:paraId="1451CB76"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15.41</w:t>
            </w:r>
          </w:p>
        </w:tc>
        <w:tc>
          <w:tcPr>
            <w:tcW w:w="0" w:type="auto"/>
            <w:vAlign w:val="center"/>
          </w:tcPr>
          <w:p w14:paraId="20F71967"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0.0250</w:t>
            </w:r>
          </w:p>
        </w:tc>
        <w:tc>
          <w:tcPr>
            <w:tcW w:w="0" w:type="auto"/>
            <w:vAlign w:val="center"/>
          </w:tcPr>
          <w:p w14:paraId="42964C59" w14:textId="77777777" w:rsidR="002A2505" w:rsidRPr="002A2505" w:rsidRDefault="002A2505" w:rsidP="00F5270E">
            <w:pPr>
              <w:pStyle w:val="af0"/>
              <w:kinsoku w:val="0"/>
              <w:overflowPunct w:val="0"/>
              <w:spacing w:after="120"/>
              <w:jc w:val="center"/>
              <w:rPr>
                <w:rFonts w:ascii="Times New Roman" w:eastAsia="標楷體" w:hAnsi="Times New Roman" w:cs="Times New Roman"/>
                <w:b/>
                <w:sz w:val="24"/>
                <w:szCs w:val="24"/>
              </w:rPr>
            </w:pPr>
            <w:r w:rsidRPr="002A2505">
              <w:rPr>
                <w:rFonts w:ascii="Times New Roman" w:eastAsia="標楷體" w:hAnsi="Times New Roman" w:cs="Times New Roman"/>
                <w:b/>
                <w:sz w:val="24"/>
                <w:szCs w:val="24"/>
              </w:rPr>
              <w:t>17.33</w:t>
            </w:r>
          </w:p>
        </w:tc>
      </w:tr>
    </w:tbl>
    <w:p w14:paraId="1021D80D" w14:textId="77777777" w:rsidR="00432D06" w:rsidRDefault="00432D06" w:rsidP="006B4C13">
      <w:pPr>
        <w:widowControl/>
        <w:jc w:val="both"/>
      </w:pPr>
    </w:p>
    <w:p w14:paraId="6A0CE818" w14:textId="77777777" w:rsidR="00432D06" w:rsidRDefault="00432D06">
      <w:pPr>
        <w:widowControl/>
      </w:pPr>
      <w:r>
        <w:br w:type="page"/>
      </w:r>
    </w:p>
    <w:p w14:paraId="5FC2F240" w14:textId="58BCE92B" w:rsidR="00432D06" w:rsidRDefault="00432D06" w:rsidP="006B4C13">
      <w:pPr>
        <w:widowControl/>
        <w:jc w:val="both"/>
      </w:pPr>
      <w:r w:rsidRPr="002A2505">
        <w:rPr>
          <w:b/>
          <w:sz w:val="28"/>
          <w:szCs w:val="28"/>
          <w:shd w:val="clear" w:color="auto" w:fill="FFFFFF"/>
        </w:rPr>
        <w:lastRenderedPageBreak/>
        <w:t>Supporting</w:t>
      </w:r>
      <w:r>
        <w:rPr>
          <w:b/>
          <w:sz w:val="28"/>
          <w:szCs w:val="28"/>
        </w:rPr>
        <w:t xml:space="preserve"> Table 2</w:t>
      </w:r>
    </w:p>
    <w:p w14:paraId="4B687632" w14:textId="042D426E" w:rsidR="00432D06" w:rsidRDefault="00432D06" w:rsidP="006B4C13">
      <w:pPr>
        <w:widowControl/>
        <w:jc w:val="both"/>
      </w:pPr>
    </w:p>
    <w:p w14:paraId="575A16A1" w14:textId="4094D24F" w:rsidR="00432D06" w:rsidRPr="00432D06" w:rsidRDefault="00432D06" w:rsidP="00432D06">
      <w:pPr>
        <w:widowControl/>
        <w:jc w:val="both"/>
      </w:pPr>
      <w:r>
        <w:rPr>
          <w:b/>
        </w:rPr>
        <w:t>Table 2</w:t>
      </w:r>
      <w:r w:rsidRPr="002A2505">
        <w:rPr>
          <w:b/>
        </w:rPr>
        <w:t>.</w:t>
      </w:r>
      <w:r>
        <w:t xml:space="preserve"> </w:t>
      </w:r>
      <w:r w:rsidRPr="00432D06">
        <w:t>The change</w:t>
      </w:r>
      <w:r>
        <w:t xml:space="preserve"> UV-Vis value of solution</w:t>
      </w:r>
      <w:r w:rsidRPr="00432D06">
        <w:t xml:space="preserve"> </w:t>
      </w:r>
      <w:r>
        <w:t>concentration with different dyes after</w:t>
      </w:r>
      <w:r w:rsidRPr="00432D06">
        <w:t xml:space="preserve"> adsorption</w:t>
      </w:r>
      <w:r>
        <w:t xml:space="preserve"> of nanoparticles</w:t>
      </w:r>
      <w:r w:rsidRPr="00432D06">
        <w:t xml:space="preserve"> for 10 min</w:t>
      </w:r>
      <w:r>
        <w:t>.</w:t>
      </w:r>
    </w:p>
    <w:tbl>
      <w:tblPr>
        <w:tblStyle w:val="10"/>
        <w:tblW w:w="4757" w:type="pct"/>
        <w:jc w:val="center"/>
        <w:tblLook w:val="04A0" w:firstRow="1" w:lastRow="0" w:firstColumn="1" w:lastColumn="0" w:noHBand="0" w:noVBand="1"/>
      </w:tblPr>
      <w:tblGrid>
        <w:gridCol w:w="2405"/>
        <w:gridCol w:w="1254"/>
        <w:gridCol w:w="1212"/>
        <w:gridCol w:w="2071"/>
        <w:gridCol w:w="2321"/>
      </w:tblGrid>
      <w:tr w:rsidR="009764F0" w:rsidRPr="00432D06" w14:paraId="1FA2CD49" w14:textId="77777777" w:rsidTr="009764F0">
        <w:trPr>
          <w:trHeight w:val="595"/>
          <w:jc w:val="center"/>
        </w:trPr>
        <w:tc>
          <w:tcPr>
            <w:tcW w:w="1298" w:type="pct"/>
            <w:tcBorders>
              <w:tl2br w:val="single" w:sz="4" w:space="0" w:color="auto"/>
            </w:tcBorders>
            <w:shd w:val="clear" w:color="auto" w:fill="D6E3BC"/>
          </w:tcPr>
          <w:p w14:paraId="14A2B3A3" w14:textId="77777777" w:rsidR="00432D06" w:rsidRPr="00432D06" w:rsidRDefault="00432D06" w:rsidP="00432D06">
            <w:pPr>
              <w:widowControl/>
              <w:jc w:val="right"/>
              <w:rPr>
                <w:rFonts w:eastAsia="標楷體"/>
                <w:b/>
              </w:rPr>
            </w:pPr>
            <w:r w:rsidRPr="00432D06">
              <w:rPr>
                <w:rFonts w:eastAsia="標楷體"/>
                <w:b/>
              </w:rPr>
              <w:t>Sample</w:t>
            </w:r>
          </w:p>
          <w:p w14:paraId="40D21E8D" w14:textId="77777777" w:rsidR="00432D06" w:rsidRPr="00432D06" w:rsidRDefault="00432D06" w:rsidP="00432D06">
            <w:pPr>
              <w:widowControl/>
              <w:rPr>
                <w:rFonts w:eastAsia="標楷體"/>
                <w:b/>
              </w:rPr>
            </w:pPr>
            <w:r w:rsidRPr="00432D06">
              <w:rPr>
                <w:rFonts w:eastAsia="標楷體"/>
                <w:b/>
              </w:rPr>
              <w:t>C/C</w:t>
            </w:r>
            <w:r w:rsidRPr="00432D06">
              <w:rPr>
                <w:rFonts w:eastAsia="標楷體"/>
                <w:b/>
                <w:vertAlign w:val="subscript"/>
              </w:rPr>
              <w:t>0</w:t>
            </w:r>
          </w:p>
        </w:tc>
        <w:tc>
          <w:tcPr>
            <w:tcW w:w="677" w:type="pct"/>
            <w:shd w:val="clear" w:color="auto" w:fill="D6E3BC"/>
            <w:vAlign w:val="center"/>
          </w:tcPr>
          <w:p w14:paraId="57EAD2C0" w14:textId="77777777" w:rsidR="00432D06" w:rsidRPr="00432D06" w:rsidRDefault="00432D06" w:rsidP="00432D06">
            <w:pPr>
              <w:widowControl/>
              <w:jc w:val="center"/>
              <w:rPr>
                <w:rFonts w:eastAsia="標楷體"/>
                <w:b/>
              </w:rPr>
            </w:pPr>
            <w:r w:rsidRPr="00432D06">
              <w:rPr>
                <w:rFonts w:eastAsia="標楷體"/>
                <w:b/>
              </w:rPr>
              <w:t>Control</w:t>
            </w:r>
          </w:p>
        </w:tc>
        <w:tc>
          <w:tcPr>
            <w:tcW w:w="654" w:type="pct"/>
            <w:shd w:val="clear" w:color="auto" w:fill="D6E3BC"/>
            <w:vAlign w:val="center"/>
          </w:tcPr>
          <w:p w14:paraId="66A3ED2F" w14:textId="77777777" w:rsidR="00432D06" w:rsidRPr="00432D06" w:rsidRDefault="00432D06" w:rsidP="00432D06">
            <w:pPr>
              <w:widowControl/>
              <w:jc w:val="center"/>
              <w:rPr>
                <w:rFonts w:eastAsia="標楷體"/>
                <w:b/>
              </w:rPr>
            </w:pPr>
            <w:r w:rsidRPr="00432D06">
              <w:rPr>
                <w:rFonts w:eastAsia="標楷體"/>
                <w:b/>
              </w:rPr>
              <w:t>FePt NPs</w:t>
            </w:r>
          </w:p>
        </w:tc>
        <w:tc>
          <w:tcPr>
            <w:tcW w:w="1118" w:type="pct"/>
            <w:shd w:val="clear" w:color="auto" w:fill="D6E3BC"/>
            <w:vAlign w:val="center"/>
          </w:tcPr>
          <w:p w14:paraId="39CF1152" w14:textId="46553151" w:rsidR="00432D06" w:rsidRPr="00432D06" w:rsidRDefault="009764F0" w:rsidP="009764F0">
            <w:pPr>
              <w:widowControl/>
              <w:jc w:val="center"/>
              <w:rPr>
                <w:rFonts w:eastAsia="標楷體"/>
                <w:b/>
              </w:rPr>
            </w:pPr>
            <w:r>
              <w:rPr>
                <w:rFonts w:eastAsia="標楷體"/>
                <w:b/>
              </w:rPr>
              <w:t>FeP</w:t>
            </w:r>
            <w:r>
              <w:rPr>
                <w:rFonts w:eastAsia="標楷體" w:hint="eastAsia"/>
                <w:b/>
              </w:rPr>
              <w:t>t</w:t>
            </w:r>
            <w:r>
              <w:rPr>
                <w:rFonts w:eastAsia="標楷體"/>
                <w:b/>
              </w:rPr>
              <w:t>@MMT 50%</w:t>
            </w:r>
          </w:p>
        </w:tc>
        <w:tc>
          <w:tcPr>
            <w:tcW w:w="1253" w:type="pct"/>
            <w:shd w:val="clear" w:color="auto" w:fill="D6E3BC"/>
            <w:vAlign w:val="center"/>
          </w:tcPr>
          <w:p w14:paraId="57D84A2F" w14:textId="56D1D87A" w:rsidR="00432D06" w:rsidRPr="00432D06" w:rsidRDefault="009764F0" w:rsidP="00432D06">
            <w:pPr>
              <w:widowControl/>
              <w:jc w:val="center"/>
              <w:rPr>
                <w:rFonts w:eastAsia="標楷體"/>
                <w:b/>
              </w:rPr>
            </w:pPr>
            <w:r>
              <w:rPr>
                <w:rFonts w:eastAsia="標楷體"/>
                <w:b/>
              </w:rPr>
              <w:t>FeP</w:t>
            </w:r>
            <w:r>
              <w:rPr>
                <w:rFonts w:eastAsia="標楷體" w:hint="eastAsia"/>
                <w:b/>
              </w:rPr>
              <w:t>t</w:t>
            </w:r>
            <w:r>
              <w:rPr>
                <w:rFonts w:eastAsia="標楷體"/>
                <w:b/>
              </w:rPr>
              <w:t>@MMT 1</w:t>
            </w:r>
            <w:r w:rsidRPr="00432D06">
              <w:rPr>
                <w:rFonts w:eastAsia="標楷體"/>
                <w:b/>
              </w:rPr>
              <w:t>0</w:t>
            </w:r>
            <w:r>
              <w:rPr>
                <w:rFonts w:eastAsia="標楷體"/>
                <w:b/>
              </w:rPr>
              <w:t>.5%</w:t>
            </w:r>
          </w:p>
        </w:tc>
      </w:tr>
      <w:tr w:rsidR="009764F0" w:rsidRPr="00432D06" w14:paraId="0C2D6F45" w14:textId="77777777" w:rsidTr="009764F0">
        <w:trPr>
          <w:trHeight w:val="893"/>
          <w:jc w:val="center"/>
        </w:trPr>
        <w:tc>
          <w:tcPr>
            <w:tcW w:w="1298" w:type="pct"/>
            <w:vAlign w:val="center"/>
          </w:tcPr>
          <w:p w14:paraId="7174A54E" w14:textId="0312EEDC" w:rsidR="00432D06" w:rsidRPr="00432D06" w:rsidRDefault="00432D06" w:rsidP="009764F0">
            <w:pPr>
              <w:widowControl/>
              <w:jc w:val="center"/>
              <w:rPr>
                <w:rFonts w:eastAsia="標楷體"/>
                <w:b/>
              </w:rPr>
            </w:pPr>
            <w:r w:rsidRPr="00432D06">
              <w:rPr>
                <w:rFonts w:eastAsia="標楷體"/>
                <w:b/>
              </w:rPr>
              <w:t>Concentration of Methylene blue</w:t>
            </w:r>
            <w:r w:rsidR="009764F0">
              <w:rPr>
                <w:rFonts w:eastAsia="標楷體" w:hint="eastAsia"/>
                <w:b/>
              </w:rPr>
              <w:t xml:space="preserve"> </w:t>
            </w:r>
            <w:r w:rsidRPr="00432D06">
              <w:rPr>
                <w:rFonts w:eastAsia="標楷體"/>
                <w:b/>
              </w:rPr>
              <w:t>(%)</w:t>
            </w:r>
          </w:p>
        </w:tc>
        <w:tc>
          <w:tcPr>
            <w:tcW w:w="677" w:type="pct"/>
            <w:vAlign w:val="center"/>
          </w:tcPr>
          <w:p w14:paraId="22F68F68" w14:textId="77777777" w:rsidR="00432D06" w:rsidRPr="00432D06" w:rsidRDefault="00432D06" w:rsidP="00432D06">
            <w:pPr>
              <w:widowControl/>
              <w:jc w:val="center"/>
              <w:rPr>
                <w:rFonts w:eastAsia="標楷體"/>
                <w:b/>
              </w:rPr>
            </w:pPr>
            <w:r w:rsidRPr="00432D06">
              <w:rPr>
                <w:rFonts w:eastAsia="標楷體"/>
                <w:b/>
              </w:rPr>
              <w:t>100</w:t>
            </w:r>
          </w:p>
        </w:tc>
        <w:tc>
          <w:tcPr>
            <w:tcW w:w="654" w:type="pct"/>
            <w:vAlign w:val="center"/>
          </w:tcPr>
          <w:p w14:paraId="67E85C2D" w14:textId="77777777" w:rsidR="00432D06" w:rsidRPr="00432D06" w:rsidRDefault="00432D06" w:rsidP="00432D06">
            <w:pPr>
              <w:widowControl/>
              <w:jc w:val="center"/>
              <w:rPr>
                <w:rFonts w:eastAsia="標楷體"/>
                <w:b/>
              </w:rPr>
            </w:pPr>
            <w:r w:rsidRPr="00432D06">
              <w:rPr>
                <w:rFonts w:eastAsia="標楷體"/>
                <w:b/>
              </w:rPr>
              <w:t>95.03</w:t>
            </w:r>
          </w:p>
        </w:tc>
        <w:tc>
          <w:tcPr>
            <w:tcW w:w="1118" w:type="pct"/>
            <w:vAlign w:val="center"/>
          </w:tcPr>
          <w:p w14:paraId="58250A8E" w14:textId="77777777" w:rsidR="00432D06" w:rsidRPr="00432D06" w:rsidRDefault="00432D06" w:rsidP="00432D06">
            <w:pPr>
              <w:widowControl/>
              <w:jc w:val="center"/>
              <w:rPr>
                <w:rFonts w:eastAsia="標楷體"/>
                <w:b/>
              </w:rPr>
            </w:pPr>
            <w:r w:rsidRPr="00432D06">
              <w:rPr>
                <w:rFonts w:eastAsia="標楷體"/>
                <w:b/>
              </w:rPr>
              <w:t>45.58</w:t>
            </w:r>
          </w:p>
        </w:tc>
        <w:tc>
          <w:tcPr>
            <w:tcW w:w="1253" w:type="pct"/>
            <w:vAlign w:val="center"/>
          </w:tcPr>
          <w:p w14:paraId="2012CC1E" w14:textId="77777777" w:rsidR="00432D06" w:rsidRPr="00432D06" w:rsidRDefault="00432D06" w:rsidP="00432D06">
            <w:pPr>
              <w:widowControl/>
              <w:jc w:val="center"/>
              <w:rPr>
                <w:rFonts w:eastAsia="標楷體"/>
                <w:b/>
              </w:rPr>
            </w:pPr>
            <w:r w:rsidRPr="00432D06">
              <w:rPr>
                <w:rFonts w:eastAsia="標楷體"/>
                <w:b/>
              </w:rPr>
              <w:t>23.93</w:t>
            </w:r>
          </w:p>
        </w:tc>
      </w:tr>
      <w:tr w:rsidR="009764F0" w:rsidRPr="00432D06" w14:paraId="1CB8C487" w14:textId="77777777" w:rsidTr="009764F0">
        <w:trPr>
          <w:trHeight w:val="893"/>
          <w:jc w:val="center"/>
        </w:trPr>
        <w:tc>
          <w:tcPr>
            <w:tcW w:w="1298" w:type="pct"/>
            <w:shd w:val="clear" w:color="auto" w:fill="C2D69B"/>
            <w:vAlign w:val="center"/>
          </w:tcPr>
          <w:p w14:paraId="4CA38C40" w14:textId="724D78F6" w:rsidR="00432D06" w:rsidRPr="00432D06" w:rsidRDefault="00432D06" w:rsidP="009764F0">
            <w:pPr>
              <w:widowControl/>
              <w:jc w:val="center"/>
              <w:rPr>
                <w:rFonts w:eastAsia="標楷體"/>
                <w:b/>
              </w:rPr>
            </w:pPr>
            <w:r w:rsidRPr="00432D06">
              <w:rPr>
                <w:rFonts w:eastAsia="標楷體"/>
                <w:b/>
              </w:rPr>
              <w:t>Concentration of Brilliant green</w:t>
            </w:r>
            <w:r w:rsidR="009764F0">
              <w:rPr>
                <w:rFonts w:eastAsia="標楷體" w:hint="eastAsia"/>
                <w:b/>
              </w:rPr>
              <w:t xml:space="preserve"> </w:t>
            </w:r>
            <w:r w:rsidRPr="00432D06">
              <w:rPr>
                <w:rFonts w:eastAsia="標楷體"/>
                <w:b/>
              </w:rPr>
              <w:t>(%)</w:t>
            </w:r>
          </w:p>
        </w:tc>
        <w:tc>
          <w:tcPr>
            <w:tcW w:w="677" w:type="pct"/>
            <w:shd w:val="clear" w:color="auto" w:fill="C2D69B"/>
            <w:vAlign w:val="center"/>
          </w:tcPr>
          <w:p w14:paraId="39484C7E" w14:textId="77777777" w:rsidR="00432D06" w:rsidRPr="00432D06" w:rsidRDefault="00432D06" w:rsidP="00432D06">
            <w:pPr>
              <w:widowControl/>
              <w:jc w:val="center"/>
              <w:rPr>
                <w:rFonts w:eastAsia="標楷體"/>
                <w:b/>
              </w:rPr>
            </w:pPr>
            <w:r w:rsidRPr="00432D06">
              <w:rPr>
                <w:rFonts w:eastAsia="標楷體"/>
                <w:b/>
              </w:rPr>
              <w:t>100</w:t>
            </w:r>
          </w:p>
        </w:tc>
        <w:tc>
          <w:tcPr>
            <w:tcW w:w="654" w:type="pct"/>
            <w:shd w:val="clear" w:color="auto" w:fill="C2D69B"/>
            <w:vAlign w:val="center"/>
          </w:tcPr>
          <w:p w14:paraId="25AB3E10" w14:textId="77777777" w:rsidR="00432D06" w:rsidRPr="00432D06" w:rsidRDefault="00432D06" w:rsidP="00432D06">
            <w:pPr>
              <w:widowControl/>
              <w:jc w:val="center"/>
              <w:rPr>
                <w:rFonts w:eastAsia="標楷體"/>
                <w:b/>
              </w:rPr>
            </w:pPr>
            <w:r w:rsidRPr="00432D06">
              <w:rPr>
                <w:rFonts w:eastAsia="標楷體"/>
                <w:b/>
              </w:rPr>
              <w:t>90.31</w:t>
            </w:r>
          </w:p>
        </w:tc>
        <w:tc>
          <w:tcPr>
            <w:tcW w:w="1118" w:type="pct"/>
            <w:shd w:val="clear" w:color="auto" w:fill="C2D69B"/>
            <w:vAlign w:val="center"/>
          </w:tcPr>
          <w:p w14:paraId="3578BFCF" w14:textId="77777777" w:rsidR="00432D06" w:rsidRPr="00432D06" w:rsidRDefault="00432D06" w:rsidP="00432D06">
            <w:pPr>
              <w:widowControl/>
              <w:jc w:val="center"/>
              <w:rPr>
                <w:rFonts w:eastAsia="標楷體"/>
                <w:b/>
              </w:rPr>
            </w:pPr>
            <w:r w:rsidRPr="00432D06">
              <w:rPr>
                <w:rFonts w:eastAsia="標楷體"/>
                <w:b/>
              </w:rPr>
              <w:t>37.86</w:t>
            </w:r>
          </w:p>
        </w:tc>
        <w:tc>
          <w:tcPr>
            <w:tcW w:w="1253" w:type="pct"/>
            <w:shd w:val="clear" w:color="auto" w:fill="C2D69B"/>
            <w:vAlign w:val="center"/>
          </w:tcPr>
          <w:p w14:paraId="7463336D" w14:textId="77777777" w:rsidR="00432D06" w:rsidRPr="00432D06" w:rsidRDefault="00432D06" w:rsidP="00432D06">
            <w:pPr>
              <w:widowControl/>
              <w:jc w:val="center"/>
              <w:rPr>
                <w:rFonts w:eastAsia="標楷體"/>
                <w:b/>
              </w:rPr>
            </w:pPr>
            <w:r w:rsidRPr="00432D06">
              <w:rPr>
                <w:rFonts w:eastAsia="標楷體"/>
                <w:b/>
              </w:rPr>
              <w:t>32.31</w:t>
            </w:r>
          </w:p>
        </w:tc>
      </w:tr>
      <w:tr w:rsidR="009764F0" w:rsidRPr="00432D06" w14:paraId="053D2108" w14:textId="77777777" w:rsidTr="009764F0">
        <w:trPr>
          <w:trHeight w:val="893"/>
          <w:jc w:val="center"/>
        </w:trPr>
        <w:tc>
          <w:tcPr>
            <w:tcW w:w="1298" w:type="pct"/>
            <w:vAlign w:val="center"/>
          </w:tcPr>
          <w:p w14:paraId="0AD51E21" w14:textId="03B63113" w:rsidR="00432D06" w:rsidRPr="00432D06" w:rsidRDefault="00432D06" w:rsidP="009764F0">
            <w:pPr>
              <w:widowControl/>
              <w:jc w:val="center"/>
              <w:rPr>
                <w:rFonts w:eastAsia="標楷體"/>
                <w:b/>
              </w:rPr>
            </w:pPr>
            <w:r w:rsidRPr="00432D06">
              <w:rPr>
                <w:rFonts w:eastAsia="標楷體"/>
                <w:b/>
              </w:rPr>
              <w:t>Concentration of Congo red</w:t>
            </w:r>
            <w:r w:rsidR="009764F0">
              <w:rPr>
                <w:rFonts w:eastAsia="標楷體" w:hint="eastAsia"/>
                <w:b/>
              </w:rPr>
              <w:t xml:space="preserve"> </w:t>
            </w:r>
            <w:r w:rsidRPr="00432D06">
              <w:rPr>
                <w:rFonts w:eastAsia="標楷體"/>
                <w:b/>
              </w:rPr>
              <w:t>(%)</w:t>
            </w:r>
          </w:p>
        </w:tc>
        <w:tc>
          <w:tcPr>
            <w:tcW w:w="677" w:type="pct"/>
            <w:vAlign w:val="center"/>
          </w:tcPr>
          <w:p w14:paraId="2CF19BF3" w14:textId="77777777" w:rsidR="00432D06" w:rsidRPr="00432D06" w:rsidRDefault="00432D06" w:rsidP="00432D06">
            <w:pPr>
              <w:widowControl/>
              <w:jc w:val="center"/>
              <w:rPr>
                <w:rFonts w:eastAsia="標楷體"/>
                <w:b/>
              </w:rPr>
            </w:pPr>
            <w:r w:rsidRPr="00432D06">
              <w:rPr>
                <w:rFonts w:eastAsia="標楷體"/>
                <w:b/>
              </w:rPr>
              <w:t>100</w:t>
            </w:r>
          </w:p>
        </w:tc>
        <w:tc>
          <w:tcPr>
            <w:tcW w:w="654" w:type="pct"/>
            <w:vAlign w:val="center"/>
          </w:tcPr>
          <w:p w14:paraId="4BF88973" w14:textId="77777777" w:rsidR="00432D06" w:rsidRPr="00432D06" w:rsidRDefault="00432D06" w:rsidP="00432D06">
            <w:pPr>
              <w:widowControl/>
              <w:jc w:val="center"/>
              <w:rPr>
                <w:rFonts w:eastAsia="標楷體"/>
                <w:b/>
              </w:rPr>
            </w:pPr>
            <w:r w:rsidRPr="00432D06">
              <w:rPr>
                <w:rFonts w:eastAsia="標楷體"/>
                <w:b/>
              </w:rPr>
              <w:t>96.16</w:t>
            </w:r>
          </w:p>
        </w:tc>
        <w:tc>
          <w:tcPr>
            <w:tcW w:w="1118" w:type="pct"/>
            <w:vAlign w:val="center"/>
          </w:tcPr>
          <w:p w14:paraId="18BDE842" w14:textId="77777777" w:rsidR="00432D06" w:rsidRPr="00432D06" w:rsidRDefault="00432D06" w:rsidP="00432D06">
            <w:pPr>
              <w:widowControl/>
              <w:jc w:val="center"/>
              <w:rPr>
                <w:rFonts w:eastAsia="標楷體"/>
                <w:b/>
              </w:rPr>
            </w:pPr>
            <w:r w:rsidRPr="00432D06">
              <w:rPr>
                <w:rFonts w:eastAsia="標楷體"/>
                <w:b/>
              </w:rPr>
              <w:t>54.28</w:t>
            </w:r>
          </w:p>
        </w:tc>
        <w:tc>
          <w:tcPr>
            <w:tcW w:w="1253" w:type="pct"/>
            <w:vAlign w:val="center"/>
          </w:tcPr>
          <w:p w14:paraId="4883D988" w14:textId="77777777" w:rsidR="00432D06" w:rsidRPr="00432D06" w:rsidRDefault="00432D06" w:rsidP="00432D06">
            <w:pPr>
              <w:widowControl/>
              <w:jc w:val="center"/>
              <w:rPr>
                <w:rFonts w:eastAsia="標楷體"/>
                <w:b/>
              </w:rPr>
            </w:pPr>
            <w:r w:rsidRPr="00432D06">
              <w:rPr>
                <w:rFonts w:eastAsia="標楷體"/>
                <w:b/>
              </w:rPr>
              <w:t>32.65</w:t>
            </w:r>
          </w:p>
        </w:tc>
      </w:tr>
    </w:tbl>
    <w:p w14:paraId="3D7714CB" w14:textId="419D1B7F" w:rsidR="00916E2F" w:rsidRPr="00D617AB" w:rsidRDefault="00916E2F" w:rsidP="00916E2F">
      <w:pPr>
        <w:widowControl/>
      </w:pPr>
    </w:p>
    <w:p w14:paraId="60139847" w14:textId="5AC9A4CF" w:rsidR="00432D06" w:rsidRPr="00D617AB" w:rsidRDefault="00432D06" w:rsidP="00D617AB">
      <w:pPr>
        <w:pStyle w:val="TAMainText"/>
        <w:spacing w:after="240"/>
        <w:ind w:firstLine="0"/>
        <w:rPr>
          <w:rFonts w:ascii="Times New Roman" w:hAnsi="Times New Roman"/>
        </w:rPr>
      </w:pPr>
    </w:p>
    <w:sectPr w:rsidR="00432D06" w:rsidRPr="00D617AB" w:rsidSect="00370D05">
      <w:pgSz w:w="11906" w:h="16838"/>
      <w:pgMar w:top="1135" w:right="1080" w:bottom="1440" w:left="108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8D8ABD" w14:textId="77777777" w:rsidR="004F3658" w:rsidRDefault="004F3658" w:rsidP="008E3567">
      <w:r>
        <w:separator/>
      </w:r>
    </w:p>
  </w:endnote>
  <w:endnote w:type="continuationSeparator" w:id="0">
    <w:p w14:paraId="29950233" w14:textId="77777777" w:rsidR="004F3658" w:rsidRDefault="004F3658" w:rsidP="008E35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w:altName w:val="﷽﷽﷽﷽﷽﷽﷽﷽w Roman"/>
    <w:panose1 w:val="02020603050405020304"/>
    <w:charset w:val="00"/>
    <w:family w:val="roman"/>
    <w:pitch w:val="variable"/>
    <w:sig w:usb0="E0002EFF" w:usb1="C000785B" w:usb2="00000009" w:usb3="00000000" w:csb0="000001FF" w:csb1="00000000"/>
  </w:font>
  <w:font w:name="標楷體">
    <w:altName w:val="DFKai-SB"/>
    <w:panose1 w:val="03000509000000000000"/>
    <w:charset w:val="88"/>
    <w:family w:val="script"/>
    <w:pitch w:val="fixed"/>
    <w:sig w:usb0="00000003" w:usb1="080E0000"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E521F9F" w14:textId="77777777" w:rsidR="004F3658" w:rsidRDefault="004F3658" w:rsidP="008E3567">
      <w:r>
        <w:separator/>
      </w:r>
    </w:p>
  </w:footnote>
  <w:footnote w:type="continuationSeparator" w:id="0">
    <w:p w14:paraId="74DC0B28" w14:textId="77777777" w:rsidR="004F3658" w:rsidRDefault="004F3658" w:rsidP="008E356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3C68E4"/>
    <w:multiLevelType w:val="hybridMultilevel"/>
    <w:tmpl w:val="7EA28B18"/>
    <w:lvl w:ilvl="0" w:tplc="04090003">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QxNjIxNTM3NTUwMTZW0lEKTi0uzszPAykwNKwFAGgEm28tAAAA"/>
  </w:docVars>
  <w:rsids>
    <w:rsidRoot w:val="00EF34B5"/>
    <w:rsid w:val="00045B91"/>
    <w:rsid w:val="000A65F1"/>
    <w:rsid w:val="000F3A40"/>
    <w:rsid w:val="000F7031"/>
    <w:rsid w:val="001170F9"/>
    <w:rsid w:val="00152448"/>
    <w:rsid w:val="001574BB"/>
    <w:rsid w:val="00225242"/>
    <w:rsid w:val="00264021"/>
    <w:rsid w:val="002A2505"/>
    <w:rsid w:val="002C09A7"/>
    <w:rsid w:val="002D254B"/>
    <w:rsid w:val="002F544B"/>
    <w:rsid w:val="003300DB"/>
    <w:rsid w:val="00370D05"/>
    <w:rsid w:val="00412156"/>
    <w:rsid w:val="00432D06"/>
    <w:rsid w:val="004A797E"/>
    <w:rsid w:val="004D1066"/>
    <w:rsid w:val="004D302F"/>
    <w:rsid w:val="004F3658"/>
    <w:rsid w:val="004F6BC4"/>
    <w:rsid w:val="00503CF6"/>
    <w:rsid w:val="00534446"/>
    <w:rsid w:val="00537890"/>
    <w:rsid w:val="00544277"/>
    <w:rsid w:val="00563CE5"/>
    <w:rsid w:val="0058192E"/>
    <w:rsid w:val="005D2B7F"/>
    <w:rsid w:val="00694CCB"/>
    <w:rsid w:val="006B4C13"/>
    <w:rsid w:val="006C7D01"/>
    <w:rsid w:val="00717DF2"/>
    <w:rsid w:val="00813477"/>
    <w:rsid w:val="00823CC2"/>
    <w:rsid w:val="00827BA3"/>
    <w:rsid w:val="00881876"/>
    <w:rsid w:val="00882199"/>
    <w:rsid w:val="008A2A24"/>
    <w:rsid w:val="008A5CD6"/>
    <w:rsid w:val="008D7FFE"/>
    <w:rsid w:val="008E3567"/>
    <w:rsid w:val="008F736C"/>
    <w:rsid w:val="00916E2F"/>
    <w:rsid w:val="00923DC0"/>
    <w:rsid w:val="00945674"/>
    <w:rsid w:val="00972CCD"/>
    <w:rsid w:val="009764F0"/>
    <w:rsid w:val="009F293C"/>
    <w:rsid w:val="00A02557"/>
    <w:rsid w:val="00A43448"/>
    <w:rsid w:val="00AA3D03"/>
    <w:rsid w:val="00AE274B"/>
    <w:rsid w:val="00AF2DEB"/>
    <w:rsid w:val="00B363C1"/>
    <w:rsid w:val="00B42C69"/>
    <w:rsid w:val="00B92993"/>
    <w:rsid w:val="00B96E76"/>
    <w:rsid w:val="00BB3F53"/>
    <w:rsid w:val="00BD04B6"/>
    <w:rsid w:val="00C04D4B"/>
    <w:rsid w:val="00C6108E"/>
    <w:rsid w:val="00CB3C9D"/>
    <w:rsid w:val="00CD7A3F"/>
    <w:rsid w:val="00D24251"/>
    <w:rsid w:val="00D26F90"/>
    <w:rsid w:val="00D617AB"/>
    <w:rsid w:val="00DD38A8"/>
    <w:rsid w:val="00E46893"/>
    <w:rsid w:val="00E536EA"/>
    <w:rsid w:val="00EE2926"/>
    <w:rsid w:val="00EF34B5"/>
    <w:rsid w:val="00F86455"/>
    <w:rsid w:val="00FF32A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F80A8A"/>
  <w15:chartTrackingRefBased/>
  <w15:docId w15:val="{D2586AB9-5315-4908-8108-BEFEC394D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3567"/>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E3567"/>
    <w:pPr>
      <w:tabs>
        <w:tab w:val="center" w:pos="4153"/>
        <w:tab w:val="right" w:pos="8306"/>
      </w:tabs>
      <w:snapToGrid w:val="0"/>
    </w:pPr>
    <w:rPr>
      <w:rFonts w:asciiTheme="minorHAnsi" w:eastAsiaTheme="minorEastAsia" w:hAnsiTheme="minorHAnsi" w:cstheme="minorBidi"/>
      <w:sz w:val="20"/>
      <w:szCs w:val="20"/>
    </w:rPr>
  </w:style>
  <w:style w:type="character" w:customStyle="1" w:styleId="a4">
    <w:name w:val="頁首 字元"/>
    <w:basedOn w:val="a0"/>
    <w:link w:val="a3"/>
    <w:uiPriority w:val="99"/>
    <w:rsid w:val="008E3567"/>
    <w:rPr>
      <w:sz w:val="20"/>
      <w:szCs w:val="20"/>
    </w:rPr>
  </w:style>
  <w:style w:type="paragraph" w:styleId="a5">
    <w:name w:val="footer"/>
    <w:basedOn w:val="a"/>
    <w:link w:val="a6"/>
    <w:uiPriority w:val="99"/>
    <w:unhideWhenUsed/>
    <w:rsid w:val="008E3567"/>
    <w:pPr>
      <w:tabs>
        <w:tab w:val="center" w:pos="4153"/>
        <w:tab w:val="right" w:pos="8306"/>
      </w:tabs>
      <w:snapToGrid w:val="0"/>
    </w:pPr>
    <w:rPr>
      <w:rFonts w:asciiTheme="minorHAnsi" w:eastAsiaTheme="minorEastAsia" w:hAnsiTheme="minorHAnsi" w:cstheme="minorBidi"/>
      <w:sz w:val="20"/>
      <w:szCs w:val="20"/>
    </w:rPr>
  </w:style>
  <w:style w:type="character" w:customStyle="1" w:styleId="a6">
    <w:name w:val="頁尾 字元"/>
    <w:basedOn w:val="a0"/>
    <w:link w:val="a5"/>
    <w:uiPriority w:val="99"/>
    <w:rsid w:val="008E3567"/>
    <w:rPr>
      <w:sz w:val="20"/>
      <w:szCs w:val="20"/>
    </w:rPr>
  </w:style>
  <w:style w:type="character" w:styleId="a7">
    <w:name w:val="Hyperlink"/>
    <w:basedOn w:val="a0"/>
    <w:uiPriority w:val="99"/>
    <w:unhideWhenUsed/>
    <w:rsid w:val="008E3567"/>
    <w:rPr>
      <w:color w:val="0563C1" w:themeColor="hyperlink"/>
      <w:u w:val="single"/>
    </w:rPr>
  </w:style>
  <w:style w:type="character" w:customStyle="1" w:styleId="st">
    <w:name w:val="st"/>
    <w:basedOn w:val="a0"/>
    <w:uiPriority w:val="99"/>
    <w:rsid w:val="00882199"/>
    <w:rPr>
      <w:rFonts w:cs="Times New Roman"/>
    </w:rPr>
  </w:style>
  <w:style w:type="character" w:styleId="a8">
    <w:name w:val="annotation reference"/>
    <w:basedOn w:val="a0"/>
    <w:uiPriority w:val="99"/>
    <w:semiHidden/>
    <w:unhideWhenUsed/>
    <w:rsid w:val="00A02557"/>
    <w:rPr>
      <w:sz w:val="21"/>
      <w:szCs w:val="21"/>
    </w:rPr>
  </w:style>
  <w:style w:type="paragraph" w:styleId="a9">
    <w:name w:val="annotation text"/>
    <w:basedOn w:val="a"/>
    <w:link w:val="aa"/>
    <w:uiPriority w:val="99"/>
    <w:semiHidden/>
    <w:unhideWhenUsed/>
    <w:rsid w:val="00A02557"/>
  </w:style>
  <w:style w:type="character" w:customStyle="1" w:styleId="aa">
    <w:name w:val="註解文字 字元"/>
    <w:basedOn w:val="a0"/>
    <w:link w:val="a9"/>
    <w:uiPriority w:val="99"/>
    <w:semiHidden/>
    <w:rsid w:val="00A02557"/>
    <w:rPr>
      <w:rFonts w:ascii="Times New Roman" w:eastAsia="新細明體" w:hAnsi="Times New Roman" w:cs="Times New Roman"/>
      <w:szCs w:val="24"/>
    </w:rPr>
  </w:style>
  <w:style w:type="paragraph" w:styleId="ab">
    <w:name w:val="annotation subject"/>
    <w:basedOn w:val="a9"/>
    <w:next w:val="a9"/>
    <w:link w:val="ac"/>
    <w:uiPriority w:val="99"/>
    <w:semiHidden/>
    <w:unhideWhenUsed/>
    <w:rsid w:val="00A02557"/>
    <w:rPr>
      <w:b/>
      <w:bCs/>
    </w:rPr>
  </w:style>
  <w:style w:type="character" w:customStyle="1" w:styleId="ac">
    <w:name w:val="註解主旨 字元"/>
    <w:basedOn w:val="aa"/>
    <w:link w:val="ab"/>
    <w:uiPriority w:val="99"/>
    <w:semiHidden/>
    <w:rsid w:val="00A02557"/>
    <w:rPr>
      <w:rFonts w:ascii="Times New Roman" w:eastAsia="新細明體" w:hAnsi="Times New Roman" w:cs="Times New Roman"/>
      <w:b/>
      <w:bCs/>
      <w:szCs w:val="24"/>
    </w:rPr>
  </w:style>
  <w:style w:type="paragraph" w:styleId="ad">
    <w:name w:val="Balloon Text"/>
    <w:basedOn w:val="a"/>
    <w:link w:val="ae"/>
    <w:uiPriority w:val="99"/>
    <w:semiHidden/>
    <w:unhideWhenUsed/>
    <w:rsid w:val="00A02557"/>
    <w:rPr>
      <w:sz w:val="18"/>
      <w:szCs w:val="18"/>
    </w:rPr>
  </w:style>
  <w:style w:type="character" w:customStyle="1" w:styleId="ae">
    <w:name w:val="註解方塊文字 字元"/>
    <w:basedOn w:val="a0"/>
    <w:link w:val="ad"/>
    <w:uiPriority w:val="99"/>
    <w:semiHidden/>
    <w:rsid w:val="00A02557"/>
    <w:rPr>
      <w:rFonts w:ascii="Times New Roman" w:eastAsia="新細明體" w:hAnsi="Times New Roman" w:cs="Times New Roman"/>
      <w:sz w:val="18"/>
      <w:szCs w:val="18"/>
    </w:rPr>
  </w:style>
  <w:style w:type="table" w:styleId="af">
    <w:name w:val="Table Grid"/>
    <w:basedOn w:val="a1"/>
    <w:uiPriority w:val="59"/>
    <w:rsid w:val="00AA3D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Grid Table 1 Light"/>
    <w:basedOn w:val="a1"/>
    <w:uiPriority w:val="46"/>
    <w:rsid w:val="00AA3D03"/>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af0">
    <w:name w:val="caption"/>
    <w:basedOn w:val="a"/>
    <w:next w:val="a"/>
    <w:link w:val="af1"/>
    <w:uiPriority w:val="35"/>
    <w:unhideWhenUsed/>
    <w:qFormat/>
    <w:rsid w:val="002A2505"/>
    <w:pPr>
      <w:spacing w:line="360" w:lineRule="auto"/>
      <w:jc w:val="both"/>
    </w:pPr>
    <w:rPr>
      <w:rFonts w:asciiTheme="minorHAnsi" w:eastAsiaTheme="minorEastAsia" w:hAnsiTheme="minorHAnsi" w:cstheme="minorBidi"/>
      <w:sz w:val="20"/>
      <w:szCs w:val="20"/>
    </w:rPr>
  </w:style>
  <w:style w:type="character" w:customStyle="1" w:styleId="af1">
    <w:name w:val="標號 字元"/>
    <w:basedOn w:val="a0"/>
    <w:link w:val="af0"/>
    <w:uiPriority w:val="35"/>
    <w:rsid w:val="002A2505"/>
    <w:rPr>
      <w:sz w:val="20"/>
      <w:szCs w:val="20"/>
    </w:rPr>
  </w:style>
  <w:style w:type="table" w:customStyle="1" w:styleId="10">
    <w:name w:val="表格格線1"/>
    <w:basedOn w:val="a1"/>
    <w:next w:val="af"/>
    <w:uiPriority w:val="59"/>
    <w:rsid w:val="00432D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MainText">
    <w:name w:val="TA_Main_Text"/>
    <w:basedOn w:val="a"/>
    <w:link w:val="TAMainText0"/>
    <w:rsid w:val="00D617AB"/>
    <w:pPr>
      <w:widowControl/>
      <w:spacing w:line="480" w:lineRule="auto"/>
      <w:ind w:firstLine="202"/>
      <w:jc w:val="both"/>
    </w:pPr>
    <w:rPr>
      <w:rFonts w:ascii="Times" w:eastAsiaTheme="minorEastAsia" w:hAnsi="Times"/>
      <w:kern w:val="0"/>
      <w:szCs w:val="20"/>
      <w:lang w:eastAsia="en-US"/>
    </w:rPr>
  </w:style>
  <w:style w:type="paragraph" w:customStyle="1" w:styleId="BGKeywords">
    <w:name w:val="BG_Keywords"/>
    <w:basedOn w:val="a"/>
    <w:rsid w:val="00D617AB"/>
    <w:pPr>
      <w:widowControl/>
      <w:spacing w:after="200" w:line="480" w:lineRule="auto"/>
      <w:jc w:val="both"/>
    </w:pPr>
    <w:rPr>
      <w:rFonts w:ascii="Times" w:eastAsiaTheme="minorEastAsia" w:hAnsi="Times"/>
      <w:kern w:val="0"/>
      <w:szCs w:val="20"/>
      <w:lang w:eastAsia="en-US"/>
    </w:rPr>
  </w:style>
  <w:style w:type="character" w:customStyle="1" w:styleId="TAMainText0">
    <w:name w:val="TA_Main_Text 字元"/>
    <w:basedOn w:val="a0"/>
    <w:link w:val="TAMainText"/>
    <w:rsid w:val="002C09A7"/>
    <w:rPr>
      <w:rFonts w:ascii="Times" w:hAnsi="Times" w:cs="Times New Roman"/>
      <w:kern w:val="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7883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hsiao@gate.sinica.edu.tw" TargetMode="Externa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mailto:mhsiao@gate.sinica.edu.tw" TargetMode="Externa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image" Target="media/image5.png"/><Relationship Id="rId10" Type="http://schemas.openxmlformats.org/officeDocument/2006/relationships/hyperlink" Target="mailto:chencl@tmu.edu.tw" TargetMode="External"/><Relationship Id="rId4" Type="http://schemas.openxmlformats.org/officeDocument/2006/relationships/webSettings" Target="webSettings.xml"/><Relationship Id="rId9" Type="http://schemas.openxmlformats.org/officeDocument/2006/relationships/hyperlink" Target="mailto:dhwei@ntut.edu.tw" TargetMode="External"/><Relationship Id="rId14" Type="http://schemas.openxmlformats.org/officeDocument/2006/relationships/image" Target="media/image4.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684</Words>
  <Characters>3903</Characters>
  <Application>Microsoft Office Word</Application>
  <DocSecurity>0</DocSecurity>
  <Lines>32</Lines>
  <Paragraphs>9</Paragraphs>
  <ScaleCrop>false</ScaleCrop>
  <Company/>
  <LinksUpToDate>false</LinksUpToDate>
  <CharactersWithSpaces>4578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dc:creator>
  <cp:keywords/>
  <dc:description/>
  <cp:lastModifiedBy>Microsoft 帳戶</cp:lastModifiedBy>
  <cp:revision>2</cp:revision>
  <dcterms:created xsi:type="dcterms:W3CDTF">2021-07-18T08:07:00Z</dcterms:created>
  <dcterms:modified xsi:type="dcterms:W3CDTF">2021-07-18T08:07:00Z</dcterms:modified>
</cp:coreProperties>
</file>