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D1921" w14:textId="77777777" w:rsidR="00B35FA9" w:rsidRDefault="00B35FA9" w:rsidP="00B35FA9">
      <w:pPr>
        <w:spacing w:afterLines="100" w:after="312" w:line="360" w:lineRule="auto"/>
        <w:jc w:val="both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Supplementary figure</w:t>
      </w:r>
      <w:r>
        <w:rPr>
          <w:rFonts w:ascii="Times New Roman" w:hAnsi="Times New Roman" w:cs="Times New Roman" w:hint="eastAsia"/>
          <w:b/>
          <w:bCs/>
          <w:szCs w:val="22"/>
        </w:rPr>
        <w:t xml:space="preserve"> legends</w:t>
      </w:r>
    </w:p>
    <w:p w14:paraId="5B39FEDF" w14:textId="77777777" w:rsidR="00B35FA9" w:rsidRDefault="00B35FA9" w:rsidP="00B35FA9">
      <w:pPr>
        <w:spacing w:afterLines="100" w:after="312" w:line="360" w:lineRule="auto"/>
        <w:jc w:val="center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noProof/>
          <w:szCs w:val="22"/>
          <w14:ligatures w14:val="none"/>
        </w:rPr>
        <w:drawing>
          <wp:inline distT="0" distB="0" distL="0" distR="0" wp14:anchorId="0FFC2F8B" wp14:editId="229C022C">
            <wp:extent cx="5274310" cy="4190365"/>
            <wp:effectExtent l="0" t="0" r="0" b="635"/>
            <wp:docPr id="588371892" name="图片 9" descr="A close-up of a test resul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371892" name="图片 9" descr="A close-up of a test result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9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3A2D4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 xml:space="preserve">Figure S1. </w:t>
      </w:r>
      <w:r>
        <w:rPr>
          <w:rFonts w:ascii="Times New Roman" w:hAnsi="Times New Roman" w:cs="Times New Roman" w:hint="eastAsia"/>
          <w:b/>
          <w:bCs/>
          <w:szCs w:val="22"/>
        </w:rPr>
        <w:t>V</w:t>
      </w:r>
      <w:r>
        <w:rPr>
          <w:rFonts w:ascii="Times New Roman" w:hAnsi="Times New Roman" w:cs="Times New Roman"/>
          <w:b/>
          <w:bCs/>
          <w:szCs w:val="22"/>
        </w:rPr>
        <w:t>alidation and phenotype of GABPA, GABPB1 and GABPB1&amp;B2 depletion</w:t>
      </w:r>
    </w:p>
    <w:p w14:paraId="4FBA757B" w14:textId="77777777" w:rsidR="00B35FA9" w:rsidRDefault="00B35FA9" w:rsidP="00B35FA9">
      <w:pPr>
        <w:spacing w:after="0" w:line="360" w:lineRule="auto"/>
        <w:jc w:val="both"/>
        <w:rPr>
          <w:rFonts w:ascii="Times New Roman Regular" w:hAnsi="Times New Roman Regular" w:cs="Times New Roman Regular"/>
          <w:szCs w:val="21"/>
        </w:rPr>
      </w:pPr>
      <w:r>
        <w:rPr>
          <w:rFonts w:ascii="Times New Roman" w:hAnsi="Times New Roman" w:cs="Times New Roman"/>
          <w:szCs w:val="22"/>
        </w:rPr>
        <w:t>(A) Western blot analys</w:t>
      </w:r>
      <w:r>
        <w:rPr>
          <w:rFonts w:ascii="Times New Roman" w:hAnsi="Times New Roman" w:cs="Times New Roman" w:hint="eastAsia"/>
          <w:szCs w:val="22"/>
        </w:rPr>
        <w:t>e</w:t>
      </w:r>
      <w:r>
        <w:rPr>
          <w:rFonts w:ascii="Times New Roman" w:hAnsi="Times New Roman" w:cs="Times New Roman"/>
          <w:szCs w:val="22"/>
        </w:rPr>
        <w:t xml:space="preserve">s of GABPA and GABPA-HA protein levels in </w:t>
      </w:r>
      <w:r>
        <w:rPr>
          <w:rFonts w:ascii="Times New Roman" w:eastAsia="SimSun" w:hAnsi="Times New Roman" w:cs="Times New Roman"/>
          <w:i/>
          <w:szCs w:val="22"/>
          <w:lang w:bidi="ar"/>
        </w:rPr>
        <w:t>Gabpa</w:t>
      </w:r>
      <w:r>
        <w:rPr>
          <w:rFonts w:ascii="Times New Roman" w:eastAsia="SimSun" w:hAnsi="Times New Roman" w:cs="Times New Roman"/>
          <w:iCs/>
          <w:szCs w:val="22"/>
          <w:vertAlign w:val="superscript"/>
          <w:lang w:bidi="ar"/>
        </w:rPr>
        <w:t>dTAG/dTAG</w:t>
      </w:r>
      <w:r>
        <w:rPr>
          <w:rFonts w:ascii="Times New Roman" w:eastAsia="SimSun" w:hAnsi="Times New Roman" w:cs="Times New Roman"/>
          <w:iCs/>
          <w:szCs w:val="22"/>
          <w:lang w:bidi="ar"/>
        </w:rPr>
        <w:t xml:space="preserve"> </w:t>
      </w:r>
      <w:r>
        <w:rPr>
          <w:rFonts w:ascii="Times New Roman" w:eastAsia="SimSun" w:hAnsi="Times New Roman" w:cs="Times New Roman"/>
          <w:szCs w:val="22"/>
          <w:lang w:bidi="ar"/>
        </w:rPr>
        <w:t>mESCs treated with DMSO or 500 nM dTAG13 for 1 hour</w:t>
      </w:r>
      <w:r>
        <w:rPr>
          <w:rFonts w:ascii="Times New Roman" w:hAnsi="Times New Roman" w:cs="Times New Roman"/>
          <w:szCs w:val="22"/>
        </w:rPr>
        <w:t>. β-Actin serves as a loading control.</w:t>
      </w:r>
    </w:p>
    <w:p w14:paraId="3F39E10D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(B) Apoptosis assay showing percentages of live, early apoptotic, late apoptotic, and necrotic cells in </w:t>
      </w:r>
      <w:r>
        <w:rPr>
          <w:rFonts w:ascii="Times New Roman" w:eastAsia="SimSun" w:hAnsi="Times New Roman" w:cs="Times New Roman"/>
          <w:i/>
          <w:szCs w:val="22"/>
          <w:lang w:bidi="ar"/>
        </w:rPr>
        <w:t>Gabpa</w:t>
      </w:r>
      <w:r>
        <w:rPr>
          <w:rFonts w:ascii="Times New Roman" w:eastAsia="SimSun" w:hAnsi="Times New Roman" w:cs="Times New Roman"/>
          <w:iCs/>
          <w:szCs w:val="22"/>
          <w:vertAlign w:val="superscript"/>
          <w:lang w:bidi="ar"/>
        </w:rPr>
        <w:t>dTAG/dTAG</w:t>
      </w:r>
      <w:r>
        <w:rPr>
          <w:rFonts w:ascii="Times New Roman" w:eastAsia="SimSun" w:hAnsi="Times New Roman" w:cs="Times New Roman"/>
          <w:iCs/>
          <w:szCs w:val="22"/>
          <w:lang w:bidi="ar"/>
        </w:rPr>
        <w:t xml:space="preserve"> </w:t>
      </w:r>
      <w:r>
        <w:rPr>
          <w:rFonts w:ascii="Times New Roman" w:eastAsia="SimSun" w:hAnsi="Times New Roman" w:cs="Times New Roman"/>
          <w:szCs w:val="22"/>
          <w:lang w:bidi="ar"/>
        </w:rPr>
        <w:t xml:space="preserve">mESCs </w:t>
      </w:r>
      <w:r>
        <w:rPr>
          <w:rFonts w:ascii="Times New Roman" w:hAnsi="Times New Roman" w:cs="Times New Roman"/>
          <w:szCs w:val="22"/>
        </w:rPr>
        <w:t>treated with DMSO or 500 nM dTAG13 for the indicated times (9, 12, 18 hours).</w:t>
      </w:r>
    </w:p>
    <w:p w14:paraId="2A7B82BF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(C) Cell cycle analysis of </w:t>
      </w:r>
      <w:r>
        <w:rPr>
          <w:rFonts w:ascii="Times New Roman" w:hAnsi="Times New Roman" w:cs="Times New Roman"/>
          <w:i/>
          <w:iCs/>
          <w:szCs w:val="22"/>
        </w:rPr>
        <w:t>Gabpa</w:t>
      </w:r>
      <w:r>
        <w:rPr>
          <w:rFonts w:ascii="Times New Roman" w:hAnsi="Times New Roman" w:cs="Times New Roman"/>
          <w:szCs w:val="22"/>
          <w:vertAlign w:val="superscript"/>
        </w:rPr>
        <w:t>dTAG/dTAG</w:t>
      </w:r>
      <w:r>
        <w:rPr>
          <w:rFonts w:ascii="Times New Roman" w:hAnsi="Times New Roman" w:cs="Times New Roman"/>
          <w:szCs w:val="22"/>
        </w:rPr>
        <w:t xml:space="preserve"> mESCs treated with DMSO or 500 nM dTAG13 for the indicated times</w:t>
      </w:r>
      <w:r>
        <w:rPr>
          <w:rFonts w:ascii="Times New Roman" w:hAnsi="Times New Roman" w:cs="Times New Roman" w:hint="eastAsia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 xml:space="preserve">(9, 12, 15 hours). Percentages of cells </w:t>
      </w:r>
      <w:r>
        <w:rPr>
          <w:rFonts w:ascii="Times New Roman" w:hAnsi="Times New Roman" w:cs="Times New Roman" w:hint="eastAsia"/>
          <w:szCs w:val="22"/>
        </w:rPr>
        <w:t>at</w:t>
      </w:r>
      <w:r>
        <w:rPr>
          <w:rFonts w:ascii="Times New Roman" w:hAnsi="Times New Roman" w:cs="Times New Roman"/>
          <w:szCs w:val="22"/>
        </w:rPr>
        <w:t xml:space="preserve"> G1, S, and G2/M phases are shown. **</w:t>
      </w:r>
      <w:r>
        <w:rPr>
          <w:rFonts w:ascii="Times New Roman" w:hAnsi="Times New Roman" w:cs="Times New Roman"/>
          <w:i/>
          <w:iCs/>
          <w:szCs w:val="22"/>
        </w:rPr>
        <w:t>P</w:t>
      </w:r>
      <w:r>
        <w:rPr>
          <w:rFonts w:ascii="Times New Roman" w:hAnsi="Times New Roman" w:cs="Times New Roman"/>
          <w:szCs w:val="22"/>
        </w:rPr>
        <w:t xml:space="preserve"> &lt; 0.01, two-way ANOVA. </w:t>
      </w:r>
    </w:p>
    <w:p w14:paraId="5F5396C0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(D) The gene expression levels of </w:t>
      </w:r>
      <w:r>
        <w:rPr>
          <w:rFonts w:ascii="Times New Roman" w:hAnsi="Times New Roman" w:cs="Times New Roman"/>
          <w:i/>
          <w:iCs/>
          <w:szCs w:val="22"/>
        </w:rPr>
        <w:t>Gabpa</w:t>
      </w:r>
      <w:r>
        <w:rPr>
          <w:rFonts w:ascii="Times New Roman" w:hAnsi="Times New Roman" w:cs="Times New Roman"/>
          <w:szCs w:val="22"/>
        </w:rPr>
        <w:t>,</w:t>
      </w:r>
      <w:r>
        <w:rPr>
          <w:rFonts w:ascii="Times New Roman" w:hAnsi="Times New Roman" w:cs="Times New Roman" w:hint="eastAsia"/>
          <w:szCs w:val="22"/>
        </w:rPr>
        <w:t xml:space="preserve"> </w:t>
      </w:r>
      <w:r>
        <w:rPr>
          <w:rFonts w:ascii="Times New Roman" w:hAnsi="Times New Roman" w:cs="Times New Roman" w:hint="eastAsia"/>
          <w:i/>
          <w:iCs/>
          <w:szCs w:val="22"/>
        </w:rPr>
        <w:t>Gab</w:t>
      </w:r>
      <w:r>
        <w:rPr>
          <w:rFonts w:ascii="Times New Roman" w:hAnsi="Times New Roman" w:cs="Times New Roman"/>
          <w:i/>
          <w:iCs/>
          <w:szCs w:val="22"/>
        </w:rPr>
        <w:t>pb1</w:t>
      </w:r>
      <w:r>
        <w:rPr>
          <w:rFonts w:ascii="Times New Roman" w:hAnsi="Times New Roman" w:cs="Times New Roman"/>
          <w:szCs w:val="22"/>
        </w:rPr>
        <w:t xml:space="preserve"> and </w:t>
      </w:r>
      <w:r>
        <w:rPr>
          <w:rFonts w:ascii="Times New Roman" w:hAnsi="Times New Roman" w:cs="Times New Roman"/>
          <w:i/>
          <w:iCs/>
          <w:szCs w:val="22"/>
        </w:rPr>
        <w:t>Gabpb2</w:t>
      </w:r>
      <w:r>
        <w:rPr>
          <w:rFonts w:ascii="Times New Roman" w:hAnsi="Times New Roman" w:cs="Times New Roman" w:hint="eastAsia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during early mouse development. FPKM, fragments per kilobase million.</w:t>
      </w:r>
    </w:p>
    <w:p w14:paraId="24CB3AE3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(E) Western blot analys</w:t>
      </w:r>
      <w:r>
        <w:rPr>
          <w:rFonts w:ascii="Times New Roman" w:hAnsi="Times New Roman" w:cs="Times New Roman" w:hint="eastAsia"/>
          <w:szCs w:val="22"/>
        </w:rPr>
        <w:t>e</w:t>
      </w:r>
      <w:r>
        <w:rPr>
          <w:rFonts w:ascii="Times New Roman" w:hAnsi="Times New Roman" w:cs="Times New Roman"/>
          <w:szCs w:val="22"/>
        </w:rPr>
        <w:t xml:space="preserve">s of GABPB1-HA in </w:t>
      </w:r>
      <w:r>
        <w:rPr>
          <w:rFonts w:ascii="Times New Roman" w:hAnsi="Times New Roman" w:cs="Times New Roman"/>
          <w:i/>
          <w:iCs/>
          <w:szCs w:val="22"/>
        </w:rPr>
        <w:t>Gabpb1</w:t>
      </w:r>
      <w:r>
        <w:rPr>
          <w:rFonts w:ascii="Times New Roman" w:hAnsi="Times New Roman" w:cs="Times New Roman"/>
          <w:szCs w:val="22"/>
          <w:vertAlign w:val="superscript"/>
        </w:rPr>
        <w:t>dTAG/dTAG</w:t>
      </w:r>
      <w:r>
        <w:rPr>
          <w:rFonts w:ascii="Times New Roman" w:hAnsi="Times New Roman" w:cs="Times New Roman"/>
          <w:szCs w:val="22"/>
        </w:rPr>
        <w:t xml:space="preserve"> mESCs treated with DMSO or 500 nM dTAG13 for 1 hour.  </w:t>
      </w:r>
    </w:p>
    <w:p w14:paraId="239EE8F7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lastRenderedPageBreak/>
        <w:t>(F) Western blot analys</w:t>
      </w:r>
      <w:r>
        <w:rPr>
          <w:rFonts w:ascii="Times New Roman" w:hAnsi="Times New Roman" w:cs="Times New Roman" w:hint="eastAsia"/>
          <w:szCs w:val="22"/>
        </w:rPr>
        <w:t>e</w:t>
      </w:r>
      <w:r>
        <w:rPr>
          <w:rFonts w:ascii="Times New Roman" w:hAnsi="Times New Roman" w:cs="Times New Roman"/>
          <w:szCs w:val="22"/>
        </w:rPr>
        <w:t xml:space="preserve">s of GABPB2-Flag and GABPB1-HA in </w:t>
      </w:r>
      <w:r>
        <w:rPr>
          <w:rFonts w:ascii="Times New Roman" w:hAnsi="Times New Roman" w:cs="Times New Roman"/>
          <w:i/>
          <w:iCs/>
          <w:szCs w:val="22"/>
        </w:rPr>
        <w:t xml:space="preserve">Gabpb1/b2 </w:t>
      </w:r>
      <w:r>
        <w:rPr>
          <w:rFonts w:ascii="Times New Roman" w:hAnsi="Times New Roman" w:cs="Times New Roman"/>
          <w:szCs w:val="22"/>
          <w:vertAlign w:val="superscript"/>
        </w:rPr>
        <w:t>dTAG/dTAG</w:t>
      </w:r>
      <w:r>
        <w:rPr>
          <w:rFonts w:ascii="Times New Roman" w:hAnsi="Times New Roman" w:cs="Times New Roman"/>
          <w:szCs w:val="22"/>
        </w:rPr>
        <w:t xml:space="preserve"> mESCs treated with DMSO or 500 nM dTAG13 for 1 hour.</w:t>
      </w:r>
    </w:p>
    <w:p w14:paraId="225BFEAF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(G) Scatter plots showing the Pearson correlation coefficient of RNA-seq between two replicates in </w:t>
      </w:r>
      <w:r>
        <w:rPr>
          <w:rFonts w:ascii="Times New Roman" w:hAnsi="Times New Roman" w:cs="Times New Roman" w:hint="eastAsia"/>
          <w:szCs w:val="22"/>
        </w:rPr>
        <w:t>m</w:t>
      </w:r>
      <w:r>
        <w:rPr>
          <w:rFonts w:ascii="Times New Roman" w:hAnsi="Times New Roman" w:cs="Times New Roman"/>
          <w:szCs w:val="22"/>
        </w:rPr>
        <w:t>ESCs with DMSO and dTAG treatment after GABPA, GABPB1 and GABPB1&amp;B2 depletion for 12 hours.</w:t>
      </w:r>
    </w:p>
    <w:p w14:paraId="3E4646D5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(H) Venn diagram showing the overlapping significant</w:t>
      </w:r>
      <w:r>
        <w:rPr>
          <w:rFonts w:ascii="Times New Roman" w:hAnsi="Times New Roman" w:cs="Times New Roman" w:hint="eastAsia"/>
          <w:szCs w:val="22"/>
        </w:rPr>
        <w:t>ly</w:t>
      </w:r>
      <w:r>
        <w:rPr>
          <w:rFonts w:ascii="Times New Roman" w:hAnsi="Times New Roman" w:cs="Times New Roman"/>
          <w:szCs w:val="22"/>
        </w:rPr>
        <w:t xml:space="preserve"> upregulated genes after GABPA, GABPB1 and GABPB1&amp;B2 depletion for 12 hours.</w:t>
      </w:r>
    </w:p>
    <w:p w14:paraId="29182941" w14:textId="77777777" w:rsidR="00B35FA9" w:rsidRDefault="00B35FA9" w:rsidP="00B35FA9">
      <w:pPr>
        <w:widowControl/>
        <w:spacing w:after="0" w:line="240" w:lineRule="auto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br w:type="page"/>
      </w:r>
    </w:p>
    <w:p w14:paraId="1EF36E38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</w:p>
    <w:p w14:paraId="7BD81862" w14:textId="77777777" w:rsidR="00B35FA9" w:rsidRDefault="00B35FA9" w:rsidP="00B35FA9">
      <w:pPr>
        <w:spacing w:after="0" w:line="360" w:lineRule="auto"/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 w:hint="eastAsia"/>
          <w:noProof/>
          <w:szCs w:val="22"/>
          <w14:ligatures w14:val="none"/>
        </w:rPr>
        <w:drawing>
          <wp:inline distT="0" distB="0" distL="0" distR="0" wp14:anchorId="4014F1FD" wp14:editId="7E944282">
            <wp:extent cx="3238150" cy="4192247"/>
            <wp:effectExtent l="0" t="0" r="635" b="0"/>
            <wp:docPr id="1890683251" name="图片 10" descr="图形用户界面,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683251" name="图片 10" descr="图形用户界面, 图示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3696" cy="4212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2C50BA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 xml:space="preserve">Figure S2. Validation of the GABPA </w:t>
      </w:r>
      <w:r>
        <w:rPr>
          <w:rFonts w:ascii="Times New Roman" w:hAnsi="Times New Roman" w:cs="Times New Roman" w:hint="eastAsia"/>
          <w:b/>
          <w:bCs/>
          <w:szCs w:val="22"/>
        </w:rPr>
        <w:t>interactome</w:t>
      </w:r>
    </w:p>
    <w:p w14:paraId="3B21C36A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(A) Western blot of GABPA-HA and β-</w:t>
      </w:r>
      <w:r>
        <w:rPr>
          <w:rFonts w:ascii="Times New Roman" w:hAnsi="Times New Roman" w:cs="Times New Roman" w:hint="eastAsia"/>
          <w:szCs w:val="22"/>
        </w:rPr>
        <w:t>A</w:t>
      </w:r>
      <w:r>
        <w:rPr>
          <w:rFonts w:ascii="Times New Roman" w:hAnsi="Times New Roman" w:cs="Times New Roman"/>
          <w:szCs w:val="22"/>
        </w:rPr>
        <w:t xml:space="preserve">ctin in input lysates and HA-IP samples from </w:t>
      </w:r>
      <w:r>
        <w:rPr>
          <w:rFonts w:ascii="Times New Roman" w:hAnsi="Times New Roman" w:cs="Times New Roman"/>
          <w:i/>
          <w:szCs w:val="22"/>
          <w:lang w:bidi="ar"/>
        </w:rPr>
        <w:t>Gabpa</w:t>
      </w:r>
      <w:r>
        <w:rPr>
          <w:rFonts w:ascii="Times New Roman" w:hAnsi="Times New Roman" w:cs="Times New Roman"/>
          <w:iCs/>
          <w:szCs w:val="22"/>
          <w:vertAlign w:val="superscript"/>
          <w:lang w:bidi="ar"/>
        </w:rPr>
        <w:t>dTAG/dTAG</w:t>
      </w:r>
      <w:r>
        <w:rPr>
          <w:rFonts w:ascii="Times New Roman" w:hAnsi="Times New Roman" w:cs="Times New Roman"/>
          <w:iCs/>
          <w:szCs w:val="22"/>
          <w:lang w:bidi="ar"/>
        </w:rPr>
        <w:t xml:space="preserve"> </w:t>
      </w:r>
      <w:r>
        <w:rPr>
          <w:rFonts w:ascii="Times New Roman" w:hAnsi="Times New Roman" w:cs="Times New Roman"/>
          <w:szCs w:val="22"/>
          <w:lang w:bidi="ar"/>
        </w:rPr>
        <w:t>mESCs treated with DMSO or 500 nM dTAG13 for 12 hours</w:t>
      </w:r>
      <w:r>
        <w:rPr>
          <w:rFonts w:ascii="Times New Roman" w:hAnsi="Times New Roman" w:cs="Times New Roman"/>
          <w:szCs w:val="22"/>
        </w:rPr>
        <w:t>.</w:t>
      </w:r>
    </w:p>
    <w:p w14:paraId="19529D2A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(B) Scatter plots showing the Pearson correlation coefficient of Co</w:t>
      </w:r>
      <w:r>
        <w:rPr>
          <w:rFonts w:ascii="Times New Roman" w:hAnsi="Times New Roman" w:cs="Times New Roman" w:hint="eastAsia"/>
          <w:szCs w:val="22"/>
        </w:rPr>
        <w:t>IP-MS</w:t>
      </w:r>
      <w:r>
        <w:rPr>
          <w:rFonts w:ascii="Times New Roman" w:hAnsi="Times New Roman" w:cs="Times New Roman"/>
          <w:szCs w:val="22"/>
        </w:rPr>
        <w:t xml:space="preserve"> intensity with DMSO and dTAG treatment. </w:t>
      </w:r>
    </w:p>
    <w:p w14:paraId="11641E11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(C) </w:t>
      </w:r>
      <w:r>
        <w:rPr>
          <w:rFonts w:ascii="Times New Roman" w:hAnsi="Times New Roman" w:cs="Times New Roman" w:hint="eastAsia"/>
          <w:szCs w:val="22"/>
        </w:rPr>
        <w:t>Co-</w:t>
      </w:r>
      <w:r>
        <w:rPr>
          <w:rFonts w:ascii="Times New Roman" w:hAnsi="Times New Roman" w:cs="Times New Roman"/>
          <w:szCs w:val="22"/>
        </w:rPr>
        <w:t>IP analys</w:t>
      </w:r>
      <w:r>
        <w:rPr>
          <w:rFonts w:ascii="Times New Roman" w:hAnsi="Times New Roman" w:cs="Times New Roman" w:hint="eastAsia"/>
          <w:szCs w:val="22"/>
        </w:rPr>
        <w:t>e</w:t>
      </w:r>
      <w:r>
        <w:rPr>
          <w:rFonts w:ascii="Times New Roman" w:hAnsi="Times New Roman" w:cs="Times New Roman"/>
          <w:szCs w:val="22"/>
        </w:rPr>
        <w:t>s of GABPA-HA interactions with CDK7, CDK9, and other transcriptional regulators</w:t>
      </w:r>
      <w:r>
        <w:rPr>
          <w:rFonts w:ascii="Times New Roman" w:hAnsi="Times New Roman" w:cs="Times New Roman" w:hint="eastAsia"/>
          <w:szCs w:val="22"/>
        </w:rPr>
        <w:t xml:space="preserve"> identified through CoIP-MS</w:t>
      </w:r>
      <w:r>
        <w:rPr>
          <w:rFonts w:ascii="Times New Roman" w:hAnsi="Times New Roman" w:cs="Times New Roman"/>
          <w:szCs w:val="22"/>
        </w:rPr>
        <w:t xml:space="preserve"> (ANLN</w:t>
      </w:r>
      <w:r>
        <w:rPr>
          <w:rFonts w:ascii="Times New Roman" w:hAnsi="Times New Roman" w:cs="Times New Roman" w:hint="eastAsia"/>
          <w:szCs w:val="22"/>
        </w:rPr>
        <w:t xml:space="preserve">, </w:t>
      </w:r>
      <w:r>
        <w:rPr>
          <w:rFonts w:ascii="Times New Roman" w:hAnsi="Times New Roman" w:cs="Times New Roman"/>
          <w:szCs w:val="22"/>
        </w:rPr>
        <w:t xml:space="preserve">DDX21, NPM1, </w:t>
      </w:r>
      <w:r>
        <w:rPr>
          <w:rFonts w:ascii="Times New Roman" w:hAnsi="Times New Roman" w:cs="Times New Roman" w:hint="eastAsia"/>
          <w:szCs w:val="22"/>
        </w:rPr>
        <w:t>and SPT5</w:t>
      </w:r>
      <w:r>
        <w:rPr>
          <w:rFonts w:ascii="Times New Roman" w:hAnsi="Times New Roman" w:cs="Times New Roman"/>
          <w:szCs w:val="22"/>
        </w:rPr>
        <w:t>).</w:t>
      </w:r>
    </w:p>
    <w:p w14:paraId="48E2226E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</w:p>
    <w:p w14:paraId="264FAEE7" w14:textId="77777777" w:rsidR="00B35FA9" w:rsidRDefault="00B35FA9" w:rsidP="00B35FA9">
      <w:pPr>
        <w:spacing w:after="0" w:line="360" w:lineRule="auto"/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 w:hint="eastAsia"/>
          <w:noProof/>
          <w:szCs w:val="22"/>
          <w14:ligatures w14:val="none"/>
        </w:rPr>
        <w:lastRenderedPageBreak/>
        <w:drawing>
          <wp:inline distT="0" distB="0" distL="0" distR="0" wp14:anchorId="18C87FFF" wp14:editId="560C1977">
            <wp:extent cx="3994150" cy="3355086"/>
            <wp:effectExtent l="0" t="0" r="0" b="0"/>
            <wp:docPr id="1163378284" name="图片 11" descr="A diagram of a number of different types of dn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378284" name="图片 11" descr="A diagram of a number of different types of dna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3855" cy="3363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59EB2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Figure S3. Gene expression after GABPA depletion for 12 hours</w:t>
      </w:r>
    </w:p>
    <w:p w14:paraId="3ED5F725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(A) Scatter plots showing the Pearson correlation coefficient of SLAM-seq</w:t>
      </w:r>
      <w:r>
        <w:rPr>
          <w:rFonts w:ascii="Times New Roman" w:hAnsi="Times New Roman" w:cs="Times New Roman" w:hint="eastAsia"/>
          <w:szCs w:val="22"/>
        </w:rPr>
        <w:t xml:space="preserve"> and INTS11 CUT&amp;Tag</w:t>
      </w:r>
      <w:r>
        <w:rPr>
          <w:rFonts w:ascii="Times New Roman" w:hAnsi="Times New Roman" w:cs="Times New Roman"/>
          <w:szCs w:val="22"/>
        </w:rPr>
        <w:t xml:space="preserve"> between two replicates in </w:t>
      </w:r>
      <w:r>
        <w:rPr>
          <w:rFonts w:ascii="Times New Roman" w:hAnsi="Times New Roman" w:cs="Times New Roman" w:hint="eastAsia"/>
          <w:szCs w:val="22"/>
        </w:rPr>
        <w:t>m</w:t>
      </w:r>
      <w:r>
        <w:rPr>
          <w:rFonts w:ascii="Times New Roman" w:hAnsi="Times New Roman" w:cs="Times New Roman"/>
          <w:szCs w:val="22"/>
        </w:rPr>
        <w:t>ESCs with DMSO and dTAG treatment after GABPA degradation for 12 hours.</w:t>
      </w:r>
    </w:p>
    <w:p w14:paraId="3177102C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(B) The percentage of down- and</w:t>
      </w:r>
      <w:r>
        <w:rPr>
          <w:rFonts w:ascii="Times New Roman" w:hAnsi="Times New Roman" w:cs="Times New Roman" w:hint="eastAsia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up-regulated EPI and PrE genes after GABPA depletion for 12 hours.</w:t>
      </w:r>
    </w:p>
    <w:p w14:paraId="3FB437A2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(C) RT-qPCR analys</w:t>
      </w:r>
      <w:r>
        <w:rPr>
          <w:rFonts w:ascii="Times New Roman" w:hAnsi="Times New Roman" w:cs="Times New Roman" w:hint="eastAsia"/>
          <w:szCs w:val="22"/>
        </w:rPr>
        <w:t>e</w:t>
      </w:r>
      <w:r>
        <w:rPr>
          <w:rFonts w:ascii="Times New Roman" w:hAnsi="Times New Roman" w:cs="Times New Roman"/>
          <w:szCs w:val="22"/>
        </w:rPr>
        <w:t>s showing expression of GABPA target genes (</w:t>
      </w:r>
      <w:r>
        <w:rPr>
          <w:rFonts w:ascii="Times New Roman" w:hAnsi="Times New Roman" w:cs="Times New Roman"/>
          <w:i/>
          <w:iCs/>
          <w:szCs w:val="22"/>
        </w:rPr>
        <w:t>E2f4</w:t>
      </w:r>
      <w:r>
        <w:rPr>
          <w:rFonts w:ascii="Times New Roman" w:hAnsi="Times New Roman" w:cs="Times New Roman"/>
          <w:szCs w:val="22"/>
        </w:rPr>
        <w:t xml:space="preserve">, </w:t>
      </w:r>
      <w:r>
        <w:rPr>
          <w:rFonts w:ascii="Times New Roman" w:hAnsi="Times New Roman" w:cs="Times New Roman" w:hint="eastAsia"/>
          <w:i/>
          <w:iCs/>
          <w:szCs w:val="22"/>
        </w:rPr>
        <w:t>Chchd5</w:t>
      </w:r>
      <w:r>
        <w:rPr>
          <w:rFonts w:ascii="Times New Roman" w:hAnsi="Times New Roman" w:cs="Times New Roman"/>
          <w:szCs w:val="22"/>
        </w:rPr>
        <w:t xml:space="preserve">, etc.) </w:t>
      </w:r>
      <w:r>
        <w:rPr>
          <w:rFonts w:ascii="Times New Roman" w:hAnsi="Times New Roman" w:cs="Times New Roman" w:hint="eastAsia"/>
          <w:szCs w:val="22"/>
        </w:rPr>
        <w:t>that have more than three GABPA binding motifs around the promoter region</w:t>
      </w:r>
      <w:r>
        <w:rPr>
          <w:rFonts w:ascii="Times New Roman" w:hAnsi="Times New Roman" w:cs="Times New Roman"/>
          <w:szCs w:val="22"/>
        </w:rPr>
        <w:t xml:space="preserve"> in </w:t>
      </w:r>
      <w:r>
        <w:rPr>
          <w:rFonts w:ascii="Times New Roman" w:hAnsi="Times New Roman" w:cs="Times New Roman"/>
          <w:i/>
          <w:iCs/>
          <w:szCs w:val="22"/>
        </w:rPr>
        <w:t>Gabpa</w:t>
      </w:r>
      <w:r>
        <w:rPr>
          <w:rFonts w:ascii="Times New Roman" w:hAnsi="Times New Roman" w:cs="Times New Roman"/>
          <w:szCs w:val="22"/>
          <w:vertAlign w:val="superscript"/>
        </w:rPr>
        <w:t>dTAG/dTAG</w:t>
      </w:r>
      <w:r>
        <w:rPr>
          <w:rFonts w:ascii="Times New Roman" w:hAnsi="Times New Roman" w:cs="Times New Roman"/>
          <w:szCs w:val="22"/>
        </w:rPr>
        <w:t xml:space="preserve"> mESCs treated with DMSO or 500 nM dTAG13 for 12 hours. </w:t>
      </w:r>
      <w:r>
        <w:rPr>
          <w:rFonts w:ascii="Times New Roman" w:hAnsi="Times New Roman" w:cs="Times New Roman" w:hint="eastAsia"/>
          <w:szCs w:val="22"/>
        </w:rPr>
        <w:t>The data are presented as the mean ± SD</w:t>
      </w:r>
      <w:r>
        <w:rPr>
          <w:rFonts w:ascii="Times New Roman" w:hAnsi="Times New Roman" w:cs="Times New Roman"/>
          <w:szCs w:val="22"/>
        </w:rPr>
        <w:t xml:space="preserve"> </w:t>
      </w:r>
      <w:r>
        <w:rPr>
          <w:rFonts w:ascii="Times New Roman" w:hAnsi="Times New Roman" w:cs="Times New Roman" w:hint="eastAsia"/>
          <w:szCs w:val="22"/>
        </w:rPr>
        <w:t>(</w:t>
      </w:r>
      <w:r>
        <w:rPr>
          <w:rFonts w:ascii="Times New Roman" w:hAnsi="Times New Roman" w:cs="Times New Roman"/>
          <w:szCs w:val="22"/>
        </w:rPr>
        <w:t>n = 3</w:t>
      </w:r>
      <w:r>
        <w:rPr>
          <w:rFonts w:ascii="Times New Roman" w:hAnsi="Times New Roman" w:cs="Times New Roman" w:hint="eastAsia"/>
          <w:szCs w:val="22"/>
        </w:rPr>
        <w:t>)</w:t>
      </w:r>
      <w:r>
        <w:rPr>
          <w:rFonts w:ascii="Times New Roman" w:hAnsi="Times New Roman" w:cs="Times New Roman"/>
          <w:szCs w:val="22"/>
        </w:rPr>
        <w:t>. Data are normalized to DMSO controls. *</w:t>
      </w:r>
      <w:r>
        <w:rPr>
          <w:rFonts w:ascii="Times New Roman" w:hAnsi="Times New Roman" w:cs="Times New Roman"/>
          <w:i/>
          <w:iCs/>
          <w:szCs w:val="22"/>
        </w:rPr>
        <w:t>P</w:t>
      </w:r>
      <w:r>
        <w:rPr>
          <w:rFonts w:ascii="Times New Roman" w:hAnsi="Times New Roman" w:cs="Times New Roman"/>
          <w:szCs w:val="22"/>
        </w:rPr>
        <w:t xml:space="preserve"> &lt; 0.05, ***</w:t>
      </w:r>
      <w:r>
        <w:rPr>
          <w:rFonts w:ascii="Times New Roman" w:hAnsi="Times New Roman" w:cs="Times New Roman"/>
          <w:i/>
          <w:iCs/>
          <w:szCs w:val="22"/>
        </w:rPr>
        <w:t>P</w:t>
      </w:r>
      <w:r>
        <w:rPr>
          <w:rFonts w:ascii="Times New Roman" w:hAnsi="Times New Roman" w:cs="Times New Roman"/>
          <w:szCs w:val="22"/>
        </w:rPr>
        <w:t xml:space="preserve"> &lt; 0.001.</w:t>
      </w:r>
    </w:p>
    <w:p w14:paraId="7FC71EE9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</w:p>
    <w:p w14:paraId="14F9C16A" w14:textId="77777777" w:rsidR="00B35FA9" w:rsidRDefault="00B35FA9" w:rsidP="00B35FA9">
      <w:pPr>
        <w:spacing w:after="0" w:line="360" w:lineRule="auto"/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 w:hint="eastAsia"/>
          <w:noProof/>
          <w:szCs w:val="22"/>
          <w14:ligatures w14:val="none"/>
        </w:rPr>
        <w:lastRenderedPageBreak/>
        <w:drawing>
          <wp:inline distT="0" distB="0" distL="0" distR="0" wp14:anchorId="49C548D3" wp14:editId="3087A357">
            <wp:extent cx="5274310" cy="4490720"/>
            <wp:effectExtent l="0" t="0" r="0" b="5080"/>
            <wp:docPr id="559557308" name="图片 13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557308" name="图片 13" descr="图示, 示意图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9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DC138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Figure S4. GABPA rapidly activates a core transcriptional program critical for ribosome biogenesis and RNA processing</w:t>
      </w:r>
    </w:p>
    <w:p w14:paraId="0F6A66A6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(A) Scatter plots showing the Pearson correlation coefficient of SLAM-seq between two replicates in </w:t>
      </w:r>
      <w:r>
        <w:rPr>
          <w:rFonts w:ascii="Times New Roman" w:hAnsi="Times New Roman" w:cs="Times New Roman" w:hint="eastAsia"/>
          <w:szCs w:val="22"/>
        </w:rPr>
        <w:t>m</w:t>
      </w:r>
      <w:r>
        <w:rPr>
          <w:rFonts w:ascii="Times New Roman" w:hAnsi="Times New Roman" w:cs="Times New Roman"/>
          <w:szCs w:val="22"/>
        </w:rPr>
        <w:t>ESCs with DMSO and dTAG treatment after GABPA de</w:t>
      </w:r>
      <w:r>
        <w:rPr>
          <w:rFonts w:ascii="Times New Roman" w:hAnsi="Times New Roman" w:cs="Times New Roman" w:hint="eastAsia"/>
          <w:szCs w:val="22"/>
        </w:rPr>
        <w:t>ple</w:t>
      </w:r>
      <w:r>
        <w:rPr>
          <w:rFonts w:ascii="Times New Roman" w:hAnsi="Times New Roman" w:cs="Times New Roman"/>
          <w:szCs w:val="22"/>
        </w:rPr>
        <w:t>tion for 1, 2</w:t>
      </w:r>
      <w:r>
        <w:rPr>
          <w:rFonts w:ascii="Times New Roman" w:hAnsi="Times New Roman" w:cs="Times New Roman" w:hint="eastAsia"/>
          <w:szCs w:val="22"/>
        </w:rPr>
        <w:t>,</w:t>
      </w:r>
      <w:r>
        <w:rPr>
          <w:rFonts w:ascii="Times New Roman" w:hAnsi="Times New Roman" w:cs="Times New Roman"/>
          <w:szCs w:val="22"/>
        </w:rPr>
        <w:t xml:space="preserve"> and 4 hours.</w:t>
      </w:r>
    </w:p>
    <w:p w14:paraId="7FF0B7F5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(B) Heatmap</w:t>
      </w:r>
      <w:r>
        <w:rPr>
          <w:rFonts w:ascii="Times New Roman" w:hAnsi="Times New Roman" w:cs="Times New Roman" w:hint="eastAsia"/>
          <w:szCs w:val="22"/>
        </w:rPr>
        <w:t>s</w:t>
      </w:r>
      <w:r>
        <w:rPr>
          <w:rFonts w:ascii="Times New Roman" w:hAnsi="Times New Roman" w:cs="Times New Roman"/>
          <w:szCs w:val="22"/>
        </w:rPr>
        <w:t xml:space="preserve"> showing differentially expressed </w:t>
      </w:r>
      <w:r>
        <w:rPr>
          <w:rFonts w:ascii="Times New Roman" w:hAnsi="Times New Roman" w:cs="Times New Roman" w:hint="eastAsia"/>
          <w:szCs w:val="22"/>
        </w:rPr>
        <w:t>genes</w:t>
      </w:r>
      <w:r>
        <w:rPr>
          <w:rFonts w:ascii="Times New Roman" w:hAnsi="Times New Roman" w:cs="Times New Roman"/>
          <w:szCs w:val="22"/>
        </w:rPr>
        <w:t>, clustered with the Venn diagram in Figure 4D.</w:t>
      </w:r>
    </w:p>
    <w:p w14:paraId="50CE210C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(C and D) </w:t>
      </w:r>
      <w:r>
        <w:rPr>
          <w:rFonts w:ascii="Times New Roman" w:hAnsi="Times New Roman" w:cs="Times New Roman" w:hint="eastAsia"/>
          <w:szCs w:val="22"/>
        </w:rPr>
        <w:t>GO</w:t>
      </w:r>
      <w:r>
        <w:rPr>
          <w:rFonts w:ascii="Times New Roman" w:hAnsi="Times New Roman" w:cs="Times New Roman"/>
          <w:szCs w:val="22"/>
        </w:rPr>
        <w:t xml:space="preserve"> enrichment analys</w:t>
      </w:r>
      <w:r>
        <w:rPr>
          <w:rFonts w:ascii="Times New Roman" w:hAnsi="Times New Roman" w:cs="Times New Roman" w:hint="eastAsia"/>
          <w:szCs w:val="22"/>
        </w:rPr>
        <w:t>e</w:t>
      </w:r>
      <w:r>
        <w:rPr>
          <w:rFonts w:ascii="Times New Roman" w:hAnsi="Times New Roman" w:cs="Times New Roman"/>
          <w:szCs w:val="22"/>
        </w:rPr>
        <w:t>s of down-regulated genes in SLAM-seq after GABPA depletion for 2 hour</w:t>
      </w:r>
      <w:r>
        <w:rPr>
          <w:rFonts w:ascii="Times New Roman" w:hAnsi="Times New Roman" w:cs="Times New Roman" w:hint="eastAsia"/>
          <w:szCs w:val="22"/>
        </w:rPr>
        <w:t>s</w:t>
      </w:r>
      <w:r>
        <w:rPr>
          <w:rFonts w:ascii="Times New Roman" w:hAnsi="Times New Roman" w:cs="Times New Roman"/>
          <w:szCs w:val="22"/>
        </w:rPr>
        <w:t xml:space="preserve"> (C) and 4 hours (D). The enriched terms are ranked by -log</w:t>
      </w:r>
      <w:r>
        <w:rPr>
          <w:rFonts w:ascii="Times New Roman" w:hAnsi="Times New Roman" w:cs="Times New Roman"/>
          <w:szCs w:val="22"/>
          <w:vertAlign w:val="subscript"/>
        </w:rPr>
        <w:t>10</w:t>
      </w:r>
      <w:r>
        <w:rPr>
          <w:rFonts w:ascii="Times New Roman" w:hAnsi="Times New Roman" w:cs="Times New Roman"/>
          <w:szCs w:val="22"/>
        </w:rPr>
        <w:t xml:space="preserve">(adjusted </w:t>
      </w:r>
      <w:r>
        <w:rPr>
          <w:rFonts w:ascii="Times New Roman" w:hAnsi="Times New Roman" w:cs="Times New Roman"/>
          <w:i/>
          <w:iCs/>
          <w:szCs w:val="22"/>
        </w:rPr>
        <w:t>P</w:t>
      </w:r>
      <w:r>
        <w:rPr>
          <w:rFonts w:ascii="Times New Roman" w:hAnsi="Times New Roman" w:cs="Times New Roman"/>
          <w:szCs w:val="22"/>
        </w:rPr>
        <w:t xml:space="preserve"> value).</w:t>
      </w:r>
    </w:p>
    <w:p w14:paraId="0ED6AAB2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(E) The GABPA CUT&amp;RUN signals around the TSS region (TSS ± 2 kb) of nascent down-regulated genes are illustrated as the heatmap (bottom) and the metaplot (top).</w:t>
      </w:r>
    </w:p>
    <w:p w14:paraId="5C5F2044" w14:textId="77777777" w:rsidR="00B35FA9" w:rsidRDefault="00B35FA9" w:rsidP="00B35FA9">
      <w:pPr>
        <w:spacing w:after="0" w:line="360" w:lineRule="auto"/>
        <w:jc w:val="both"/>
        <w:rPr>
          <w:rFonts w:ascii="Calibri" w:hAnsi="Calibri" w:cs="Calibri"/>
          <w:szCs w:val="22"/>
        </w:rPr>
      </w:pPr>
      <w:r>
        <w:rPr>
          <w:rFonts w:ascii="Calibri" w:hAnsi="Calibri" w:cs="Calibri"/>
          <w:szCs w:val="22"/>
        </w:rPr>
        <w:t>﻿</w:t>
      </w:r>
    </w:p>
    <w:p w14:paraId="4865B3FC" w14:textId="77777777" w:rsidR="00B35FA9" w:rsidRDefault="00B35FA9" w:rsidP="00B35FA9">
      <w:pPr>
        <w:spacing w:after="0" w:line="360" w:lineRule="auto"/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noProof/>
          <w:szCs w:val="22"/>
          <w14:ligatures w14:val="none"/>
        </w:rPr>
        <w:lastRenderedPageBreak/>
        <w:drawing>
          <wp:inline distT="0" distB="0" distL="0" distR="0" wp14:anchorId="5E920E88" wp14:editId="24444DA7">
            <wp:extent cx="5274310" cy="6173470"/>
            <wp:effectExtent l="0" t="0" r="0" b="0"/>
            <wp:docPr id="393711001" name="图片 14" descr="图示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711001" name="图片 14" descr="图示&#10;&#10;低可信度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7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B697E1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 xml:space="preserve">Figure </w:t>
      </w:r>
      <w:r>
        <w:rPr>
          <w:rFonts w:ascii="Times New Roman" w:hAnsi="Times New Roman" w:cs="Times New Roman" w:hint="eastAsia"/>
          <w:b/>
          <w:bCs/>
          <w:szCs w:val="22"/>
        </w:rPr>
        <w:t>S</w:t>
      </w:r>
      <w:r>
        <w:rPr>
          <w:rFonts w:ascii="Times New Roman" w:hAnsi="Times New Roman" w:cs="Times New Roman"/>
          <w:b/>
          <w:bCs/>
          <w:szCs w:val="22"/>
        </w:rPr>
        <w:t>5. GABPA does not regulate gene expression by remodeling chromatin accessibility and histone modification during the immediate early response</w:t>
      </w:r>
    </w:p>
    <w:p w14:paraId="77ED313B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(A) Scatter plots showing the Pearson correlation coefficient of ATAC-seq and CUT&amp;Tag between two replicates in </w:t>
      </w:r>
      <w:r>
        <w:rPr>
          <w:rFonts w:ascii="Times New Roman" w:hAnsi="Times New Roman" w:cs="Times New Roman" w:hint="eastAsia"/>
          <w:szCs w:val="22"/>
        </w:rPr>
        <w:t>m</w:t>
      </w:r>
      <w:r>
        <w:rPr>
          <w:rFonts w:ascii="Times New Roman" w:hAnsi="Times New Roman" w:cs="Times New Roman"/>
          <w:szCs w:val="22"/>
        </w:rPr>
        <w:t>ESCs with DMSO and dTAG treatment after GABPA depletion for 1 hour.</w:t>
      </w:r>
    </w:p>
    <w:p w14:paraId="6186A1DD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(B) Heatmaps showing the nascent down-regulated genes after GABPA depletion for 1 hour, as well as the GABPA, </w:t>
      </w:r>
      <w:r>
        <w:rPr>
          <w:rFonts w:ascii="Times New Roman" w:hAnsi="Times New Roman" w:cs="Times New Roman" w:hint="eastAsia"/>
          <w:szCs w:val="22"/>
        </w:rPr>
        <w:t>ATAC</w:t>
      </w:r>
      <w:r>
        <w:rPr>
          <w:rFonts w:ascii="Times New Roman" w:hAnsi="Times New Roman" w:cs="Times New Roman"/>
          <w:szCs w:val="22"/>
        </w:rPr>
        <w:t>-seq, H3K4me3 and H3K27ac CUT&amp;Tag signals around the TSS of related genes.</w:t>
      </w:r>
    </w:p>
    <w:p w14:paraId="04FC8337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lastRenderedPageBreak/>
        <w:t>(C) Box plots showing the chromatin accessibility and histone modification changes at the promoter of nascent down-regulated genes. The central band</w:t>
      </w:r>
      <w:r>
        <w:rPr>
          <w:rFonts w:ascii="Times New Roman" w:hAnsi="Times New Roman" w:cs="Times New Roman" w:hint="eastAsia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 xml:space="preserve">represents the median, the lower and upper edges of the box represent the first and third quartiles, respectively. </w:t>
      </w:r>
      <w:r>
        <w:rPr>
          <w:rFonts w:ascii="Times New Roman" w:hAnsi="Times New Roman" w:cs="Times New Roman"/>
          <w:i/>
          <w:iCs/>
          <w:szCs w:val="22"/>
        </w:rPr>
        <w:t>P</w:t>
      </w:r>
      <w:r>
        <w:rPr>
          <w:rFonts w:ascii="Times New Roman" w:hAnsi="Times New Roman" w:cs="Times New Roman"/>
          <w:szCs w:val="22"/>
        </w:rPr>
        <w:t xml:space="preserve"> values were calculated using Wilcoxon tests.</w:t>
      </w:r>
    </w:p>
    <w:p w14:paraId="664285FB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(D) Examples of the genome browser view of SLAM-seq, GABPA CUT&amp;RUN, ATAC-seq, H3K4me3 and H3K27ac CUT&amp;Tag results in mESCs with DMSO and dTAG treatment for 1 hour. </w:t>
      </w:r>
    </w:p>
    <w:p w14:paraId="211AE672" w14:textId="77777777" w:rsidR="00B35FA9" w:rsidRDefault="00B35FA9" w:rsidP="00B35FA9">
      <w:pPr>
        <w:widowControl/>
        <w:spacing w:after="0" w:line="240" w:lineRule="auto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br w:type="page"/>
      </w:r>
    </w:p>
    <w:p w14:paraId="20076B59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</w:p>
    <w:p w14:paraId="57ADF731" w14:textId="77777777" w:rsidR="00B35FA9" w:rsidRDefault="00B35FA9" w:rsidP="00B35FA9">
      <w:pPr>
        <w:spacing w:after="0" w:line="360" w:lineRule="auto"/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 w:hint="eastAsia"/>
          <w:noProof/>
          <w:szCs w:val="22"/>
          <w14:ligatures w14:val="none"/>
        </w:rPr>
        <w:drawing>
          <wp:inline distT="0" distB="0" distL="0" distR="0" wp14:anchorId="6B63B5C4" wp14:editId="6B40FF96">
            <wp:extent cx="5274310" cy="2499995"/>
            <wp:effectExtent l="0" t="0" r="0" b="1905"/>
            <wp:docPr id="1006176009" name="图片 15" descr="图形用户界面, 应用程序, 形状, 多边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176009" name="图片 15" descr="图形用户界面, 应用程序, 形状, 多边形&#10;&#10;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1060A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Figure S6. Correlation of replicates for ATAC-seq and CUT&amp;Tag with DMSO and dTAG treatment for 12 hours</w:t>
      </w:r>
    </w:p>
    <w:p w14:paraId="0481956A" w14:textId="77777777" w:rsidR="00B35FA9" w:rsidRDefault="00B35FA9" w:rsidP="00B35FA9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E) Scatter plots showing the Pearson correlation coefficient of ATAC-seq (A), H3K4me3 (B), H3K27ac (C), pSer5 (D) and pSer2 (E) CUT&amp;Tag between two replicates in </w:t>
      </w:r>
      <w:r>
        <w:rPr>
          <w:rFonts w:ascii="Times New Roman" w:hAnsi="Times New Roman" w:cs="Times New Roman" w:hint="eastAsia"/>
          <w:szCs w:val="22"/>
        </w:rPr>
        <w:t>m</w:t>
      </w:r>
      <w:r>
        <w:rPr>
          <w:rFonts w:ascii="Times New Roman" w:hAnsi="Times New Roman" w:cs="Times New Roman"/>
          <w:szCs w:val="22"/>
        </w:rPr>
        <w:t>ESCs with DMSO and dTAG treatment for 12 hours.</w:t>
      </w:r>
    </w:p>
    <w:p w14:paraId="7A4DA692" w14:textId="77777777" w:rsidR="00B35FA9" w:rsidRDefault="00B35FA9" w:rsidP="00B35FA9">
      <w:pPr>
        <w:spacing w:after="0" w:line="360" w:lineRule="auto"/>
        <w:jc w:val="both"/>
        <w:rPr>
          <w:rFonts w:ascii="Times New Roman" w:hAnsi="Times New Roman" w:cs="Times New Roman"/>
          <w:szCs w:val="22"/>
        </w:rPr>
      </w:pPr>
    </w:p>
    <w:p w14:paraId="240962BB" w14:textId="77777777" w:rsidR="004E780C" w:rsidRDefault="004E780C"/>
    <w:sectPr w:rsidR="004E780C" w:rsidSect="00B35F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 Regular">
    <w:altName w:val="Times New Roman"/>
    <w:charset w:val="00"/>
    <w:family w:val="auto"/>
    <w:pitch w:val="default"/>
    <w:sig w:usb0="E0002AEF" w:usb1="C0007841" w:usb2="00000009" w:usb3="00000000" w:csb0="400001FF" w:csb1="FFFF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F7FAED0"/>
    <w:multiLevelType w:val="singleLevel"/>
    <w:tmpl w:val="8F7FAED0"/>
    <w:lvl w:ilvl="0">
      <w:start w:val="1"/>
      <w:numFmt w:val="upperLetter"/>
      <w:suff w:val="nothing"/>
      <w:lvlText w:val="(%1-"/>
      <w:lvlJc w:val="left"/>
    </w:lvl>
  </w:abstractNum>
  <w:num w:numId="1" w16cid:durableId="377043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FA9"/>
    <w:rsid w:val="002978F5"/>
    <w:rsid w:val="003852CF"/>
    <w:rsid w:val="004E780C"/>
    <w:rsid w:val="009E7F12"/>
    <w:rsid w:val="00B35FA9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778E9"/>
  <w15:chartTrackingRefBased/>
  <w15:docId w15:val="{857680D8-3A8C-43F8-806A-1BDB08F1C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5FA9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5F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5F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5F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5F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5F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5F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5F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5F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5F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5F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5F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5F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5F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5F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5F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5F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5F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5F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5F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5F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5F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5F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5F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5F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5F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5F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5F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5F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5FA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690</Words>
  <Characters>3937</Characters>
  <Application>Microsoft Office Word</Application>
  <DocSecurity>0</DocSecurity>
  <Lines>32</Lines>
  <Paragraphs>9</Paragraphs>
  <ScaleCrop>false</ScaleCrop>
  <Company/>
  <LinksUpToDate>false</LinksUpToDate>
  <CharactersWithSpaces>4618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2025-09-23T08:22:00Z</dcterms:created>
  <dcterms:modified xsi:type="dcterms:W3CDTF">2025-09-23T08:23:00Z</dcterms:modified>
</cp:coreProperties>
</file>