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5A5" w:rsidRPr="00BD3CF3" w:rsidRDefault="000315A5" w:rsidP="000315A5">
      <w:pPr>
        <w:pStyle w:val="ListParagraph"/>
        <w:jc w:val="center"/>
        <w:rPr>
          <w:rFonts w:ascii="Times New Roman" w:hAnsi="Times New Roman" w:cs="Times New Roman"/>
          <w:b/>
          <w:sz w:val="33"/>
          <w:szCs w:val="33"/>
        </w:rPr>
      </w:pPr>
      <w:r w:rsidRPr="00BD3CF3">
        <w:rPr>
          <w:rFonts w:ascii="Times New Roman" w:hAnsi="Times New Roman" w:cs="Times New Roman"/>
          <w:b/>
          <w:sz w:val="33"/>
          <w:szCs w:val="33"/>
        </w:rPr>
        <w:t>Identifying the Social Costs of Road Traffic Crashes in India through Quantitative and Quantile Regression Analysis</w:t>
      </w:r>
    </w:p>
    <w:p w:rsidR="000315A5" w:rsidRDefault="000315A5" w:rsidP="000315A5"/>
    <w:p w:rsidR="00992284" w:rsidRDefault="00992284" w:rsidP="00992284">
      <w:pPr>
        <w:rPr>
          <w:rFonts w:ascii="Times New Roman" w:hAnsi="Times New Roman" w:cs="Times New Roman"/>
          <w:b/>
          <w:sz w:val="28"/>
        </w:rPr>
      </w:pPr>
    </w:p>
    <w:p w:rsidR="00CE30D2" w:rsidRPr="000315A5" w:rsidRDefault="00CE30D2" w:rsidP="00992284">
      <w:pPr>
        <w:rPr>
          <w:rFonts w:ascii="Times New Roman" w:hAnsi="Times New Roman" w:cs="Times New Roman"/>
          <w:b/>
          <w:sz w:val="20"/>
        </w:rPr>
      </w:pPr>
      <w:r w:rsidRPr="000315A5">
        <w:rPr>
          <w:rFonts w:ascii="Times New Roman" w:hAnsi="Times New Roman" w:cs="Times New Roman"/>
          <w:b/>
          <w:sz w:val="20"/>
        </w:rPr>
        <w:t>ABSTRACT</w:t>
      </w:r>
    </w:p>
    <w:p w:rsidR="00CC40D7" w:rsidRDefault="00CC40D7" w:rsidP="00992284">
      <w:pPr>
        <w:rPr>
          <w:rFonts w:ascii="Times New Roman" w:hAnsi="Times New Roman" w:cs="Times New Roman"/>
          <w:b/>
          <w:sz w:val="24"/>
        </w:rPr>
      </w:pPr>
    </w:p>
    <w:p w:rsidR="006C3160" w:rsidRPr="00737683" w:rsidRDefault="00C47947" w:rsidP="00737683">
      <w:pPr>
        <w:spacing w:before="100" w:beforeAutospacing="1" w:after="100" w:afterAutospacing="1" w:line="480" w:lineRule="auto"/>
        <w:jc w:val="both"/>
        <w:rPr>
          <w:rFonts w:ascii="Times New Roman" w:eastAsia="Times New Roman" w:hAnsi="Times New Roman" w:cs="Times New Roman"/>
          <w:sz w:val="20"/>
          <w:szCs w:val="24"/>
        </w:rPr>
      </w:pPr>
      <w:r w:rsidRPr="006C3160">
        <w:rPr>
          <w:rFonts w:ascii="Times New Roman" w:hAnsi="Times New Roman" w:cs="Times New Roman"/>
          <w:sz w:val="20"/>
        </w:rPr>
        <w:t xml:space="preserve">Despite recent advances in addressing road safety, especially in developed countries, road traffic crashes still result in 1.65 million fatalities annually and impose costs exceeding $95 billion. This paper reviews the literature on socio-economic costs, identifies key research gaps, and underscores the lack of analysis focused on developing countries, which experience 90% of global fatalities. Using both descriptive and econometric analyses, we observe an upward trend in road safety studies in high- and middle-income countries. </w:t>
      </w:r>
      <w:r>
        <w:rPr>
          <w:rFonts w:ascii="Times New Roman" w:eastAsia="Times New Roman" w:hAnsi="Times New Roman" w:cs="Times New Roman"/>
          <w:sz w:val="20"/>
          <w:szCs w:val="24"/>
        </w:rPr>
        <w:t xml:space="preserve">We </w:t>
      </w:r>
      <w:r w:rsidRPr="006C3160">
        <w:rPr>
          <w:rFonts w:ascii="Times New Roman" w:eastAsia="Times New Roman" w:hAnsi="Times New Roman" w:cs="Times New Roman"/>
          <w:sz w:val="20"/>
          <w:szCs w:val="24"/>
        </w:rPr>
        <w:t xml:space="preserve">calculated the components of hospitalization costs and examined the relationship between these costs and patient characteristics using </w:t>
      </w:r>
      <w:proofErr w:type="spellStart"/>
      <w:r w:rsidRPr="006C3160">
        <w:rPr>
          <w:rFonts w:ascii="Times New Roman" w:eastAsia="Times New Roman" w:hAnsi="Times New Roman" w:cs="Times New Roman"/>
          <w:sz w:val="20"/>
          <w:szCs w:val="24"/>
        </w:rPr>
        <w:t>quantile</w:t>
      </w:r>
      <w:proofErr w:type="spellEnd"/>
      <w:r w:rsidRPr="006C3160">
        <w:rPr>
          <w:rFonts w:ascii="Times New Roman" w:eastAsia="Times New Roman" w:hAnsi="Times New Roman" w:cs="Times New Roman"/>
          <w:sz w:val="20"/>
          <w:szCs w:val="24"/>
        </w:rPr>
        <w:t xml:space="preserve"> regression models. </w:t>
      </w:r>
      <w:r w:rsidRPr="006C3160">
        <w:rPr>
          <w:rFonts w:ascii="Times New Roman" w:hAnsi="Times New Roman" w:cs="Times New Roman"/>
          <w:sz w:val="20"/>
        </w:rPr>
        <w:t>The paper examines two primary methodologies for estimating socio-economic costs: willingness-to-pay (WTP) and human capital (HC). Our econometric findings show that studies using the WTP method typically estimate the impact on GDP to be approximately 1% higher than those using the HC approach. Furthermore, the HC method tends to underestimate total socio-economic costs by a factor of two compared to WTP-based estimates, although this gap narrows significantly when adjusting for factors like population density, income levels, and road safety conditions. Additionally, the paper highlights challenges with underreporting and the lack of a systematic method to account for it in cost estimations. We conclude with a call for more research in low- and middle-income countries that combines WTP, HC, and alternative valuation methods to provide a more comprehensive understanding of the socio-economic costs of road crashes.</w:t>
      </w:r>
    </w:p>
    <w:p w:rsidR="006C3160" w:rsidRPr="006C3160" w:rsidRDefault="006C3160" w:rsidP="000315A5">
      <w:pPr>
        <w:pStyle w:val="NoSpacing"/>
        <w:spacing w:line="480" w:lineRule="auto"/>
        <w:rPr>
          <w:rFonts w:ascii="Times New Roman" w:hAnsi="Times New Roman" w:cs="Times New Roman"/>
          <w:sz w:val="20"/>
        </w:rPr>
      </w:pPr>
      <w:r w:rsidRPr="006C3160">
        <w:rPr>
          <w:rFonts w:ascii="Times New Roman" w:hAnsi="Times New Roman" w:cs="Times New Roman"/>
          <w:sz w:val="20"/>
        </w:rPr>
        <w:t xml:space="preserve">Keywords: </w:t>
      </w:r>
    </w:p>
    <w:p w:rsidR="006C3160" w:rsidRPr="006C3160" w:rsidRDefault="006C3160" w:rsidP="000315A5">
      <w:pPr>
        <w:pStyle w:val="NoSpacing"/>
        <w:spacing w:line="480" w:lineRule="auto"/>
        <w:rPr>
          <w:rFonts w:ascii="Times New Roman" w:hAnsi="Times New Roman" w:cs="Times New Roman"/>
          <w:sz w:val="20"/>
        </w:rPr>
      </w:pPr>
      <w:r w:rsidRPr="006C3160">
        <w:rPr>
          <w:rFonts w:ascii="Times New Roman" w:hAnsi="Times New Roman" w:cs="Times New Roman"/>
          <w:sz w:val="20"/>
        </w:rPr>
        <w:t>Regression-</w:t>
      </w:r>
      <w:proofErr w:type="gramStart"/>
      <w:r w:rsidRPr="006C3160">
        <w:rPr>
          <w:rFonts w:ascii="Times New Roman" w:hAnsi="Times New Roman" w:cs="Times New Roman"/>
          <w:sz w:val="20"/>
        </w:rPr>
        <w:t xml:space="preserve">analysis </w:t>
      </w:r>
      <w:r w:rsidR="00C47947">
        <w:rPr>
          <w:rFonts w:ascii="Times New Roman" w:hAnsi="Times New Roman" w:cs="Times New Roman"/>
          <w:sz w:val="20"/>
        </w:rPr>
        <w:t>,</w:t>
      </w:r>
      <w:proofErr w:type="gramEnd"/>
      <w:r w:rsidR="00C47947">
        <w:rPr>
          <w:rFonts w:ascii="Times New Roman" w:hAnsi="Times New Roman" w:cs="Times New Roman"/>
          <w:sz w:val="20"/>
        </w:rPr>
        <w:t xml:space="preserve"> </w:t>
      </w:r>
      <w:r w:rsidRPr="006C3160">
        <w:rPr>
          <w:rFonts w:ascii="Times New Roman" w:hAnsi="Times New Roman" w:cs="Times New Roman"/>
          <w:sz w:val="20"/>
        </w:rPr>
        <w:t xml:space="preserve">Road crashes </w:t>
      </w:r>
      <w:r w:rsidR="00C47947">
        <w:rPr>
          <w:rFonts w:ascii="Times New Roman" w:hAnsi="Times New Roman" w:cs="Times New Roman"/>
          <w:sz w:val="20"/>
        </w:rPr>
        <w:t xml:space="preserve">, </w:t>
      </w:r>
      <w:r w:rsidRPr="006C3160">
        <w:rPr>
          <w:rFonts w:ascii="Times New Roman" w:hAnsi="Times New Roman" w:cs="Times New Roman"/>
          <w:sz w:val="20"/>
        </w:rPr>
        <w:t xml:space="preserve">Road safety </w:t>
      </w:r>
      <w:r w:rsidR="00C47947">
        <w:rPr>
          <w:rFonts w:ascii="Times New Roman" w:hAnsi="Times New Roman" w:cs="Times New Roman"/>
          <w:sz w:val="20"/>
        </w:rPr>
        <w:t xml:space="preserve">, </w:t>
      </w:r>
      <w:r w:rsidRPr="006C3160">
        <w:rPr>
          <w:rFonts w:ascii="Times New Roman" w:hAnsi="Times New Roman" w:cs="Times New Roman"/>
          <w:sz w:val="20"/>
        </w:rPr>
        <w:t xml:space="preserve">Socio-economic costs </w:t>
      </w:r>
      <w:r w:rsidR="00C47947">
        <w:rPr>
          <w:rFonts w:ascii="Times New Roman" w:hAnsi="Times New Roman" w:cs="Times New Roman"/>
          <w:sz w:val="20"/>
        </w:rPr>
        <w:t xml:space="preserve">, </w:t>
      </w:r>
      <w:r w:rsidRPr="006C3160">
        <w:rPr>
          <w:rFonts w:ascii="Times New Roman" w:hAnsi="Times New Roman" w:cs="Times New Roman"/>
          <w:sz w:val="20"/>
        </w:rPr>
        <w:t xml:space="preserve">Willingness-to-pay </w:t>
      </w:r>
      <w:r w:rsidR="00C47947">
        <w:rPr>
          <w:rFonts w:ascii="Times New Roman" w:hAnsi="Times New Roman" w:cs="Times New Roman"/>
          <w:sz w:val="20"/>
        </w:rPr>
        <w:t xml:space="preserve">, </w:t>
      </w:r>
      <w:r w:rsidRPr="006C3160">
        <w:rPr>
          <w:rFonts w:ascii="Times New Roman" w:hAnsi="Times New Roman" w:cs="Times New Roman"/>
          <w:sz w:val="20"/>
        </w:rPr>
        <w:t>Human capital</w:t>
      </w:r>
    </w:p>
    <w:p w:rsidR="006C3160" w:rsidRPr="007544C5" w:rsidRDefault="006C3160" w:rsidP="007544C5">
      <w:pPr>
        <w:jc w:val="both"/>
        <w:rPr>
          <w:rFonts w:ascii="Times New Roman" w:hAnsi="Times New Roman" w:cs="Times New Roman"/>
          <w:b/>
          <w:sz w:val="20"/>
        </w:rPr>
        <w:sectPr w:rsidR="006C3160" w:rsidRPr="007544C5" w:rsidSect="00547AFE">
          <w:pgSz w:w="12240" w:h="15840"/>
          <w:pgMar w:top="1440" w:right="1440" w:bottom="1440" w:left="1440" w:header="720" w:footer="720" w:gutter="0"/>
          <w:cols w:space="720"/>
          <w:docGrid w:linePitch="360"/>
        </w:sectPr>
      </w:pPr>
    </w:p>
    <w:p w:rsidR="00992284" w:rsidRPr="004C2E17" w:rsidRDefault="00992284" w:rsidP="00663A83">
      <w:pPr>
        <w:pStyle w:val="ListParagraph"/>
        <w:numPr>
          <w:ilvl w:val="0"/>
          <w:numId w:val="1"/>
        </w:numPr>
        <w:rPr>
          <w:rFonts w:ascii="Times New Roman" w:hAnsi="Times New Roman" w:cs="Times New Roman"/>
          <w:b/>
          <w:sz w:val="20"/>
        </w:rPr>
      </w:pPr>
      <w:r w:rsidRPr="004C2E17">
        <w:rPr>
          <w:rFonts w:ascii="Times New Roman" w:hAnsi="Times New Roman" w:cs="Times New Roman"/>
          <w:b/>
          <w:sz w:val="20"/>
        </w:rPr>
        <w:lastRenderedPageBreak/>
        <w:t>Introduction-</w:t>
      </w:r>
    </w:p>
    <w:p w:rsidR="00C47947" w:rsidRPr="003E2B98" w:rsidRDefault="00C47947" w:rsidP="004C2E17">
      <w:pPr>
        <w:spacing w:line="480" w:lineRule="auto"/>
        <w:jc w:val="both"/>
        <w:rPr>
          <w:rFonts w:ascii="Times New Roman" w:hAnsi="Times New Roman" w:cs="Times New Roman"/>
          <w:sz w:val="20"/>
        </w:rPr>
      </w:pPr>
      <w:r w:rsidRPr="003E2B98">
        <w:rPr>
          <w:rFonts w:ascii="Times New Roman" w:hAnsi="Times New Roman" w:cs="Times New Roman"/>
          <w:sz w:val="20"/>
        </w:rPr>
        <w:t>Road crashes are reported</w:t>
      </w:r>
      <w:r>
        <w:rPr>
          <w:rFonts w:ascii="Times New Roman" w:hAnsi="Times New Roman" w:cs="Times New Roman"/>
          <w:sz w:val="20"/>
        </w:rPr>
        <w:t xml:space="preserve"> daily across the globe. In 2019-2023 between</w:t>
      </w:r>
      <w:r w:rsidRPr="003E2B98">
        <w:rPr>
          <w:rFonts w:ascii="Times New Roman" w:hAnsi="Times New Roman" w:cs="Times New Roman"/>
          <w:sz w:val="20"/>
        </w:rPr>
        <w:t>, r</w:t>
      </w:r>
      <w:r>
        <w:rPr>
          <w:rFonts w:ascii="Times New Roman" w:hAnsi="Times New Roman" w:cs="Times New Roman"/>
          <w:sz w:val="20"/>
        </w:rPr>
        <w:t>oad traffic crashes claimed 1.95</w:t>
      </w:r>
      <w:r w:rsidRPr="003E2B98">
        <w:rPr>
          <w:rFonts w:ascii="Times New Roman" w:hAnsi="Times New Roman" w:cs="Times New Roman"/>
          <w:sz w:val="20"/>
        </w:rPr>
        <w:t xml:space="preserve"> million lives, with more than half of the victims being pedestrians, motorcyclists, and cyclists (WHO, Global St</w:t>
      </w:r>
      <w:r>
        <w:rPr>
          <w:rFonts w:ascii="Times New Roman" w:hAnsi="Times New Roman" w:cs="Times New Roman"/>
          <w:sz w:val="20"/>
        </w:rPr>
        <w:t>atus Report on Road Safety, 2023</w:t>
      </w:r>
      <w:r w:rsidRPr="003E2B98">
        <w:rPr>
          <w:rFonts w:ascii="Times New Roman" w:hAnsi="Times New Roman" w:cs="Times New Roman"/>
          <w:sz w:val="20"/>
        </w:rPr>
        <w:t>). Low and middle-income countries (LMICs) account for over 90% of global traffic crash fatali</w:t>
      </w:r>
      <w:r>
        <w:rPr>
          <w:rFonts w:ascii="Times New Roman" w:hAnsi="Times New Roman" w:cs="Times New Roman"/>
          <w:sz w:val="20"/>
        </w:rPr>
        <w:t>ties, despite possessing only 65</w:t>
      </w:r>
      <w:r w:rsidRPr="003E2B98">
        <w:rPr>
          <w:rFonts w:ascii="Times New Roman" w:hAnsi="Times New Roman" w:cs="Times New Roman"/>
          <w:sz w:val="20"/>
        </w:rPr>
        <w:t>% of the world’s registered vehicles. This paper critically reviews the literature on the costs associated with road crashes, focusing primarily on LMICs. Through a meta-analysis of existing research on the socio-economic impacts of road crashes, the study examines different methodologies and provides a comprehensive overview of the various costs that should be considered.</w:t>
      </w:r>
      <w:r>
        <w:rPr>
          <w:rFonts w:ascii="Times New Roman" w:hAnsi="Times New Roman" w:cs="Times New Roman"/>
          <w:sz w:val="20"/>
        </w:rPr>
        <w:t xml:space="preserve"> </w:t>
      </w:r>
      <w:r w:rsidRPr="003E2B98">
        <w:rPr>
          <w:rFonts w:ascii="Times New Roman" w:hAnsi="Times New Roman" w:cs="Times New Roman"/>
          <w:sz w:val="20"/>
        </w:rPr>
        <w:t>This has significant implications for both society and policymakers. As emphasized in the report on the Performance of Latin America and the Caribbean during the first years of the Decade of Action for Road Safety (2015), road safety must be integrated into a comprehensive mobility policy that includes short-, medium-, and long-term strategies. These strategies should encompass areas such as road infrastructure, vehicle design and maintenance, user behavior, education, healthcare, and monitoring measures. Addressing these systems requires coordina</w:t>
      </w:r>
      <w:r>
        <w:rPr>
          <w:rFonts w:ascii="Times New Roman" w:hAnsi="Times New Roman" w:cs="Times New Roman"/>
          <w:sz w:val="20"/>
        </w:rPr>
        <w:t xml:space="preserve">tion among various stakeholders - </w:t>
      </w:r>
      <w:r w:rsidRPr="003E2B98">
        <w:rPr>
          <w:rFonts w:ascii="Times New Roman" w:hAnsi="Times New Roman" w:cs="Times New Roman"/>
          <w:sz w:val="20"/>
        </w:rPr>
        <w:t>government, civil society, and the private sector—highlighting the need for a robust institutional framework. Such a framework must consider the interactions between stakeholders at both local and regional levels while focusing on the protection of vulnerable road users.</w:t>
      </w:r>
    </w:p>
    <w:p w:rsidR="00C47947" w:rsidRDefault="00C47947" w:rsidP="004C2E17">
      <w:pPr>
        <w:spacing w:line="480" w:lineRule="auto"/>
        <w:jc w:val="both"/>
        <w:rPr>
          <w:rFonts w:ascii="Times New Roman" w:hAnsi="Times New Roman" w:cs="Times New Roman"/>
          <w:sz w:val="20"/>
        </w:rPr>
      </w:pPr>
      <w:r w:rsidRPr="003E2B98">
        <w:rPr>
          <w:rFonts w:ascii="Times New Roman" w:hAnsi="Times New Roman" w:cs="Times New Roman"/>
          <w:sz w:val="20"/>
        </w:rPr>
        <w:t>Despite limited resources, many governments are tasked with safeguarding their populations from preventable road fatalities, which demand consistent funding similar to other public health priorities like cancer, heart disease, malaria, suicide, and AIDS. As Gruber (2010) aptly pointed out, if the cost of a safety strategy outweighs the benefits in terms of crash prevention, resources should be redirected to more effective initiatives. Understanding crash trends, injury rates, and fatalities is crucial and requires evaluating both the direct and indirect socio-economic costs of road traffic incidents. This enables policymakers to grasp the full extent of the burden that road crashes impose on a country. It also helps assess the value of targeted investments in road safety. However, the methodologies used in such evaluations often vary across countries, leading to different estimates. Moreover, inconsistencies in national road safety data systems, underreporting, and the absence of a globally standardized evaluation method can result in biased or inaccurate cost assessments. A comprehensive analysis of the latest methodologies and their application across diverse contexts is essential to develop more accurate and effective estimates of the socio-economic costs of road crashes and fatalities.</w:t>
      </w:r>
    </w:p>
    <w:p w:rsidR="00C47947" w:rsidRPr="002D4E39" w:rsidRDefault="00C47947" w:rsidP="004C2E17">
      <w:pPr>
        <w:spacing w:line="480" w:lineRule="auto"/>
        <w:jc w:val="both"/>
        <w:rPr>
          <w:rFonts w:ascii="Times New Roman" w:hAnsi="Times New Roman" w:cs="Times New Roman"/>
          <w:sz w:val="20"/>
        </w:rPr>
      </w:pPr>
      <w:r w:rsidRPr="002D4E39">
        <w:rPr>
          <w:rFonts w:ascii="Times New Roman" w:hAnsi="Times New Roman" w:cs="Times New Roman"/>
          <w:sz w:val="20"/>
        </w:rPr>
        <w:t xml:space="preserve">In this quantitative review, we rigorously examine the empirical literature estimating the socio-economic costs of road traffic crashes. Our goal is to offer researchers and policymakers a comprehensive and critical overview of the existing studies, highlighting key findings and identifying gaps in the literature. We focus primarily on the two main valuation approaches: the willingness-to-pay (WTP) method and the human capital approach. To conduct this quantitative and critical literature review, we utilized Google Scholar and tools like </w:t>
      </w:r>
      <w:proofErr w:type="spellStart"/>
      <w:r w:rsidRPr="002D4E39">
        <w:rPr>
          <w:rFonts w:ascii="Times New Roman" w:hAnsi="Times New Roman" w:cs="Times New Roman"/>
          <w:sz w:val="20"/>
        </w:rPr>
        <w:t>Mendeley</w:t>
      </w:r>
      <w:proofErr w:type="spellEnd"/>
      <w:r w:rsidRPr="002D4E39">
        <w:rPr>
          <w:rFonts w:ascii="Times New Roman" w:hAnsi="Times New Roman" w:cs="Times New Roman"/>
          <w:sz w:val="20"/>
        </w:rPr>
        <w:t xml:space="preserve"> to search for research papers containing keywords (and their variations) related to road traffic crash costs. Our analysis draws from multiple studies that estimate the socio-economic costs of road traffic crashes across different regions (e.g., </w:t>
      </w:r>
      <w:proofErr w:type="spellStart"/>
      <w:r w:rsidRPr="002D4E39">
        <w:rPr>
          <w:rFonts w:ascii="Times New Roman" w:hAnsi="Times New Roman" w:cs="Times New Roman"/>
          <w:sz w:val="20"/>
        </w:rPr>
        <w:t>Wijnen</w:t>
      </w:r>
      <w:proofErr w:type="spellEnd"/>
      <w:r w:rsidRPr="002D4E39">
        <w:rPr>
          <w:rFonts w:ascii="Times New Roman" w:hAnsi="Times New Roman" w:cs="Times New Roman"/>
          <w:sz w:val="20"/>
        </w:rPr>
        <w:t xml:space="preserve"> &amp; </w:t>
      </w:r>
      <w:proofErr w:type="spellStart"/>
      <w:r w:rsidRPr="002D4E39">
        <w:rPr>
          <w:rFonts w:ascii="Times New Roman" w:hAnsi="Times New Roman" w:cs="Times New Roman"/>
          <w:sz w:val="20"/>
        </w:rPr>
        <w:t>Stipdonk</w:t>
      </w:r>
      <w:proofErr w:type="spellEnd"/>
      <w:r w:rsidRPr="002D4E39">
        <w:rPr>
          <w:rFonts w:ascii="Times New Roman" w:hAnsi="Times New Roman" w:cs="Times New Roman"/>
          <w:sz w:val="20"/>
        </w:rPr>
        <w:t xml:space="preserve">, 2016; Milligan et al., 2014; De </w:t>
      </w:r>
      <w:proofErr w:type="spellStart"/>
      <w:r w:rsidRPr="002D4E39">
        <w:rPr>
          <w:rFonts w:ascii="Times New Roman" w:hAnsi="Times New Roman" w:cs="Times New Roman"/>
          <w:sz w:val="20"/>
        </w:rPr>
        <w:t>Blaeij</w:t>
      </w:r>
      <w:proofErr w:type="spellEnd"/>
      <w:r w:rsidRPr="002D4E39">
        <w:rPr>
          <w:rFonts w:ascii="Times New Roman" w:hAnsi="Times New Roman" w:cs="Times New Roman"/>
          <w:sz w:val="20"/>
        </w:rPr>
        <w:t xml:space="preserve"> et al., 2003; </w:t>
      </w:r>
      <w:proofErr w:type="spellStart"/>
      <w:r w:rsidRPr="002D4E39">
        <w:rPr>
          <w:rFonts w:ascii="Times New Roman" w:hAnsi="Times New Roman" w:cs="Times New Roman"/>
          <w:sz w:val="20"/>
        </w:rPr>
        <w:t>Elvik</w:t>
      </w:r>
      <w:proofErr w:type="spellEnd"/>
      <w:r w:rsidRPr="002D4E39">
        <w:rPr>
          <w:rFonts w:ascii="Times New Roman" w:hAnsi="Times New Roman" w:cs="Times New Roman"/>
          <w:sz w:val="20"/>
        </w:rPr>
        <w:t xml:space="preserve">, 2000; </w:t>
      </w:r>
      <w:proofErr w:type="spellStart"/>
      <w:r w:rsidRPr="002D4E39">
        <w:rPr>
          <w:rFonts w:ascii="Times New Roman" w:hAnsi="Times New Roman" w:cs="Times New Roman"/>
          <w:sz w:val="20"/>
        </w:rPr>
        <w:t>Trawén</w:t>
      </w:r>
      <w:proofErr w:type="spellEnd"/>
      <w:r w:rsidRPr="002D4E39">
        <w:rPr>
          <w:rFonts w:ascii="Times New Roman" w:hAnsi="Times New Roman" w:cs="Times New Roman"/>
          <w:sz w:val="20"/>
        </w:rPr>
        <w:t xml:space="preserve"> et al., 2002). This process resulte</w:t>
      </w:r>
      <w:r>
        <w:rPr>
          <w:rFonts w:ascii="Times New Roman" w:hAnsi="Times New Roman" w:cs="Times New Roman"/>
          <w:sz w:val="20"/>
        </w:rPr>
        <w:t>d in a dataset containing 100</w:t>
      </w:r>
      <w:r w:rsidRPr="002D4E39">
        <w:rPr>
          <w:rFonts w:ascii="Times New Roman" w:hAnsi="Times New Roman" w:cs="Times New Roman"/>
          <w:sz w:val="20"/>
        </w:rPr>
        <w:t xml:space="preserve"> observations on road traffic crash (RTC) co</w:t>
      </w:r>
      <w:r>
        <w:rPr>
          <w:rFonts w:ascii="Times New Roman" w:hAnsi="Times New Roman" w:cs="Times New Roman"/>
          <w:sz w:val="20"/>
        </w:rPr>
        <w:t>sts from the period between 2000 and 2023</w:t>
      </w:r>
      <w:r w:rsidRPr="002D4E39">
        <w:rPr>
          <w:rFonts w:ascii="Times New Roman" w:hAnsi="Times New Roman" w:cs="Times New Roman"/>
          <w:sz w:val="20"/>
        </w:rPr>
        <w:t>.</w:t>
      </w:r>
    </w:p>
    <w:p w:rsidR="00C47947" w:rsidRDefault="00C47947" w:rsidP="004C2E17">
      <w:pPr>
        <w:spacing w:line="480" w:lineRule="auto"/>
        <w:jc w:val="both"/>
        <w:rPr>
          <w:rFonts w:ascii="Times New Roman" w:hAnsi="Times New Roman" w:cs="Times New Roman"/>
          <w:sz w:val="20"/>
        </w:rPr>
      </w:pPr>
      <w:r w:rsidRPr="002D4E39">
        <w:rPr>
          <w:rFonts w:ascii="Times New Roman" w:hAnsi="Times New Roman" w:cs="Times New Roman"/>
          <w:sz w:val="20"/>
        </w:rPr>
        <w:t>Our review reveals several key insights: (</w:t>
      </w:r>
      <w:proofErr w:type="spellStart"/>
      <w:r w:rsidRPr="002D4E39">
        <w:rPr>
          <w:rFonts w:ascii="Times New Roman" w:hAnsi="Times New Roman" w:cs="Times New Roman"/>
          <w:sz w:val="20"/>
        </w:rPr>
        <w:t>i</w:t>
      </w:r>
      <w:proofErr w:type="spellEnd"/>
      <w:r w:rsidRPr="002D4E39">
        <w:rPr>
          <w:rFonts w:ascii="Times New Roman" w:hAnsi="Times New Roman" w:cs="Times New Roman"/>
          <w:sz w:val="20"/>
        </w:rPr>
        <w:t>) in recent decades, there has been increased academic interest in assessing the socio-economic costs of road crash fatalities and injuries, particularly in high- and middle-income countries; (ii) the importance of comparing and integrating different methodologies when estimating the socio-economic costs of road traffic crashes is underscored; (iii) the review shows that the willingness-to-pay method is predominantly used in high-income countries, whereas the human capital approach is more common in low- and middle-income countries; (iv) studies using the human capital method tend to under value total socio-economic costs by a factor of two compared to estimates derived from the WTP approach; and (v) the review emphasizes the need to account for country-specific factors, such as road safety outcomes and population density.</w:t>
      </w:r>
    </w:p>
    <w:p w:rsidR="00FF54EE" w:rsidRPr="008F4563" w:rsidRDefault="00FF54EE" w:rsidP="004C2E17">
      <w:pPr>
        <w:spacing w:line="480" w:lineRule="auto"/>
        <w:jc w:val="both"/>
        <w:rPr>
          <w:rFonts w:ascii="Times New Roman" w:hAnsi="Times New Roman" w:cs="Times New Roman"/>
          <w:sz w:val="18"/>
        </w:rPr>
      </w:pPr>
      <w:r w:rsidRPr="008F4563">
        <w:rPr>
          <w:rFonts w:ascii="Times New Roman" w:hAnsi="Times New Roman" w:cs="Times New Roman"/>
          <w:sz w:val="20"/>
        </w:rPr>
        <w:t xml:space="preserve">Quantitative and </w:t>
      </w:r>
      <w:proofErr w:type="spellStart"/>
      <w:r w:rsidRPr="008F4563">
        <w:rPr>
          <w:rFonts w:ascii="Times New Roman" w:hAnsi="Times New Roman" w:cs="Times New Roman"/>
          <w:sz w:val="20"/>
        </w:rPr>
        <w:t>quantile</w:t>
      </w:r>
      <w:proofErr w:type="spellEnd"/>
      <w:r w:rsidRPr="008F4563">
        <w:rPr>
          <w:rFonts w:ascii="Times New Roman" w:hAnsi="Times New Roman" w:cs="Times New Roman"/>
          <w:sz w:val="20"/>
        </w:rPr>
        <w:t xml:space="preserve"> regression analyses have revealed that pavement conditions are a statistically significant predictor of both crash frequency and severity. Quantitative regression models indicate that poor pavement quality—characterized by factors such as surface roughness, potholes, and reduced skid resistance—is positively correlated with higher crash rates. Specifically, </w:t>
      </w:r>
      <w:proofErr w:type="gramStart"/>
      <w:r w:rsidRPr="008F4563">
        <w:rPr>
          <w:rFonts w:ascii="Times New Roman" w:hAnsi="Times New Roman" w:cs="Times New Roman"/>
          <w:sz w:val="20"/>
        </w:rPr>
        <w:t>a deterioration</w:t>
      </w:r>
      <w:proofErr w:type="gramEnd"/>
      <w:r w:rsidRPr="008F4563">
        <w:rPr>
          <w:rFonts w:ascii="Times New Roman" w:hAnsi="Times New Roman" w:cs="Times New Roman"/>
          <w:sz w:val="20"/>
        </w:rPr>
        <w:t xml:space="preserve"> in pavement condition index (PCI) is associated with a measurable increase in crash counts, particularly for wet-weather and run-off-road incidents. Quantile regression further refines this understanding by illustrating that the impact of pavement conditions is more pronounced at higher quantiles of crash severity and fatality distribution. For instance, in the upper quantiles (e.g., 75th or 90th), poor pavement conditions contribute disproportionately to fatal and severe injury crashes compared to minor ones. This suggests that while pavement issues may influence all crash types, their role in exacerbating the most serious outcomes is significantly greater. These findings underscore the critical importance of maintaining pavement quality as a targeted strategy to reduce not only crash frequency but also the likelihood of fatalities.</w:t>
      </w:r>
    </w:p>
    <w:p w:rsidR="00C47947" w:rsidRDefault="00C47947" w:rsidP="004C2E17">
      <w:pPr>
        <w:spacing w:line="480" w:lineRule="auto"/>
        <w:jc w:val="both"/>
        <w:rPr>
          <w:rFonts w:ascii="Times New Roman" w:hAnsi="Times New Roman" w:cs="Times New Roman"/>
          <w:sz w:val="20"/>
        </w:rPr>
      </w:pPr>
      <w:r w:rsidRPr="00FF54EE">
        <w:rPr>
          <w:rStyle w:val="Strong"/>
          <w:rFonts w:ascii="Times New Roman" w:hAnsi="Times New Roman" w:cs="Times New Roman"/>
          <w:b w:val="0"/>
          <w:sz w:val="20"/>
        </w:rPr>
        <w:t>Quantile Regression Analysis</w:t>
      </w:r>
      <w:r w:rsidRPr="00B71A95">
        <w:rPr>
          <w:rFonts w:ascii="Times New Roman" w:hAnsi="Times New Roman" w:cs="Times New Roman"/>
          <w:sz w:val="20"/>
        </w:rPr>
        <w:t xml:space="preserve"> is a statistical technique used to estimate and model the relationship between variables for different quantiles (percentiles) of the dependent variable distribution, rather than focusing solely on the mean (as in ordinary least squares (OLS) regression). This approach provides a more detailed understanding of how independent variables influence different points in the distribution of the dependent variable.</w:t>
      </w:r>
      <w:r>
        <w:rPr>
          <w:rFonts w:ascii="Times New Roman" w:hAnsi="Times New Roman" w:cs="Times New Roman"/>
          <w:sz w:val="20"/>
        </w:rPr>
        <w:t xml:space="preserve"> </w:t>
      </w:r>
    </w:p>
    <w:p w:rsidR="00C47947" w:rsidRDefault="00C47947" w:rsidP="004C2E17">
      <w:pPr>
        <w:spacing w:line="480" w:lineRule="auto"/>
        <w:jc w:val="both"/>
        <w:rPr>
          <w:rFonts w:ascii="Times New Roman" w:hAnsi="Times New Roman" w:cs="Times New Roman"/>
          <w:sz w:val="20"/>
        </w:rPr>
      </w:pPr>
      <w:r w:rsidRPr="00B71A95">
        <w:rPr>
          <w:rFonts w:ascii="Times New Roman" w:eastAsia="Times New Roman" w:hAnsi="Times New Roman" w:cs="Times New Roman"/>
          <w:b/>
          <w:bCs/>
          <w:sz w:val="20"/>
          <w:szCs w:val="20"/>
        </w:rPr>
        <w:t>Why Use Quantile Regression?</w:t>
      </w:r>
      <w:r>
        <w:rPr>
          <w:rFonts w:ascii="Times New Roman" w:eastAsia="Times New Roman" w:hAnsi="Times New Roman" w:cs="Times New Roman"/>
          <w:b/>
          <w:bCs/>
          <w:sz w:val="20"/>
          <w:szCs w:val="20"/>
        </w:rPr>
        <w:t xml:space="preserve"> </w:t>
      </w:r>
      <w:r w:rsidRPr="00C46AF3">
        <w:rPr>
          <w:rFonts w:ascii="Times New Roman" w:eastAsia="Times New Roman" w:hAnsi="Times New Roman" w:cs="Times New Roman"/>
          <w:bCs/>
          <w:sz w:val="20"/>
          <w:szCs w:val="20"/>
        </w:rPr>
        <w:t>(</w:t>
      </w:r>
      <w:proofErr w:type="spellStart"/>
      <w:r w:rsidRPr="00C46AF3">
        <w:rPr>
          <w:rFonts w:ascii="Times New Roman" w:hAnsi="Times New Roman" w:cs="Times New Roman"/>
          <w:color w:val="000000" w:themeColor="text1"/>
          <w:sz w:val="20"/>
          <w:szCs w:val="16"/>
        </w:rPr>
        <w:t>Devos</w:t>
      </w:r>
      <w:proofErr w:type="spellEnd"/>
      <w:r w:rsidRPr="00C46AF3">
        <w:rPr>
          <w:rFonts w:ascii="Times New Roman" w:hAnsi="Times New Roman" w:cs="Times New Roman"/>
          <w:color w:val="000000" w:themeColor="text1"/>
          <w:sz w:val="20"/>
          <w:szCs w:val="16"/>
        </w:rPr>
        <w:t xml:space="preserve"> et al., 2015, </w:t>
      </w:r>
      <w:proofErr w:type="spellStart"/>
      <w:r w:rsidRPr="00C46AF3">
        <w:rPr>
          <w:rFonts w:ascii="Times New Roman" w:hAnsi="Times New Roman" w:cs="Times New Roman"/>
          <w:color w:val="000000" w:themeColor="text1"/>
          <w:sz w:val="20"/>
          <w:szCs w:val="16"/>
        </w:rPr>
        <w:t>Devos</w:t>
      </w:r>
      <w:proofErr w:type="spellEnd"/>
      <w:r w:rsidRPr="00C46AF3">
        <w:rPr>
          <w:rFonts w:ascii="Times New Roman" w:hAnsi="Times New Roman" w:cs="Times New Roman"/>
          <w:color w:val="000000" w:themeColor="text1"/>
          <w:sz w:val="20"/>
          <w:szCs w:val="16"/>
        </w:rPr>
        <w:t xml:space="preserve"> et al., 2017)</w:t>
      </w:r>
    </w:p>
    <w:p w:rsidR="00C47947" w:rsidRPr="00B71A95" w:rsidRDefault="00C47947" w:rsidP="004C2E17">
      <w:pPr>
        <w:pStyle w:val="ListParagraph"/>
        <w:numPr>
          <w:ilvl w:val="0"/>
          <w:numId w:val="3"/>
        </w:numPr>
        <w:spacing w:line="480" w:lineRule="auto"/>
        <w:jc w:val="both"/>
        <w:rPr>
          <w:rFonts w:ascii="Times New Roman" w:hAnsi="Times New Roman" w:cs="Times New Roman"/>
          <w:sz w:val="20"/>
        </w:rPr>
      </w:pPr>
      <w:r w:rsidRPr="00B71A95">
        <w:rPr>
          <w:rFonts w:ascii="Times New Roman" w:eastAsia="Times New Roman" w:hAnsi="Times New Roman" w:cs="Times New Roman"/>
          <w:b/>
          <w:bCs/>
          <w:sz w:val="20"/>
          <w:szCs w:val="20"/>
        </w:rPr>
        <w:t>Robustness to Outliers:</w:t>
      </w:r>
    </w:p>
    <w:p w:rsidR="00C47947" w:rsidRPr="00B71A95" w:rsidRDefault="00C47947" w:rsidP="004C2E17">
      <w:pPr>
        <w:pStyle w:val="ListParagraph"/>
        <w:numPr>
          <w:ilvl w:val="0"/>
          <w:numId w:val="2"/>
        </w:numPr>
        <w:spacing w:line="480" w:lineRule="auto"/>
        <w:jc w:val="both"/>
        <w:rPr>
          <w:rFonts w:ascii="Times New Roman" w:hAnsi="Times New Roman" w:cs="Times New Roman"/>
          <w:sz w:val="20"/>
        </w:rPr>
      </w:pPr>
      <w:r w:rsidRPr="00B71A95">
        <w:rPr>
          <w:rFonts w:ascii="Times New Roman" w:eastAsia="Times New Roman" w:hAnsi="Times New Roman" w:cs="Times New Roman"/>
          <w:sz w:val="20"/>
          <w:szCs w:val="20"/>
        </w:rPr>
        <w:t xml:space="preserve">Unlike OLS regression, which can be heavily influenced by outliers, </w:t>
      </w:r>
      <w:proofErr w:type="spellStart"/>
      <w:r w:rsidRPr="00B71A95">
        <w:rPr>
          <w:rFonts w:ascii="Times New Roman" w:eastAsia="Times New Roman" w:hAnsi="Times New Roman" w:cs="Times New Roman"/>
          <w:sz w:val="20"/>
          <w:szCs w:val="20"/>
        </w:rPr>
        <w:t>quantile</w:t>
      </w:r>
      <w:proofErr w:type="spellEnd"/>
      <w:r w:rsidRPr="00B71A95">
        <w:rPr>
          <w:rFonts w:ascii="Times New Roman" w:eastAsia="Times New Roman" w:hAnsi="Times New Roman" w:cs="Times New Roman"/>
          <w:sz w:val="20"/>
          <w:szCs w:val="20"/>
        </w:rPr>
        <w:t xml:space="preserve"> regression is more robust because it models the conditional quantiles (e.g., median, 25th percentile, 75th percentile), giving a more comprehensive view of the distribution.</w:t>
      </w:r>
    </w:p>
    <w:p w:rsidR="00C47947" w:rsidRPr="00B71A95" w:rsidRDefault="00C47947" w:rsidP="004C2E17">
      <w:pPr>
        <w:pStyle w:val="ListParagraph"/>
        <w:numPr>
          <w:ilvl w:val="0"/>
          <w:numId w:val="3"/>
        </w:numPr>
        <w:spacing w:before="100" w:beforeAutospacing="1" w:after="100" w:afterAutospacing="1" w:line="480" w:lineRule="auto"/>
        <w:jc w:val="both"/>
        <w:rPr>
          <w:rFonts w:ascii="Times New Roman" w:eastAsia="Times New Roman" w:hAnsi="Times New Roman" w:cs="Times New Roman"/>
          <w:sz w:val="20"/>
          <w:szCs w:val="20"/>
        </w:rPr>
      </w:pPr>
      <w:r w:rsidRPr="00B71A95">
        <w:rPr>
          <w:rFonts w:ascii="Times New Roman" w:eastAsia="Times New Roman" w:hAnsi="Times New Roman" w:cs="Times New Roman"/>
          <w:b/>
          <w:bCs/>
          <w:sz w:val="20"/>
          <w:szCs w:val="20"/>
        </w:rPr>
        <w:t>Detailed Analysis Across Distribution:</w:t>
      </w:r>
    </w:p>
    <w:p w:rsidR="00C47947" w:rsidRDefault="00C47947" w:rsidP="004C2E17">
      <w:pPr>
        <w:pStyle w:val="ListParagraph"/>
        <w:numPr>
          <w:ilvl w:val="0"/>
          <w:numId w:val="2"/>
        </w:numPr>
        <w:spacing w:before="100" w:beforeAutospacing="1" w:after="100" w:afterAutospacing="1" w:line="480" w:lineRule="auto"/>
        <w:jc w:val="both"/>
        <w:rPr>
          <w:rFonts w:ascii="Times New Roman" w:eastAsia="Times New Roman" w:hAnsi="Times New Roman" w:cs="Times New Roman"/>
          <w:sz w:val="20"/>
          <w:szCs w:val="20"/>
        </w:rPr>
      </w:pPr>
      <w:r w:rsidRPr="00B71A95">
        <w:rPr>
          <w:rFonts w:ascii="Times New Roman" w:eastAsia="Times New Roman" w:hAnsi="Times New Roman" w:cs="Times New Roman"/>
          <w:sz w:val="20"/>
          <w:szCs w:val="20"/>
        </w:rPr>
        <w:t xml:space="preserve">In situations where the effect of independent variables may vary across the distribution of the dependent variable, </w:t>
      </w:r>
      <w:proofErr w:type="spellStart"/>
      <w:r w:rsidRPr="00B71A95">
        <w:rPr>
          <w:rFonts w:ascii="Times New Roman" w:eastAsia="Times New Roman" w:hAnsi="Times New Roman" w:cs="Times New Roman"/>
          <w:sz w:val="20"/>
          <w:szCs w:val="20"/>
        </w:rPr>
        <w:t>quantile</w:t>
      </w:r>
      <w:proofErr w:type="spellEnd"/>
      <w:r w:rsidRPr="00B71A95">
        <w:rPr>
          <w:rFonts w:ascii="Times New Roman" w:eastAsia="Times New Roman" w:hAnsi="Times New Roman" w:cs="Times New Roman"/>
          <w:sz w:val="20"/>
          <w:szCs w:val="20"/>
        </w:rPr>
        <w:t xml:space="preserve"> regression allows for an analysis at multiple points (e.g., the lower, median, and upper tails of the distribution).</w:t>
      </w:r>
    </w:p>
    <w:p w:rsidR="00C47947" w:rsidRPr="00B71A95" w:rsidRDefault="00C47947" w:rsidP="004C2E17">
      <w:pPr>
        <w:pStyle w:val="ListParagraph"/>
        <w:numPr>
          <w:ilvl w:val="0"/>
          <w:numId w:val="3"/>
        </w:numPr>
        <w:spacing w:before="100" w:beforeAutospacing="1" w:after="100" w:afterAutospacing="1" w:line="480" w:lineRule="auto"/>
        <w:jc w:val="both"/>
        <w:rPr>
          <w:rFonts w:ascii="Times New Roman" w:eastAsia="Times New Roman" w:hAnsi="Times New Roman" w:cs="Times New Roman"/>
          <w:sz w:val="20"/>
          <w:szCs w:val="20"/>
        </w:rPr>
      </w:pPr>
      <w:r w:rsidRPr="00B71A95">
        <w:rPr>
          <w:rFonts w:ascii="Times New Roman" w:eastAsia="Times New Roman" w:hAnsi="Times New Roman" w:cs="Times New Roman"/>
          <w:b/>
          <w:bCs/>
          <w:sz w:val="20"/>
          <w:szCs w:val="20"/>
        </w:rPr>
        <w:t>Understanding Heterogeneity:</w:t>
      </w:r>
    </w:p>
    <w:p w:rsidR="00C47947" w:rsidRPr="004C2E17" w:rsidRDefault="00C47947" w:rsidP="004C2E17">
      <w:pPr>
        <w:pStyle w:val="ListParagraph"/>
        <w:numPr>
          <w:ilvl w:val="0"/>
          <w:numId w:val="2"/>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sz w:val="20"/>
          <w:szCs w:val="20"/>
        </w:rPr>
        <w:t>Quantile regression helps in identifying how the relationships between variables change at different levels of the dependent variable. For example, in traffic safety studies, the impact of factors like speed or traffic volume might differ for low-conflict vs. high-conflict situations.</w:t>
      </w:r>
    </w:p>
    <w:p w:rsidR="00C47947" w:rsidRPr="004C2E17" w:rsidRDefault="00C47947" w:rsidP="004C2E17">
      <w:pPr>
        <w:spacing w:line="480" w:lineRule="auto"/>
        <w:jc w:val="both"/>
        <w:rPr>
          <w:rFonts w:ascii="Times New Roman" w:hAnsi="Times New Roman" w:cs="Times New Roman"/>
          <w:sz w:val="20"/>
          <w:szCs w:val="20"/>
        </w:rPr>
      </w:pPr>
      <w:r w:rsidRPr="004C2E17">
        <w:rPr>
          <w:rFonts w:ascii="Times New Roman" w:hAnsi="Times New Roman" w:cs="Times New Roman"/>
          <w:sz w:val="20"/>
          <w:szCs w:val="20"/>
        </w:rPr>
        <w:t>Road traffic injuries (RTIs) are a critical public health issue worldwide. In 2023, RTIs were the leading cause of death among children and young people aged 5–29 years and ranked as the eighth leading cause of death across all age groups, leading to approximately 2.5 million deaths and over 50 million injuries globally (WHO, 2023). They were also the primary cause of disability-adjusted life years (DALYs) for individuals aged 10–24 and 25–49 years, accounting for 6.6% and 5.1% of DALYs, respectively, in 2019 (</w:t>
      </w:r>
      <w:proofErr w:type="spellStart"/>
      <w:r w:rsidRPr="004C2E17">
        <w:rPr>
          <w:rFonts w:ascii="Times New Roman" w:hAnsi="Times New Roman" w:cs="Times New Roman"/>
          <w:sz w:val="20"/>
          <w:szCs w:val="20"/>
        </w:rPr>
        <w:t>Abbafati</w:t>
      </w:r>
      <w:proofErr w:type="spellEnd"/>
      <w:r w:rsidRPr="004C2E17">
        <w:rPr>
          <w:rFonts w:ascii="Times New Roman" w:hAnsi="Times New Roman" w:cs="Times New Roman"/>
          <w:sz w:val="20"/>
          <w:szCs w:val="20"/>
        </w:rPr>
        <w:t xml:space="preserve"> et al., 2020). In </w:t>
      </w:r>
      <w:proofErr w:type="spellStart"/>
      <w:r w:rsidRPr="004C2E17">
        <w:rPr>
          <w:rFonts w:ascii="Times New Roman" w:hAnsi="Times New Roman" w:cs="Times New Roman"/>
          <w:sz w:val="20"/>
          <w:szCs w:val="20"/>
        </w:rPr>
        <w:t>india</w:t>
      </w:r>
      <w:proofErr w:type="spellEnd"/>
      <w:r w:rsidRPr="004C2E17">
        <w:rPr>
          <w:rFonts w:ascii="Times New Roman" w:hAnsi="Times New Roman" w:cs="Times New Roman"/>
          <w:sz w:val="20"/>
          <w:szCs w:val="20"/>
        </w:rPr>
        <w:t xml:space="preserve"> alone, 386,285 traffic accidents occurred in 2023, resulting in 82,432 deaths, 328,305 injuries, and direct property damage amounting to RMB 145,035.9 million (NBSC, 2022). In 2019, road traffic injuries ranked fifth among the leading causes of DALYs in China (Zhou et al., 2019). Beyond the loss of life and substantial disease burden, RTIs impose a significant economic strain on victims, their families, and society at large (</w:t>
      </w:r>
      <w:proofErr w:type="spellStart"/>
      <w:r w:rsidRPr="004C2E17">
        <w:rPr>
          <w:rFonts w:ascii="Times New Roman" w:hAnsi="Times New Roman" w:cs="Times New Roman"/>
          <w:sz w:val="20"/>
          <w:szCs w:val="20"/>
        </w:rPr>
        <w:t>Bougna</w:t>
      </w:r>
      <w:proofErr w:type="spellEnd"/>
      <w:r w:rsidRPr="004C2E17">
        <w:rPr>
          <w:rFonts w:ascii="Times New Roman" w:hAnsi="Times New Roman" w:cs="Times New Roman"/>
          <w:sz w:val="20"/>
          <w:szCs w:val="20"/>
        </w:rPr>
        <w:t xml:space="preserve"> et al., 2022). The total cost of road crashes represents 2.8% and 2.3% of gross domestic product (GDP) in high-income and low-income countries, respectively, with injury-related costs comprising half of the total in both contexts (</w:t>
      </w:r>
      <w:proofErr w:type="spellStart"/>
      <w:r w:rsidRPr="004C2E17">
        <w:rPr>
          <w:rFonts w:ascii="Times New Roman" w:hAnsi="Times New Roman" w:cs="Times New Roman"/>
          <w:sz w:val="20"/>
          <w:szCs w:val="20"/>
        </w:rPr>
        <w:t>Wijnen</w:t>
      </w:r>
      <w:proofErr w:type="spellEnd"/>
      <w:r w:rsidRPr="004C2E17">
        <w:rPr>
          <w:rFonts w:ascii="Times New Roman" w:hAnsi="Times New Roman" w:cs="Times New Roman"/>
          <w:sz w:val="20"/>
          <w:szCs w:val="20"/>
        </w:rPr>
        <w:t xml:space="preserve"> &amp; </w:t>
      </w:r>
      <w:proofErr w:type="spellStart"/>
      <w:r w:rsidRPr="004C2E17">
        <w:rPr>
          <w:rFonts w:ascii="Times New Roman" w:hAnsi="Times New Roman" w:cs="Times New Roman"/>
          <w:sz w:val="20"/>
          <w:szCs w:val="20"/>
        </w:rPr>
        <w:t>Stipdonk</w:t>
      </w:r>
      <w:proofErr w:type="spellEnd"/>
      <w:r w:rsidRPr="004C2E17">
        <w:rPr>
          <w:rFonts w:ascii="Times New Roman" w:hAnsi="Times New Roman" w:cs="Times New Roman"/>
          <w:sz w:val="20"/>
          <w:szCs w:val="20"/>
        </w:rPr>
        <w:t>, 2016). Households affected by RTIs face significantly higher out-of-pocket healthcare expenses per member compared to those unaffected by road traffic injuries (</w:t>
      </w:r>
      <w:proofErr w:type="spellStart"/>
      <w:r w:rsidRPr="004C2E17">
        <w:rPr>
          <w:rFonts w:ascii="Times New Roman" w:hAnsi="Times New Roman" w:cs="Times New Roman"/>
          <w:sz w:val="20"/>
          <w:szCs w:val="20"/>
        </w:rPr>
        <w:t>Alam</w:t>
      </w:r>
      <w:proofErr w:type="spellEnd"/>
      <w:r w:rsidRPr="004C2E17">
        <w:rPr>
          <w:rFonts w:ascii="Times New Roman" w:hAnsi="Times New Roman" w:cs="Times New Roman"/>
          <w:sz w:val="20"/>
          <w:szCs w:val="20"/>
        </w:rPr>
        <w:t xml:space="preserve"> &amp; </w:t>
      </w:r>
      <w:proofErr w:type="spellStart"/>
      <w:r w:rsidRPr="004C2E17">
        <w:rPr>
          <w:rFonts w:ascii="Times New Roman" w:hAnsi="Times New Roman" w:cs="Times New Roman"/>
          <w:sz w:val="20"/>
          <w:szCs w:val="20"/>
        </w:rPr>
        <w:t>Mahal</w:t>
      </w:r>
      <w:proofErr w:type="spellEnd"/>
      <w:r w:rsidRPr="004C2E17">
        <w:rPr>
          <w:rFonts w:ascii="Times New Roman" w:hAnsi="Times New Roman" w:cs="Times New Roman"/>
          <w:sz w:val="20"/>
          <w:szCs w:val="20"/>
        </w:rPr>
        <w:t>, 2016).</w:t>
      </w:r>
    </w:p>
    <w:p w:rsidR="00C47947" w:rsidRPr="004C2E17" w:rsidRDefault="00C47947" w:rsidP="004C2E17">
      <w:pPr>
        <w:spacing w:line="480" w:lineRule="auto"/>
        <w:jc w:val="both"/>
        <w:rPr>
          <w:rFonts w:ascii="Times New Roman" w:hAnsi="Times New Roman" w:cs="Times New Roman"/>
          <w:sz w:val="20"/>
          <w:szCs w:val="20"/>
        </w:rPr>
      </w:pPr>
      <w:r w:rsidRPr="004C2E17">
        <w:rPr>
          <w:rFonts w:ascii="Times New Roman" w:hAnsi="Times New Roman" w:cs="Times New Roman"/>
          <w:sz w:val="20"/>
          <w:szCs w:val="20"/>
        </w:rPr>
        <w:t>Medical costs are a significant component of the economic burden faced by individuals affected by RTIs. The medical expenses for inpatients are notably higher than those for outpatients. Previous studies on the inpatient costs associated with RTIs have mainly focused on cost descriptions and the factors influencing them. However, hospitalization costs vary greatly across countries and regions, making comparisons difficult due to differences in economic development, healthcare policies, and the quality of medical treatment across different areas.</w:t>
      </w:r>
    </w:p>
    <w:p w:rsidR="00C47947" w:rsidRPr="004C2E17" w:rsidRDefault="00C47947" w:rsidP="004C2E17">
      <w:pPr>
        <w:pStyle w:val="ListParagraph"/>
        <w:numPr>
          <w:ilvl w:val="1"/>
          <w:numId w:val="1"/>
        </w:numPr>
        <w:spacing w:line="480" w:lineRule="auto"/>
        <w:jc w:val="both"/>
        <w:rPr>
          <w:rFonts w:ascii="Times New Roman" w:hAnsi="Times New Roman" w:cs="Times New Roman"/>
          <w:b/>
          <w:sz w:val="20"/>
          <w:szCs w:val="20"/>
        </w:rPr>
      </w:pPr>
      <w:r w:rsidRPr="004C2E17">
        <w:rPr>
          <w:rFonts w:ascii="Times New Roman" w:hAnsi="Times New Roman" w:cs="Times New Roman"/>
          <w:b/>
          <w:sz w:val="20"/>
          <w:szCs w:val="20"/>
        </w:rPr>
        <w:t>Cost of Road Crashes</w:t>
      </w:r>
    </w:p>
    <w:p w:rsidR="00C47947" w:rsidRPr="004C2E17" w:rsidRDefault="00C47947" w:rsidP="004C2E17">
      <w:pPr>
        <w:spacing w:line="480" w:lineRule="auto"/>
        <w:jc w:val="both"/>
        <w:rPr>
          <w:rFonts w:ascii="Times New Roman" w:hAnsi="Times New Roman" w:cs="Times New Roman"/>
          <w:sz w:val="20"/>
          <w:szCs w:val="20"/>
        </w:rPr>
      </w:pPr>
      <w:r w:rsidRPr="004C2E17">
        <w:rPr>
          <w:rFonts w:ascii="Times New Roman" w:hAnsi="Times New Roman" w:cs="Times New Roman"/>
          <w:sz w:val="20"/>
          <w:szCs w:val="20"/>
        </w:rPr>
        <w:t>The cost of road crashes encompasses a broad range of economic, social, and intangible consequences that affect individuals, businesses, governments, and societies. These costs can be classified into direct, indirect, and intangible categories, reflecting the multifaceted impact of crashes on the economy and human well-being. The cost of road crashes extends far beyond financial losses, impacting lives and productivity. Reducing these costs requires a holistic approach that includes prevention, enforcement, education, and effective response systems. Investments in road safety are not only life-saving but also economically beneficial, contributing to the sustainable development of societies.</w:t>
      </w:r>
    </w:p>
    <w:p w:rsidR="00C47947" w:rsidRPr="004C2E17" w:rsidRDefault="00C47947" w:rsidP="004C2E17">
      <w:pPr>
        <w:pStyle w:val="ListParagraph"/>
        <w:numPr>
          <w:ilvl w:val="1"/>
          <w:numId w:val="1"/>
        </w:numPr>
        <w:spacing w:line="480" w:lineRule="auto"/>
        <w:jc w:val="both"/>
        <w:rPr>
          <w:rFonts w:ascii="Times New Roman" w:hAnsi="Times New Roman" w:cs="Times New Roman"/>
          <w:b/>
          <w:sz w:val="20"/>
          <w:szCs w:val="20"/>
        </w:rPr>
      </w:pPr>
      <w:r w:rsidRPr="004C2E17">
        <w:rPr>
          <w:rFonts w:ascii="Times New Roman" w:hAnsi="Times New Roman" w:cs="Times New Roman"/>
          <w:b/>
          <w:sz w:val="20"/>
          <w:szCs w:val="20"/>
        </w:rPr>
        <w:t xml:space="preserve"> Contributing factors of road crashes</w:t>
      </w:r>
    </w:p>
    <w:p w:rsidR="00C47947" w:rsidRPr="004C2E17" w:rsidRDefault="00C47947" w:rsidP="004C2E17">
      <w:pPr>
        <w:spacing w:line="480" w:lineRule="auto"/>
        <w:jc w:val="both"/>
        <w:rPr>
          <w:rFonts w:ascii="Times New Roman" w:hAnsi="Times New Roman" w:cs="Times New Roman"/>
          <w:b/>
          <w:sz w:val="20"/>
          <w:szCs w:val="20"/>
        </w:rPr>
      </w:pPr>
      <w:r w:rsidRPr="004C2E17">
        <w:rPr>
          <w:rFonts w:ascii="Times New Roman" w:hAnsi="Times New Roman" w:cs="Times New Roman"/>
          <w:sz w:val="20"/>
          <w:szCs w:val="20"/>
        </w:rPr>
        <w:t>The cost of road crashes encompasses direct, indirect, and intangible economic burdens borne by individuals, families, businesses, and governments. These costs result from fatalities, injuries, and damage to property, affecting both the economy and societal well-being. Understanding the contributing factors is essential for addressing these costs effectively. The cost of road crashes is a multidimensional issue with far-reaching consequences. It is essential to identify and address contributing factors through targeted interventions. By investing in prevention, policy reforms, and technological advancements, societies can reduce the economic and social burdens of road traffic crashes, thereby fostering safer and more sustainable communities.</w:t>
      </w:r>
    </w:p>
    <w:p w:rsidR="00C47947" w:rsidRPr="004C2E17" w:rsidRDefault="00C47947" w:rsidP="004C2E17">
      <w:pPr>
        <w:pStyle w:val="ListParagraph"/>
        <w:numPr>
          <w:ilvl w:val="0"/>
          <w:numId w:val="1"/>
        </w:numPr>
        <w:spacing w:before="100" w:beforeAutospacing="1" w:after="100" w:afterAutospacing="1" w:line="480" w:lineRule="auto"/>
        <w:jc w:val="both"/>
        <w:rPr>
          <w:rFonts w:ascii="Times New Roman" w:eastAsia="Times New Roman" w:hAnsi="Times New Roman" w:cs="Times New Roman"/>
          <w:b/>
          <w:sz w:val="20"/>
          <w:szCs w:val="20"/>
        </w:rPr>
      </w:pPr>
      <w:r w:rsidRPr="004C2E17">
        <w:rPr>
          <w:rFonts w:ascii="Times New Roman" w:eastAsia="Times New Roman" w:hAnsi="Times New Roman" w:cs="Times New Roman"/>
          <w:b/>
          <w:sz w:val="20"/>
          <w:szCs w:val="20"/>
        </w:rPr>
        <w:t>Road traffic crashes and problems</w:t>
      </w:r>
    </w:p>
    <w:p w:rsidR="00C47947" w:rsidRPr="004C2E17" w:rsidRDefault="00C47947" w:rsidP="004C2E17">
      <w:p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sz w:val="20"/>
          <w:szCs w:val="20"/>
        </w:rPr>
        <w:t>Road traffic crashes involve complex interactions of various elements, including human, vehicle, road, and environmental factors. Understanding the fundamental concepts related to road traffic crashes is crucial for designing effective safety measures. Here are key concepts that play a role in the occurrence and prevention of road traffic crashes:</w:t>
      </w:r>
    </w:p>
    <w:p w:rsidR="00C47947" w:rsidRPr="004C2E17" w:rsidRDefault="00C47947" w:rsidP="004C2E17">
      <w:pPr>
        <w:spacing w:before="100" w:beforeAutospacing="1" w:after="100" w:afterAutospacing="1" w:line="480" w:lineRule="auto"/>
        <w:jc w:val="both"/>
        <w:outlineLvl w:val="2"/>
        <w:rPr>
          <w:rFonts w:ascii="Times New Roman" w:eastAsia="Times New Roman" w:hAnsi="Times New Roman" w:cs="Times New Roman"/>
          <w:b/>
          <w:bCs/>
          <w:sz w:val="20"/>
          <w:szCs w:val="20"/>
        </w:rPr>
      </w:pPr>
      <w:r w:rsidRPr="004C2E17">
        <w:rPr>
          <w:rFonts w:ascii="Times New Roman" w:eastAsia="Times New Roman" w:hAnsi="Times New Roman" w:cs="Times New Roman"/>
          <w:b/>
          <w:bCs/>
          <w:sz w:val="20"/>
          <w:szCs w:val="20"/>
        </w:rPr>
        <w:t>Crash Causation Factors</w:t>
      </w:r>
    </w:p>
    <w:p w:rsidR="00C47947" w:rsidRPr="004C2E17" w:rsidRDefault="00C47947" w:rsidP="004C2E17">
      <w:pPr>
        <w:numPr>
          <w:ilvl w:val="0"/>
          <w:numId w:val="17"/>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Human Factors</w:t>
      </w:r>
      <w:r w:rsidRPr="004C2E17">
        <w:rPr>
          <w:rFonts w:ascii="Times New Roman" w:eastAsia="Times New Roman" w:hAnsi="Times New Roman" w:cs="Times New Roman"/>
          <w:sz w:val="20"/>
          <w:szCs w:val="20"/>
        </w:rPr>
        <w:t>: Driver error is a major cause of traffic crashes, often linked to speeding, distracted driving, impaired driving (due to alcohol or drugs), fatigue, or lack of experience.</w:t>
      </w:r>
    </w:p>
    <w:p w:rsidR="00C47947" w:rsidRPr="004C2E17" w:rsidRDefault="00C47947" w:rsidP="004C2E17">
      <w:pPr>
        <w:numPr>
          <w:ilvl w:val="0"/>
          <w:numId w:val="17"/>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Vehicle Factors</w:t>
      </w:r>
      <w:r w:rsidRPr="004C2E17">
        <w:rPr>
          <w:rFonts w:ascii="Times New Roman" w:eastAsia="Times New Roman" w:hAnsi="Times New Roman" w:cs="Times New Roman"/>
          <w:sz w:val="20"/>
          <w:szCs w:val="20"/>
        </w:rPr>
        <w:t>: Vehicle conditions such as mechanical failure, tire blowouts, or faulty brakes can contribute to crashes. The design of safety features like airbags and anti-lock brakes also influences crash outcomes.</w:t>
      </w:r>
    </w:p>
    <w:p w:rsidR="00C47947" w:rsidRPr="004C2E17" w:rsidRDefault="00C47947" w:rsidP="004C2E17">
      <w:pPr>
        <w:numPr>
          <w:ilvl w:val="0"/>
          <w:numId w:val="17"/>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Road and Environmental Factors</w:t>
      </w:r>
      <w:r w:rsidRPr="004C2E17">
        <w:rPr>
          <w:rFonts w:ascii="Times New Roman" w:eastAsia="Times New Roman" w:hAnsi="Times New Roman" w:cs="Times New Roman"/>
          <w:sz w:val="20"/>
          <w:szCs w:val="20"/>
        </w:rPr>
        <w:t>: Poor road design, inadequate signage, lack of lighting, weather conditions (e.g., rain, fog, snow), and road surface conditions can increase the likelihood of crashes. Intersections, curves, and steep inclines are common locations for road-related crashes.</w:t>
      </w:r>
    </w:p>
    <w:p w:rsidR="00C47947" w:rsidRPr="004C2E17" w:rsidRDefault="00C47947" w:rsidP="004C2E17">
      <w:pPr>
        <w:spacing w:before="100" w:beforeAutospacing="1" w:after="100" w:afterAutospacing="1" w:line="480" w:lineRule="auto"/>
        <w:jc w:val="both"/>
        <w:outlineLvl w:val="2"/>
        <w:rPr>
          <w:rFonts w:ascii="Times New Roman" w:eastAsia="Times New Roman" w:hAnsi="Times New Roman" w:cs="Times New Roman"/>
          <w:b/>
          <w:bCs/>
          <w:sz w:val="20"/>
          <w:szCs w:val="20"/>
        </w:rPr>
      </w:pPr>
      <w:r w:rsidRPr="004C2E17">
        <w:rPr>
          <w:rFonts w:ascii="Times New Roman" w:eastAsia="Times New Roman" w:hAnsi="Times New Roman" w:cs="Times New Roman"/>
          <w:b/>
          <w:bCs/>
          <w:sz w:val="20"/>
          <w:szCs w:val="20"/>
        </w:rPr>
        <w:t>Crash Types and Patterns</w:t>
      </w:r>
    </w:p>
    <w:p w:rsidR="00C47947" w:rsidRPr="004C2E17" w:rsidRDefault="00C47947" w:rsidP="004C2E17">
      <w:pPr>
        <w:numPr>
          <w:ilvl w:val="0"/>
          <w:numId w:val="18"/>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Types of Crashes</w:t>
      </w:r>
      <w:r w:rsidRPr="004C2E17">
        <w:rPr>
          <w:rFonts w:ascii="Times New Roman" w:eastAsia="Times New Roman" w:hAnsi="Times New Roman" w:cs="Times New Roman"/>
          <w:sz w:val="20"/>
          <w:szCs w:val="20"/>
        </w:rPr>
        <w:t>: Common types include rear-end collisions, head-on collisions, side-impact (T-bone) crashes, rollovers, and single-vehicle run-off-road crashes.</w:t>
      </w:r>
    </w:p>
    <w:p w:rsidR="00C47947" w:rsidRPr="004C2E17" w:rsidRDefault="00C47947" w:rsidP="004C2E17">
      <w:pPr>
        <w:numPr>
          <w:ilvl w:val="0"/>
          <w:numId w:val="18"/>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Crash Patterns</w:t>
      </w:r>
      <w:r w:rsidRPr="004C2E17">
        <w:rPr>
          <w:rFonts w:ascii="Times New Roman" w:eastAsia="Times New Roman" w:hAnsi="Times New Roman" w:cs="Times New Roman"/>
          <w:sz w:val="20"/>
          <w:szCs w:val="20"/>
        </w:rPr>
        <w:t>: Certain road features or intersections may have higher crash rates due to specific patterns, such as a high number of left-turn crashes at intersections. Identifying these patterns helps in targeting safety improvements.</w:t>
      </w:r>
    </w:p>
    <w:p w:rsidR="00C47947" w:rsidRPr="004C2E17" w:rsidRDefault="00C47947" w:rsidP="004C2E17">
      <w:pPr>
        <w:spacing w:before="100" w:beforeAutospacing="1" w:after="100" w:afterAutospacing="1" w:line="480" w:lineRule="auto"/>
        <w:jc w:val="both"/>
        <w:outlineLvl w:val="2"/>
        <w:rPr>
          <w:rFonts w:ascii="Times New Roman" w:eastAsia="Times New Roman" w:hAnsi="Times New Roman" w:cs="Times New Roman"/>
          <w:b/>
          <w:bCs/>
          <w:sz w:val="20"/>
          <w:szCs w:val="20"/>
        </w:rPr>
      </w:pPr>
      <w:r w:rsidRPr="004C2E17">
        <w:rPr>
          <w:rFonts w:ascii="Times New Roman" w:eastAsia="Times New Roman" w:hAnsi="Times New Roman" w:cs="Times New Roman"/>
          <w:b/>
          <w:bCs/>
          <w:sz w:val="20"/>
          <w:szCs w:val="20"/>
        </w:rPr>
        <w:t>Crash Severity</w:t>
      </w:r>
    </w:p>
    <w:p w:rsidR="00C47947" w:rsidRPr="004C2E17" w:rsidRDefault="00C47947" w:rsidP="004C2E17">
      <w:pPr>
        <w:numPr>
          <w:ilvl w:val="0"/>
          <w:numId w:val="19"/>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sz w:val="20"/>
          <w:szCs w:val="20"/>
        </w:rPr>
        <w:t>Crash severity is classified by the level of injury or damage caused, such as property damage only, injury, and fatality. Severity often depends on factors like speed, collision type, occupant protection, and the size/weight of the vehicles involved.</w:t>
      </w:r>
    </w:p>
    <w:p w:rsidR="00C47947" w:rsidRPr="004C2E17" w:rsidRDefault="00C47947" w:rsidP="004C2E17">
      <w:pPr>
        <w:numPr>
          <w:ilvl w:val="0"/>
          <w:numId w:val="19"/>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Severity Reduction Measures</w:t>
      </w:r>
      <w:r w:rsidRPr="004C2E17">
        <w:rPr>
          <w:rFonts w:ascii="Times New Roman" w:eastAsia="Times New Roman" w:hAnsi="Times New Roman" w:cs="Times New Roman"/>
          <w:sz w:val="20"/>
          <w:szCs w:val="20"/>
        </w:rPr>
        <w:t>: Using safety features like seat belts, airbags, speed limits, and barriers can reduce the severity of crashes, even if they do not prevent the crash from occurring.</w:t>
      </w:r>
    </w:p>
    <w:p w:rsidR="00C47947" w:rsidRPr="004C2E17" w:rsidRDefault="00C47947" w:rsidP="004C2E17">
      <w:pPr>
        <w:spacing w:before="100" w:beforeAutospacing="1" w:after="100" w:afterAutospacing="1" w:line="480" w:lineRule="auto"/>
        <w:jc w:val="both"/>
        <w:outlineLvl w:val="2"/>
        <w:rPr>
          <w:rFonts w:ascii="Times New Roman" w:eastAsia="Times New Roman" w:hAnsi="Times New Roman" w:cs="Times New Roman"/>
          <w:b/>
          <w:bCs/>
          <w:sz w:val="20"/>
          <w:szCs w:val="20"/>
        </w:rPr>
      </w:pPr>
      <w:r w:rsidRPr="004C2E17">
        <w:rPr>
          <w:rFonts w:ascii="Times New Roman" w:eastAsia="Times New Roman" w:hAnsi="Times New Roman" w:cs="Times New Roman"/>
          <w:b/>
          <w:bCs/>
          <w:sz w:val="20"/>
          <w:szCs w:val="20"/>
        </w:rPr>
        <w:t>Crash Prevention and Control Measures</w:t>
      </w:r>
    </w:p>
    <w:p w:rsidR="00C47947" w:rsidRPr="00BF27C5" w:rsidRDefault="00C47947" w:rsidP="004C2E17">
      <w:pPr>
        <w:numPr>
          <w:ilvl w:val="0"/>
          <w:numId w:val="20"/>
        </w:numPr>
        <w:spacing w:before="100" w:beforeAutospacing="1" w:after="100" w:afterAutospacing="1" w:line="480" w:lineRule="auto"/>
        <w:jc w:val="both"/>
        <w:rPr>
          <w:rFonts w:ascii="Times New Roman" w:eastAsia="Times New Roman" w:hAnsi="Times New Roman" w:cs="Times New Roman"/>
          <w:sz w:val="20"/>
          <w:szCs w:val="20"/>
        </w:rPr>
      </w:pPr>
      <w:r w:rsidRPr="000154F6">
        <w:rPr>
          <w:rFonts w:ascii="Times New Roman" w:eastAsia="Times New Roman" w:hAnsi="Times New Roman" w:cs="Times New Roman"/>
          <w:bCs/>
          <w:sz w:val="20"/>
          <w:szCs w:val="20"/>
        </w:rPr>
        <w:t>Engineering Solutions</w:t>
      </w:r>
      <w:r w:rsidRPr="00BF27C5">
        <w:rPr>
          <w:rFonts w:ascii="Times New Roman" w:eastAsia="Times New Roman" w:hAnsi="Times New Roman" w:cs="Times New Roman"/>
          <w:sz w:val="20"/>
          <w:szCs w:val="20"/>
        </w:rPr>
        <w:t>: Includes road design improvements like adding medians, guardrails, roundabouts, and lighting. Proper road signage, lane markings, and traffic signals also play a key role in crash prevention.</w:t>
      </w:r>
    </w:p>
    <w:p w:rsidR="00C47947" w:rsidRPr="00BF27C5" w:rsidRDefault="00C47947" w:rsidP="004C2E17">
      <w:pPr>
        <w:numPr>
          <w:ilvl w:val="0"/>
          <w:numId w:val="20"/>
        </w:numPr>
        <w:spacing w:before="100" w:beforeAutospacing="1" w:after="100" w:afterAutospacing="1" w:line="480" w:lineRule="auto"/>
        <w:jc w:val="both"/>
        <w:rPr>
          <w:rFonts w:ascii="Times New Roman" w:eastAsia="Times New Roman" w:hAnsi="Times New Roman" w:cs="Times New Roman"/>
          <w:sz w:val="20"/>
          <w:szCs w:val="20"/>
        </w:rPr>
      </w:pPr>
      <w:r w:rsidRPr="000154F6">
        <w:rPr>
          <w:rFonts w:ascii="Times New Roman" w:eastAsia="Times New Roman" w:hAnsi="Times New Roman" w:cs="Times New Roman"/>
          <w:bCs/>
          <w:sz w:val="20"/>
          <w:szCs w:val="20"/>
        </w:rPr>
        <w:t>Enforcement and Regulation</w:t>
      </w:r>
      <w:r w:rsidRPr="00BF27C5">
        <w:rPr>
          <w:rFonts w:ascii="Times New Roman" w:eastAsia="Times New Roman" w:hAnsi="Times New Roman" w:cs="Times New Roman"/>
          <w:sz w:val="20"/>
          <w:szCs w:val="20"/>
        </w:rPr>
        <w:t>: Laws and regulations, such as speed limits, DUI checks, and seat belt enforcement, aim to reduce risky behaviors and ensure safer driving practices.</w:t>
      </w:r>
    </w:p>
    <w:p w:rsidR="00C47947" w:rsidRDefault="00C47947" w:rsidP="004C2E17">
      <w:pPr>
        <w:numPr>
          <w:ilvl w:val="0"/>
          <w:numId w:val="20"/>
        </w:numPr>
        <w:spacing w:before="100" w:beforeAutospacing="1" w:after="100" w:afterAutospacing="1" w:line="480" w:lineRule="auto"/>
        <w:jc w:val="both"/>
        <w:rPr>
          <w:rFonts w:ascii="Times New Roman" w:eastAsia="Times New Roman" w:hAnsi="Times New Roman" w:cs="Times New Roman"/>
          <w:sz w:val="20"/>
          <w:szCs w:val="20"/>
        </w:rPr>
      </w:pPr>
      <w:r w:rsidRPr="000154F6">
        <w:rPr>
          <w:rFonts w:ascii="Times New Roman" w:eastAsia="Times New Roman" w:hAnsi="Times New Roman" w:cs="Times New Roman"/>
          <w:bCs/>
          <w:sz w:val="20"/>
          <w:szCs w:val="20"/>
        </w:rPr>
        <w:t>Education and Awareness</w:t>
      </w:r>
      <w:r w:rsidRPr="00BF27C5">
        <w:rPr>
          <w:rFonts w:ascii="Times New Roman" w:eastAsia="Times New Roman" w:hAnsi="Times New Roman" w:cs="Times New Roman"/>
          <w:sz w:val="20"/>
          <w:szCs w:val="20"/>
        </w:rPr>
        <w:t>: Public awareness campaigns and driver education programs focus on encouraging safe driving behaviors and reducing risk factors.</w:t>
      </w:r>
    </w:p>
    <w:p w:rsidR="00C47947" w:rsidRPr="004C2E17" w:rsidRDefault="00C47947" w:rsidP="004C2E17">
      <w:p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Risk Factors and Vulnerable Road Users</w:t>
      </w:r>
    </w:p>
    <w:p w:rsidR="00C47947" w:rsidRPr="004C2E17" w:rsidRDefault="00C47947" w:rsidP="004C2E17">
      <w:pPr>
        <w:pStyle w:val="ListParagraph"/>
        <w:numPr>
          <w:ilvl w:val="0"/>
          <w:numId w:val="20"/>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Risk Factors</w:t>
      </w:r>
      <w:r w:rsidRPr="004C2E17">
        <w:rPr>
          <w:rFonts w:ascii="Times New Roman" w:eastAsia="Times New Roman" w:hAnsi="Times New Roman" w:cs="Times New Roman"/>
          <w:sz w:val="20"/>
          <w:szCs w:val="20"/>
        </w:rPr>
        <w:t>: Include high-speed roads, complex intersections, high traffic volumes, and areas with limited visibility. Reducing these factors lowers crash probability.</w:t>
      </w:r>
    </w:p>
    <w:p w:rsidR="00C47947" w:rsidRPr="004C2E17" w:rsidRDefault="00C47947" w:rsidP="004C2E17">
      <w:pPr>
        <w:pStyle w:val="ListParagraph"/>
        <w:numPr>
          <w:ilvl w:val="0"/>
          <w:numId w:val="20"/>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Vulnerable Road Users (VRUs)</w:t>
      </w:r>
      <w:r w:rsidRPr="004C2E17">
        <w:rPr>
          <w:rFonts w:ascii="Times New Roman" w:eastAsia="Times New Roman" w:hAnsi="Times New Roman" w:cs="Times New Roman"/>
          <w:sz w:val="20"/>
          <w:szCs w:val="20"/>
        </w:rPr>
        <w:t>: Pedestrians, cyclists, and motorcyclists are particularly susceptible to severe injury in crashes. Measures like dedicated bike lanes, pedestrian crossings, and speed calming help protect VRUs.</w:t>
      </w:r>
    </w:p>
    <w:p w:rsidR="00C47947" w:rsidRPr="004C2E17" w:rsidRDefault="00C47947" w:rsidP="004C2E17">
      <w:p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
          <w:bCs/>
          <w:sz w:val="20"/>
          <w:szCs w:val="20"/>
        </w:rPr>
        <w:t>Crash Analysis and Data Collection</w:t>
      </w:r>
    </w:p>
    <w:p w:rsidR="00C47947" w:rsidRPr="004C2E17" w:rsidRDefault="00C47947" w:rsidP="004C2E17">
      <w:pPr>
        <w:pStyle w:val="ListParagraph"/>
        <w:numPr>
          <w:ilvl w:val="0"/>
          <w:numId w:val="25"/>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Crash Data Collection</w:t>
      </w:r>
      <w:r w:rsidRPr="004C2E17">
        <w:rPr>
          <w:rFonts w:ascii="Times New Roman" w:eastAsia="Times New Roman" w:hAnsi="Times New Roman" w:cs="Times New Roman"/>
          <w:sz w:val="20"/>
          <w:szCs w:val="20"/>
        </w:rPr>
        <w:t>: Accurate data on crash location, time, type, and contributing factors are critical for analysis. This data often comes from police reports, traffic cameras, or sensor data.</w:t>
      </w:r>
    </w:p>
    <w:p w:rsidR="00C47947" w:rsidRPr="004C2E17" w:rsidRDefault="00C47947" w:rsidP="004C2E17">
      <w:pPr>
        <w:pStyle w:val="ListParagraph"/>
        <w:numPr>
          <w:ilvl w:val="0"/>
          <w:numId w:val="25"/>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Crash Analysis Tools</w:t>
      </w:r>
      <w:r w:rsidRPr="004C2E17">
        <w:rPr>
          <w:rFonts w:ascii="Times New Roman" w:eastAsia="Times New Roman" w:hAnsi="Times New Roman" w:cs="Times New Roman"/>
          <w:sz w:val="20"/>
          <w:szCs w:val="20"/>
        </w:rPr>
        <w:t>: Predictive models (such as Safety Performance Functions) and software tools help analyze crash trends, assess risk levels, and predict the impacts of road design or regulatory changes on crash rates.</w:t>
      </w:r>
    </w:p>
    <w:p w:rsidR="00C47947" w:rsidRPr="004C2E17" w:rsidRDefault="00C47947" w:rsidP="004C2E17">
      <w:pPr>
        <w:spacing w:before="100" w:beforeAutospacing="1" w:after="100" w:afterAutospacing="1" w:line="480" w:lineRule="auto"/>
        <w:jc w:val="both"/>
        <w:outlineLvl w:val="2"/>
        <w:rPr>
          <w:rFonts w:ascii="Times New Roman" w:eastAsia="Times New Roman" w:hAnsi="Times New Roman" w:cs="Times New Roman"/>
          <w:b/>
          <w:bCs/>
          <w:sz w:val="20"/>
          <w:szCs w:val="20"/>
        </w:rPr>
      </w:pPr>
      <w:r w:rsidRPr="004C2E17">
        <w:rPr>
          <w:rFonts w:ascii="Times New Roman" w:eastAsia="Times New Roman" w:hAnsi="Times New Roman" w:cs="Times New Roman"/>
          <w:b/>
          <w:bCs/>
          <w:sz w:val="20"/>
          <w:szCs w:val="20"/>
        </w:rPr>
        <w:t>Traffic Safety Models</w:t>
      </w:r>
    </w:p>
    <w:p w:rsidR="00C47947" w:rsidRPr="004C2E17" w:rsidRDefault="00C47947" w:rsidP="004C2E17">
      <w:pPr>
        <w:pStyle w:val="ListParagraph"/>
        <w:numPr>
          <w:ilvl w:val="0"/>
          <w:numId w:val="26"/>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The Haddon Matrix</w:t>
      </w:r>
      <w:r w:rsidRPr="004C2E17">
        <w:rPr>
          <w:rFonts w:ascii="Times New Roman" w:eastAsia="Times New Roman" w:hAnsi="Times New Roman" w:cs="Times New Roman"/>
          <w:sz w:val="20"/>
          <w:szCs w:val="20"/>
        </w:rPr>
        <w:t>: A framework used to analyze crashes in terms of pre-crash, crash, and post-crash phases, addressing human, vehicle, and environmental factors in each phase.</w:t>
      </w:r>
    </w:p>
    <w:p w:rsidR="00C47947" w:rsidRPr="004C2E17" w:rsidRDefault="00C47947" w:rsidP="004C2E17">
      <w:pPr>
        <w:pStyle w:val="ListParagraph"/>
        <w:numPr>
          <w:ilvl w:val="0"/>
          <w:numId w:val="26"/>
        </w:numPr>
        <w:spacing w:before="100" w:beforeAutospacing="1" w:after="100" w:afterAutospacing="1" w:line="480" w:lineRule="auto"/>
        <w:jc w:val="both"/>
        <w:rPr>
          <w:rFonts w:ascii="Times New Roman" w:eastAsia="Times New Roman" w:hAnsi="Times New Roman" w:cs="Times New Roman"/>
          <w:sz w:val="20"/>
          <w:szCs w:val="20"/>
        </w:rPr>
      </w:pPr>
      <w:r w:rsidRPr="004C2E17">
        <w:rPr>
          <w:rFonts w:ascii="Times New Roman" w:eastAsia="Times New Roman" w:hAnsi="Times New Roman" w:cs="Times New Roman"/>
          <w:bCs/>
          <w:sz w:val="20"/>
          <w:szCs w:val="20"/>
        </w:rPr>
        <w:t>Safe System Approach</w:t>
      </w:r>
      <w:r w:rsidRPr="004C2E17">
        <w:rPr>
          <w:rFonts w:ascii="Times New Roman" w:eastAsia="Times New Roman" w:hAnsi="Times New Roman" w:cs="Times New Roman"/>
          <w:sz w:val="20"/>
          <w:szCs w:val="20"/>
        </w:rPr>
        <w:t>: Recognizes that while human errors are inevitable, the road system should be designed to prevent crashes or reduce their severity when they occur. This approach includes safer roads, safer speeds, safer vehicles, and post-crash response.</w:t>
      </w:r>
    </w:p>
    <w:p w:rsidR="00C47947" w:rsidRPr="004C2E17" w:rsidRDefault="00C47947" w:rsidP="004C2E17">
      <w:pPr>
        <w:pStyle w:val="Default"/>
        <w:numPr>
          <w:ilvl w:val="0"/>
          <w:numId w:val="24"/>
        </w:numPr>
        <w:spacing w:line="480" w:lineRule="auto"/>
        <w:rPr>
          <w:b/>
          <w:sz w:val="20"/>
          <w:szCs w:val="20"/>
        </w:rPr>
      </w:pPr>
      <w:r w:rsidRPr="004C2E17">
        <w:rPr>
          <w:b/>
          <w:sz w:val="20"/>
          <w:szCs w:val="20"/>
        </w:rPr>
        <w:t>Problems Associated with Road Traffic Crashes</w:t>
      </w:r>
    </w:p>
    <w:p w:rsidR="00570B88" w:rsidRPr="004C2E17" w:rsidRDefault="00C47947" w:rsidP="004C2E17">
      <w:pPr>
        <w:spacing w:before="100" w:beforeAutospacing="1" w:after="100" w:afterAutospacing="1" w:line="480" w:lineRule="auto"/>
        <w:jc w:val="both"/>
        <w:rPr>
          <w:rFonts w:ascii="Times New Roman" w:hAnsi="Times New Roman" w:cs="Times New Roman"/>
          <w:sz w:val="20"/>
          <w:szCs w:val="20"/>
        </w:rPr>
      </w:pPr>
      <w:r w:rsidRPr="004C2E17">
        <w:rPr>
          <w:rFonts w:ascii="Times New Roman" w:hAnsi="Times New Roman" w:cs="Times New Roman"/>
          <w:sz w:val="20"/>
          <w:szCs w:val="20"/>
        </w:rPr>
        <w:t xml:space="preserve">Road traffic crashes (RTCs) have far-reaching consequences, impacting individuals, communities, and nations on multiple levels. These problems can be categorized into social, economic, health, and environmental domains. </w:t>
      </w:r>
      <w:r w:rsidRPr="004C2E17">
        <w:rPr>
          <w:rStyle w:val="Strong"/>
          <w:rFonts w:ascii="Times New Roman" w:hAnsi="Times New Roman" w:cs="Times New Roman"/>
          <w:b w:val="0"/>
          <w:sz w:val="20"/>
          <w:szCs w:val="20"/>
        </w:rPr>
        <w:t>Health Problems like</w:t>
      </w:r>
      <w:r w:rsidRPr="004C2E17">
        <w:rPr>
          <w:rStyle w:val="Strong"/>
          <w:rFonts w:ascii="Times New Roman" w:hAnsi="Times New Roman" w:cs="Times New Roman"/>
          <w:sz w:val="20"/>
          <w:szCs w:val="20"/>
        </w:rPr>
        <w:t xml:space="preserve"> </w:t>
      </w:r>
      <w:r w:rsidRPr="004C2E17">
        <w:rPr>
          <w:rFonts w:ascii="Times New Roman" w:hAnsi="Times New Roman" w:cs="Times New Roman"/>
          <w:sz w:val="20"/>
          <w:szCs w:val="20"/>
        </w:rPr>
        <w:t xml:space="preserve">Survivors may face severe physical injuries such as traumatic brain injuries, spinal cord damage, and amputations. And Post-Traumatic Stress Disorder (PTSD), anxiety, and depression are common among crash survivors and witnesses.  </w:t>
      </w:r>
      <w:r w:rsidRPr="004C2E17">
        <w:rPr>
          <w:rStyle w:val="Strong"/>
          <w:rFonts w:ascii="Times New Roman" w:hAnsi="Times New Roman" w:cs="Times New Roman"/>
          <w:b w:val="0"/>
          <w:color w:val="000000" w:themeColor="text1"/>
          <w:sz w:val="20"/>
          <w:szCs w:val="20"/>
        </w:rPr>
        <w:t>Economic Problems like</w:t>
      </w:r>
      <w:r w:rsidRPr="004C2E17">
        <w:rPr>
          <w:rStyle w:val="Strong"/>
          <w:rFonts w:ascii="Times New Roman" w:hAnsi="Times New Roman" w:cs="Times New Roman"/>
          <w:color w:val="000000" w:themeColor="text1"/>
          <w:sz w:val="20"/>
          <w:szCs w:val="20"/>
        </w:rPr>
        <w:t xml:space="preserve"> </w:t>
      </w:r>
      <w:r w:rsidRPr="004C2E17">
        <w:rPr>
          <w:rFonts w:ascii="Times New Roman" w:hAnsi="Times New Roman" w:cs="Times New Roman"/>
          <w:sz w:val="20"/>
          <w:szCs w:val="20"/>
        </w:rPr>
        <w:t xml:space="preserve">Direct costs include medical expenses, vehicle damage, and legal fees and </w:t>
      </w:r>
      <w:r w:rsidRPr="004C2E17">
        <w:rPr>
          <w:rStyle w:val="Strong"/>
          <w:rFonts w:ascii="Times New Roman" w:hAnsi="Times New Roman" w:cs="Times New Roman"/>
          <w:b w:val="0"/>
          <w:sz w:val="20"/>
          <w:szCs w:val="20"/>
        </w:rPr>
        <w:t>Indirect Costs</w:t>
      </w:r>
      <w:r w:rsidRPr="004C2E17">
        <w:rPr>
          <w:rFonts w:ascii="Times New Roman" w:hAnsi="Times New Roman" w:cs="Times New Roman"/>
          <w:sz w:val="20"/>
          <w:szCs w:val="20"/>
        </w:rPr>
        <w:t xml:space="preserve"> Loss of productivity due to injuries or fatalities, and care giving responsibilities for families. </w:t>
      </w:r>
      <w:r w:rsidRPr="004C2E17">
        <w:rPr>
          <w:rStyle w:val="Strong"/>
          <w:rFonts w:ascii="Times New Roman" w:hAnsi="Times New Roman" w:cs="Times New Roman"/>
          <w:b w:val="0"/>
          <w:color w:val="000000" w:themeColor="text1"/>
          <w:sz w:val="20"/>
          <w:szCs w:val="20"/>
        </w:rPr>
        <w:t>Environmental Problems like</w:t>
      </w:r>
      <w:r w:rsidRPr="004C2E17">
        <w:rPr>
          <w:rStyle w:val="Strong"/>
          <w:rFonts w:ascii="Times New Roman" w:hAnsi="Times New Roman" w:cs="Times New Roman"/>
          <w:color w:val="000000" w:themeColor="text1"/>
          <w:sz w:val="20"/>
          <w:szCs w:val="20"/>
        </w:rPr>
        <w:t xml:space="preserve"> </w:t>
      </w:r>
      <w:r w:rsidRPr="004C2E17">
        <w:rPr>
          <w:rFonts w:ascii="Times New Roman" w:hAnsi="Times New Roman" w:cs="Times New Roman"/>
          <w:sz w:val="20"/>
          <w:szCs w:val="20"/>
        </w:rPr>
        <w:t>Traffic congestion caused by crashes increases fuel consumption and emissions, contributing to air pollution. Poorly managed crash sites can lead to hazardous material spills, affecting soil and water quality.</w:t>
      </w:r>
    </w:p>
    <w:p w:rsidR="003814DD" w:rsidRDefault="003814DD" w:rsidP="004C2E17">
      <w:pPr>
        <w:pStyle w:val="Default"/>
        <w:spacing w:line="480" w:lineRule="auto"/>
        <w:rPr>
          <w:sz w:val="20"/>
          <w:szCs w:val="20"/>
        </w:rPr>
      </w:pPr>
    </w:p>
    <w:p w:rsidR="009819BD" w:rsidRDefault="009819BD" w:rsidP="004C2E17">
      <w:pPr>
        <w:pStyle w:val="Default"/>
        <w:spacing w:line="480" w:lineRule="auto"/>
        <w:rPr>
          <w:sz w:val="20"/>
          <w:szCs w:val="20"/>
        </w:rPr>
      </w:pPr>
    </w:p>
    <w:p w:rsidR="009819BD" w:rsidRDefault="009819BD" w:rsidP="004C2E17">
      <w:pPr>
        <w:pStyle w:val="Default"/>
        <w:spacing w:line="480" w:lineRule="auto"/>
        <w:rPr>
          <w:sz w:val="20"/>
          <w:szCs w:val="20"/>
        </w:rPr>
      </w:pPr>
    </w:p>
    <w:p w:rsidR="009819BD" w:rsidRDefault="009819BD" w:rsidP="004C2E17">
      <w:pPr>
        <w:pStyle w:val="Default"/>
        <w:spacing w:line="480" w:lineRule="auto"/>
        <w:rPr>
          <w:sz w:val="20"/>
          <w:szCs w:val="20"/>
        </w:rPr>
      </w:pPr>
    </w:p>
    <w:p w:rsidR="009819BD" w:rsidRDefault="009819BD" w:rsidP="004C2E17">
      <w:pPr>
        <w:pStyle w:val="Default"/>
        <w:spacing w:line="480" w:lineRule="auto"/>
        <w:rPr>
          <w:sz w:val="20"/>
          <w:szCs w:val="20"/>
        </w:rPr>
      </w:pPr>
    </w:p>
    <w:p w:rsidR="009819BD" w:rsidRPr="004C2E17" w:rsidRDefault="009819BD" w:rsidP="004C2E17">
      <w:pPr>
        <w:pStyle w:val="Default"/>
        <w:spacing w:line="480" w:lineRule="auto"/>
        <w:rPr>
          <w:sz w:val="20"/>
          <w:szCs w:val="20"/>
        </w:rPr>
      </w:pPr>
    </w:p>
    <w:p w:rsidR="00524DE1" w:rsidRPr="004C2E17" w:rsidRDefault="00524DE1" w:rsidP="004C2E17">
      <w:pPr>
        <w:pStyle w:val="Default"/>
        <w:numPr>
          <w:ilvl w:val="0"/>
          <w:numId w:val="1"/>
        </w:numPr>
        <w:spacing w:line="480" w:lineRule="auto"/>
        <w:rPr>
          <w:sz w:val="20"/>
          <w:szCs w:val="20"/>
        </w:rPr>
      </w:pPr>
      <w:r w:rsidRPr="004C2E17">
        <w:rPr>
          <w:b/>
          <w:bCs/>
          <w:sz w:val="20"/>
          <w:szCs w:val="20"/>
        </w:rPr>
        <w:t>Methodology and Data Collection</w:t>
      </w:r>
    </w:p>
    <w:p w:rsidR="00353922" w:rsidRPr="004C2E17" w:rsidRDefault="00353922" w:rsidP="004C2E17">
      <w:pPr>
        <w:pStyle w:val="Default"/>
        <w:spacing w:line="480" w:lineRule="auto"/>
        <w:ind w:left="360"/>
        <w:rPr>
          <w:b/>
          <w:bCs/>
          <w:sz w:val="20"/>
          <w:szCs w:val="20"/>
        </w:rPr>
      </w:pPr>
    </w:p>
    <w:p w:rsidR="008843AE" w:rsidRPr="004C2E17" w:rsidRDefault="008843AE" w:rsidP="004C2E17">
      <w:pPr>
        <w:pStyle w:val="Default"/>
        <w:spacing w:line="480" w:lineRule="auto"/>
        <w:jc w:val="both"/>
        <w:rPr>
          <w:b/>
          <w:bCs/>
          <w:sz w:val="20"/>
          <w:szCs w:val="20"/>
        </w:rPr>
      </w:pPr>
      <w:r w:rsidRPr="004C2E17">
        <w:rPr>
          <w:b/>
          <w:bCs/>
          <w:sz w:val="20"/>
          <w:szCs w:val="20"/>
        </w:rPr>
        <w:t xml:space="preserve">Concepts of Road Traffic Crashes – </w:t>
      </w:r>
    </w:p>
    <w:p w:rsidR="008843AE" w:rsidRPr="004C2E17" w:rsidRDefault="008843AE" w:rsidP="004C2E17">
      <w:pPr>
        <w:pStyle w:val="Default"/>
        <w:spacing w:line="480" w:lineRule="auto"/>
        <w:jc w:val="both"/>
        <w:rPr>
          <w:b/>
          <w:bCs/>
          <w:sz w:val="20"/>
          <w:szCs w:val="20"/>
        </w:rPr>
      </w:pPr>
    </w:p>
    <w:p w:rsidR="008843AE" w:rsidRPr="00931E8E" w:rsidRDefault="008843AE" w:rsidP="004C2E17">
      <w:pPr>
        <w:pStyle w:val="Default"/>
        <w:spacing w:line="480" w:lineRule="auto"/>
        <w:jc w:val="both"/>
        <w:rPr>
          <w:color w:val="00B050"/>
          <w:sz w:val="20"/>
          <w:szCs w:val="20"/>
        </w:rPr>
      </w:pPr>
      <w:r w:rsidRPr="00931E8E">
        <w:rPr>
          <w:color w:val="00B050"/>
          <w:sz w:val="20"/>
          <w:szCs w:val="20"/>
        </w:rPr>
        <w:t>Road traffic crashes (RTCs) involve the unintended and sudden collision of one or more vehicles, pedestrians, cyclists, or other road users. These crashes result in injuries, fatalities, and property damage. Understanding the concepts and dynamics of RTCs is crucial for improving road safety, developing effective prevention strategies, and reducing the impact of such incidents on society. Road Traffic Crashes (RTCs) are complex events involving vehicles, pedestrians, cyclists, and infrastructure that result in harm to individuals or damage to property. Understanding the concepts of RTCs requires analyzing their causes, dynamics, consequences, and prevention strategies.</w:t>
      </w:r>
    </w:p>
    <w:p w:rsidR="009819BD" w:rsidRPr="00931E8E" w:rsidRDefault="009819BD" w:rsidP="004C2E17">
      <w:pPr>
        <w:pStyle w:val="Default"/>
        <w:spacing w:line="480" w:lineRule="auto"/>
        <w:jc w:val="both"/>
        <w:rPr>
          <w:color w:val="00B050"/>
          <w:sz w:val="20"/>
          <w:szCs w:val="20"/>
        </w:rPr>
      </w:pPr>
      <w:r w:rsidRPr="00931E8E">
        <w:rPr>
          <w:color w:val="00B050"/>
          <w:sz w:val="20"/>
          <w:szCs w:val="20"/>
        </w:rPr>
        <w:t xml:space="preserve">To assess the contribution of pavement conditions to traffic crashes and fatalities, both </w:t>
      </w:r>
      <w:r w:rsidRPr="00931E8E">
        <w:rPr>
          <w:rStyle w:val="Strong"/>
          <w:b w:val="0"/>
          <w:color w:val="00B050"/>
          <w:sz w:val="20"/>
          <w:szCs w:val="20"/>
        </w:rPr>
        <w:t>Ordinary Least Squares (OLS) regression</w:t>
      </w:r>
      <w:r w:rsidRPr="00931E8E">
        <w:rPr>
          <w:b/>
          <w:color w:val="00B050"/>
          <w:sz w:val="20"/>
          <w:szCs w:val="20"/>
        </w:rPr>
        <w:t xml:space="preserve"> </w:t>
      </w:r>
      <w:r w:rsidRPr="00931E8E">
        <w:rPr>
          <w:color w:val="00B050"/>
          <w:sz w:val="20"/>
          <w:szCs w:val="20"/>
        </w:rPr>
        <w:t xml:space="preserve">and </w:t>
      </w:r>
      <w:r w:rsidRPr="00931E8E">
        <w:rPr>
          <w:rStyle w:val="Strong"/>
          <w:b w:val="0"/>
          <w:color w:val="00B050"/>
          <w:sz w:val="20"/>
          <w:szCs w:val="20"/>
        </w:rPr>
        <w:t>Quantile Regression (QR)</w:t>
      </w:r>
      <w:r w:rsidRPr="00931E8E">
        <w:rPr>
          <w:color w:val="00B050"/>
          <w:sz w:val="20"/>
          <w:szCs w:val="20"/>
        </w:rPr>
        <w:t xml:space="preserve"> techniques were employed. These methods allow for a comprehensive evaluation of the relationship between pavement-related variables and crash outcomes across different levels of severity.</w:t>
      </w:r>
    </w:p>
    <w:p w:rsidR="009819BD" w:rsidRPr="008F4563" w:rsidRDefault="009819BD" w:rsidP="009819BD">
      <w:pPr>
        <w:pStyle w:val="Heading4"/>
        <w:numPr>
          <w:ilvl w:val="0"/>
          <w:numId w:val="3"/>
        </w:numPr>
        <w:spacing w:line="480" w:lineRule="auto"/>
        <w:rPr>
          <w:rFonts w:ascii="Times New Roman" w:hAnsi="Times New Roman" w:cs="Times New Roman"/>
          <w:i w:val="0"/>
          <w:color w:val="auto"/>
          <w:sz w:val="20"/>
          <w:szCs w:val="20"/>
        </w:rPr>
      </w:pPr>
      <w:r w:rsidRPr="008F4563">
        <w:rPr>
          <w:rStyle w:val="Strong"/>
          <w:rFonts w:ascii="Times New Roman" w:hAnsi="Times New Roman" w:cs="Times New Roman"/>
          <w:bCs/>
          <w:i w:val="0"/>
          <w:color w:val="auto"/>
          <w:sz w:val="20"/>
          <w:szCs w:val="20"/>
        </w:rPr>
        <w:t>Data Collection and Variable Selection</w:t>
      </w:r>
    </w:p>
    <w:p w:rsidR="009819BD" w:rsidRPr="008F4563" w:rsidRDefault="009819BD" w:rsidP="00AF054B">
      <w:pPr>
        <w:pStyle w:val="NormalWeb"/>
        <w:spacing w:line="480" w:lineRule="auto"/>
        <w:jc w:val="both"/>
        <w:rPr>
          <w:sz w:val="20"/>
          <w:szCs w:val="20"/>
        </w:rPr>
      </w:pPr>
      <w:r w:rsidRPr="008F4563">
        <w:rPr>
          <w:sz w:val="20"/>
          <w:szCs w:val="20"/>
        </w:rPr>
        <w:t xml:space="preserve">Crash data were obtained from national and regional traffic safety databases, including detailed information on crash severity, location, time, and environmental conditions. Pavement condition data were collected from transportation agencies, primarily using </w:t>
      </w:r>
      <w:r w:rsidRPr="008F4563">
        <w:rPr>
          <w:rStyle w:val="Strong"/>
          <w:b w:val="0"/>
          <w:sz w:val="20"/>
          <w:szCs w:val="20"/>
        </w:rPr>
        <w:t>Pavement Condition Index (PCI)</w:t>
      </w:r>
      <w:r w:rsidRPr="008F4563">
        <w:rPr>
          <w:b/>
          <w:sz w:val="20"/>
          <w:szCs w:val="20"/>
        </w:rPr>
        <w:t xml:space="preserve">, </w:t>
      </w:r>
      <w:r w:rsidRPr="008F4563">
        <w:rPr>
          <w:rStyle w:val="Strong"/>
          <w:b w:val="0"/>
          <w:sz w:val="20"/>
          <w:szCs w:val="20"/>
        </w:rPr>
        <w:t>International Roughness Index (IRI</w:t>
      </w:r>
      <w:r w:rsidRPr="008F4563">
        <w:rPr>
          <w:rStyle w:val="Strong"/>
          <w:sz w:val="20"/>
          <w:szCs w:val="20"/>
        </w:rPr>
        <w:t>)</w:t>
      </w:r>
      <w:r w:rsidRPr="008F4563">
        <w:rPr>
          <w:sz w:val="20"/>
          <w:szCs w:val="20"/>
        </w:rPr>
        <w:t xml:space="preserve">, and </w:t>
      </w:r>
      <w:r w:rsidRPr="008F4563">
        <w:rPr>
          <w:rStyle w:val="Strong"/>
          <w:b w:val="0"/>
          <w:sz w:val="20"/>
          <w:szCs w:val="20"/>
        </w:rPr>
        <w:t>Skid Resistance (SR)</w:t>
      </w:r>
      <w:r w:rsidRPr="008F4563">
        <w:rPr>
          <w:sz w:val="20"/>
          <w:szCs w:val="20"/>
        </w:rPr>
        <w:t xml:space="preserve"> as quantitative measures. Other covariates included weather conditions, lighting, traffic volume, road geometry, and driver behavior factors.</w:t>
      </w:r>
    </w:p>
    <w:p w:rsidR="009819BD" w:rsidRPr="008F4563" w:rsidRDefault="009819BD" w:rsidP="009819BD">
      <w:pPr>
        <w:pStyle w:val="Heading4"/>
        <w:numPr>
          <w:ilvl w:val="0"/>
          <w:numId w:val="3"/>
        </w:numPr>
        <w:spacing w:line="480" w:lineRule="auto"/>
        <w:rPr>
          <w:rFonts w:ascii="Times New Roman" w:hAnsi="Times New Roman" w:cs="Times New Roman"/>
          <w:i w:val="0"/>
          <w:color w:val="auto"/>
          <w:sz w:val="20"/>
          <w:szCs w:val="20"/>
        </w:rPr>
      </w:pPr>
      <w:r w:rsidRPr="008F4563">
        <w:rPr>
          <w:rStyle w:val="Strong"/>
          <w:rFonts w:ascii="Times New Roman" w:hAnsi="Times New Roman" w:cs="Times New Roman"/>
          <w:bCs/>
          <w:i w:val="0"/>
          <w:color w:val="auto"/>
          <w:sz w:val="20"/>
          <w:szCs w:val="20"/>
        </w:rPr>
        <w:t>Quantitative (OLS) Regression Analysis</w:t>
      </w:r>
    </w:p>
    <w:p w:rsidR="009819BD" w:rsidRPr="008F4563" w:rsidRDefault="009819BD" w:rsidP="00AF054B">
      <w:pPr>
        <w:pStyle w:val="NormalWeb"/>
        <w:spacing w:line="480" w:lineRule="auto"/>
        <w:jc w:val="both"/>
        <w:rPr>
          <w:sz w:val="20"/>
          <w:szCs w:val="20"/>
        </w:rPr>
      </w:pPr>
      <w:r w:rsidRPr="008F4563">
        <w:rPr>
          <w:sz w:val="20"/>
          <w:szCs w:val="20"/>
        </w:rPr>
        <w:t xml:space="preserve">OLS regression was first applied to estimate the </w:t>
      </w:r>
      <w:r w:rsidRPr="008F4563">
        <w:rPr>
          <w:rStyle w:val="Strong"/>
          <w:b w:val="0"/>
          <w:sz w:val="20"/>
          <w:szCs w:val="20"/>
        </w:rPr>
        <w:t>average effect</w:t>
      </w:r>
      <w:r w:rsidRPr="008F4563">
        <w:rPr>
          <w:sz w:val="20"/>
          <w:szCs w:val="20"/>
        </w:rPr>
        <w:t xml:space="preserve"> of pavement condition variables on crash frequency and fatality counts. The results indicated a </w:t>
      </w:r>
      <w:r w:rsidRPr="008F4563">
        <w:rPr>
          <w:rStyle w:val="Strong"/>
          <w:b w:val="0"/>
          <w:sz w:val="20"/>
          <w:szCs w:val="20"/>
        </w:rPr>
        <w:t>statistically significant negative relationship</w:t>
      </w:r>
      <w:r w:rsidRPr="008F4563">
        <w:rPr>
          <w:b/>
          <w:sz w:val="20"/>
          <w:szCs w:val="20"/>
        </w:rPr>
        <w:t xml:space="preserve"> </w:t>
      </w:r>
      <w:r w:rsidRPr="008F4563">
        <w:rPr>
          <w:sz w:val="20"/>
          <w:szCs w:val="20"/>
        </w:rPr>
        <w:t>between PCI and crash frequency—i.e., as pavement quality deteriorates, the number of crashes increases. For every 10-point decrease in PCI, the average crash frequency increased by approximately 5–8%, depending on road type and traffic volume. Similarly, lower skid resistance values were associated with higher fatal crash rates, particularly during wet road surface conditions.</w:t>
      </w:r>
    </w:p>
    <w:p w:rsidR="009819BD" w:rsidRPr="008F4563" w:rsidRDefault="009819BD" w:rsidP="009819BD">
      <w:pPr>
        <w:pStyle w:val="Heading4"/>
        <w:numPr>
          <w:ilvl w:val="0"/>
          <w:numId w:val="3"/>
        </w:numPr>
        <w:spacing w:line="480" w:lineRule="auto"/>
        <w:rPr>
          <w:rFonts w:ascii="Times New Roman" w:hAnsi="Times New Roman" w:cs="Times New Roman"/>
          <w:i w:val="0"/>
          <w:color w:val="auto"/>
          <w:sz w:val="20"/>
          <w:szCs w:val="20"/>
        </w:rPr>
      </w:pPr>
      <w:r w:rsidRPr="008F4563">
        <w:rPr>
          <w:rStyle w:val="Strong"/>
          <w:rFonts w:ascii="Times New Roman" w:hAnsi="Times New Roman" w:cs="Times New Roman"/>
          <w:bCs/>
          <w:i w:val="0"/>
          <w:color w:val="auto"/>
          <w:sz w:val="20"/>
          <w:szCs w:val="20"/>
        </w:rPr>
        <w:t>Quantile Regression Analysis</w:t>
      </w:r>
    </w:p>
    <w:p w:rsidR="008843AE" w:rsidRPr="008F4563" w:rsidRDefault="009819BD" w:rsidP="00AF054B">
      <w:pPr>
        <w:pStyle w:val="NormalWeb"/>
        <w:spacing w:line="480" w:lineRule="auto"/>
        <w:jc w:val="both"/>
        <w:rPr>
          <w:b/>
          <w:sz w:val="20"/>
          <w:szCs w:val="20"/>
        </w:rPr>
      </w:pPr>
      <w:r w:rsidRPr="008F4563">
        <w:rPr>
          <w:sz w:val="20"/>
          <w:szCs w:val="20"/>
        </w:rPr>
        <w:t xml:space="preserve">While OLS provides insight into the average effects, </w:t>
      </w:r>
      <w:r w:rsidRPr="008F4563">
        <w:rPr>
          <w:rStyle w:val="Strong"/>
          <w:b w:val="0"/>
          <w:sz w:val="20"/>
          <w:szCs w:val="20"/>
        </w:rPr>
        <w:t>Quantile Regression</w:t>
      </w:r>
      <w:r w:rsidRPr="008F4563">
        <w:rPr>
          <w:sz w:val="20"/>
          <w:szCs w:val="20"/>
        </w:rPr>
        <w:t xml:space="preserve"> was used to explore how pavement conditions affect different points in the distribution of crash severity (e.g., 25th, 50th, 75th, and 90th percentiles). The QR results revealed that the </w:t>
      </w:r>
      <w:r w:rsidRPr="008F4563">
        <w:rPr>
          <w:rStyle w:val="Strong"/>
          <w:b w:val="0"/>
          <w:sz w:val="20"/>
          <w:szCs w:val="20"/>
        </w:rPr>
        <w:t>effect of poor pavement conditions intensifies at higher quantiles</w:t>
      </w:r>
      <w:r w:rsidRPr="008F4563">
        <w:rPr>
          <w:sz w:val="20"/>
          <w:szCs w:val="20"/>
        </w:rPr>
        <w:t xml:space="preserve">, meaning the worst pavement conditions disproportionately contribute to severe and fatal crashes. For example, at the 90th percentile of crash severity, a decrease in PCI showed a 12–15% increase in fatal crash likelihood, compared to only 3–5% at the 25th percentile. This suggests that pavement degradation is a more critical factor in </w:t>
      </w:r>
      <w:r w:rsidRPr="008F4563">
        <w:rPr>
          <w:rStyle w:val="Strong"/>
          <w:b w:val="0"/>
          <w:sz w:val="20"/>
          <w:szCs w:val="20"/>
        </w:rPr>
        <w:t>high-severity and fatal crashes</w:t>
      </w:r>
      <w:r w:rsidRPr="008F4563">
        <w:rPr>
          <w:b/>
          <w:sz w:val="20"/>
          <w:szCs w:val="20"/>
        </w:rPr>
        <w:t xml:space="preserve"> </w:t>
      </w:r>
      <w:r w:rsidRPr="008F4563">
        <w:rPr>
          <w:sz w:val="20"/>
          <w:szCs w:val="20"/>
        </w:rPr>
        <w:t>than in minor ones.</w:t>
      </w:r>
      <w:r w:rsidRPr="008F4563">
        <w:rPr>
          <w:b/>
          <w:bCs/>
          <w:sz w:val="20"/>
          <w:szCs w:val="20"/>
        </w:rPr>
        <w:tab/>
      </w:r>
    </w:p>
    <w:p w:rsidR="008843AE" w:rsidRPr="004C2E17" w:rsidRDefault="008843AE" w:rsidP="004C2E17">
      <w:pPr>
        <w:pStyle w:val="Default"/>
        <w:numPr>
          <w:ilvl w:val="1"/>
          <w:numId w:val="1"/>
        </w:numPr>
        <w:spacing w:line="480" w:lineRule="auto"/>
        <w:jc w:val="both"/>
        <w:rPr>
          <w:b/>
          <w:iCs/>
          <w:sz w:val="20"/>
          <w:szCs w:val="20"/>
        </w:rPr>
      </w:pPr>
      <w:r w:rsidRPr="004C2E17">
        <w:rPr>
          <w:b/>
          <w:iCs/>
          <w:sz w:val="20"/>
          <w:szCs w:val="20"/>
        </w:rPr>
        <w:t>Costs Definitions and Indicators</w:t>
      </w:r>
    </w:p>
    <w:p w:rsidR="008843AE" w:rsidRPr="004C2E17" w:rsidRDefault="008843AE" w:rsidP="004C2E17">
      <w:pPr>
        <w:pStyle w:val="Default"/>
        <w:spacing w:line="480" w:lineRule="auto"/>
        <w:ind w:left="1080"/>
        <w:jc w:val="both"/>
        <w:rPr>
          <w:iCs/>
          <w:sz w:val="20"/>
          <w:szCs w:val="20"/>
        </w:rPr>
      </w:pPr>
    </w:p>
    <w:p w:rsidR="008843AE" w:rsidRPr="00931E8E" w:rsidRDefault="008843AE" w:rsidP="004C2E17">
      <w:pPr>
        <w:pStyle w:val="Default"/>
        <w:spacing w:line="480" w:lineRule="auto"/>
        <w:jc w:val="both"/>
        <w:rPr>
          <w:color w:val="00B050"/>
          <w:sz w:val="20"/>
          <w:szCs w:val="20"/>
        </w:rPr>
      </w:pPr>
      <w:r w:rsidRPr="00931E8E">
        <w:rPr>
          <w:iCs/>
          <w:color w:val="00B050"/>
          <w:sz w:val="20"/>
          <w:szCs w:val="20"/>
        </w:rPr>
        <w:t xml:space="preserve">       </w:t>
      </w:r>
      <w:r w:rsidRPr="00931E8E">
        <w:rPr>
          <w:color w:val="00B050"/>
          <w:sz w:val="20"/>
          <w:szCs w:val="20"/>
        </w:rPr>
        <w:t xml:space="preserve">A road crash is typically defined as an incident involving a road vehicle on a public road that results in at least one person being injured or killed. A road fatality refers to someone who dies within thirty days as a consequence of a road crash (SWOV, 2010; United Nations, 2017). Road traffic crashes impose significant financial and economic costs on society, leading to reduced productivity and increased medical and resource expenditures. The costs associated with road crashes are not only monetary—encompassing lost productivity, medical expenses, property damage, and funeral costs—but also non-monetary, including the pain and suffering endured by victims and their loved ones (Alfaro et al., 1994; </w:t>
      </w:r>
      <w:proofErr w:type="spellStart"/>
      <w:r w:rsidRPr="00931E8E">
        <w:rPr>
          <w:color w:val="00B050"/>
          <w:sz w:val="20"/>
          <w:szCs w:val="20"/>
        </w:rPr>
        <w:t>Elvik</w:t>
      </w:r>
      <w:proofErr w:type="spellEnd"/>
      <w:r w:rsidRPr="00931E8E">
        <w:rPr>
          <w:color w:val="00B050"/>
          <w:sz w:val="20"/>
          <w:szCs w:val="20"/>
        </w:rPr>
        <w:t xml:space="preserve">, 2000; </w:t>
      </w:r>
      <w:proofErr w:type="spellStart"/>
      <w:r w:rsidRPr="00931E8E">
        <w:rPr>
          <w:color w:val="00B050"/>
          <w:sz w:val="20"/>
          <w:szCs w:val="20"/>
        </w:rPr>
        <w:t>Wijnen</w:t>
      </w:r>
      <w:proofErr w:type="spellEnd"/>
      <w:r w:rsidRPr="00931E8E">
        <w:rPr>
          <w:color w:val="00B050"/>
          <w:sz w:val="20"/>
          <w:szCs w:val="20"/>
        </w:rPr>
        <w:t xml:space="preserve"> &amp; </w:t>
      </w:r>
      <w:proofErr w:type="spellStart"/>
      <w:r w:rsidRPr="00931E8E">
        <w:rPr>
          <w:color w:val="00B050"/>
          <w:sz w:val="20"/>
          <w:szCs w:val="20"/>
        </w:rPr>
        <w:t>Stipdonk</w:t>
      </w:r>
      <w:proofErr w:type="spellEnd"/>
      <w:r w:rsidRPr="00931E8E">
        <w:rPr>
          <w:color w:val="00B050"/>
          <w:sz w:val="20"/>
          <w:szCs w:val="20"/>
        </w:rPr>
        <w:t>, 2016).</w:t>
      </w:r>
    </w:p>
    <w:p w:rsidR="008843AE" w:rsidRPr="005940BF" w:rsidRDefault="008843AE" w:rsidP="004C2E17">
      <w:pPr>
        <w:pStyle w:val="Default"/>
        <w:spacing w:line="480" w:lineRule="auto"/>
        <w:jc w:val="both"/>
        <w:rPr>
          <w:b/>
          <w:bCs/>
          <w:sz w:val="20"/>
          <w:szCs w:val="20"/>
        </w:rPr>
      </w:pPr>
      <w:r w:rsidRPr="005940BF">
        <w:rPr>
          <w:b/>
          <w:bCs/>
          <w:sz w:val="20"/>
          <w:szCs w:val="20"/>
        </w:rPr>
        <w:t xml:space="preserve">Table 1 </w:t>
      </w:r>
    </w:p>
    <w:p w:rsidR="008843AE" w:rsidRPr="005940BF" w:rsidRDefault="008843AE" w:rsidP="004C2E17">
      <w:pPr>
        <w:pStyle w:val="Default"/>
        <w:spacing w:line="480" w:lineRule="auto"/>
        <w:jc w:val="both"/>
        <w:rPr>
          <w:b/>
          <w:sz w:val="20"/>
          <w:szCs w:val="20"/>
        </w:rPr>
      </w:pPr>
      <w:proofErr w:type="gramStart"/>
      <w:r w:rsidRPr="005940BF">
        <w:rPr>
          <w:b/>
          <w:sz w:val="20"/>
          <w:szCs w:val="20"/>
        </w:rPr>
        <w:t>Components of the Cost of Road Crashes.</w:t>
      </w:r>
      <w:proofErr w:type="gramEnd"/>
    </w:p>
    <w:tbl>
      <w:tblPr>
        <w:tblStyle w:val="TableGrid"/>
        <w:tblW w:w="0" w:type="auto"/>
        <w:tblLook w:val="04A0"/>
      </w:tblPr>
      <w:tblGrid>
        <w:gridCol w:w="3192"/>
        <w:gridCol w:w="3192"/>
        <w:gridCol w:w="3192"/>
      </w:tblGrid>
      <w:tr w:rsidR="008843AE" w:rsidTr="008201E9">
        <w:tc>
          <w:tcPr>
            <w:tcW w:w="3192" w:type="dxa"/>
          </w:tcPr>
          <w:p w:rsidR="008843AE" w:rsidRPr="005940BF" w:rsidRDefault="008843AE" w:rsidP="008201E9">
            <w:pPr>
              <w:pStyle w:val="Default"/>
              <w:spacing w:line="276" w:lineRule="auto"/>
              <w:jc w:val="center"/>
              <w:rPr>
                <w:b/>
                <w:iCs/>
                <w:szCs w:val="16"/>
              </w:rPr>
            </w:pPr>
            <w:r w:rsidRPr="005940BF">
              <w:rPr>
                <w:b/>
                <w:szCs w:val="12"/>
              </w:rPr>
              <w:t>Fatality costing</w:t>
            </w:r>
          </w:p>
        </w:tc>
        <w:tc>
          <w:tcPr>
            <w:tcW w:w="3192" w:type="dxa"/>
          </w:tcPr>
          <w:p w:rsidR="008843AE" w:rsidRPr="005940BF" w:rsidRDefault="008843AE" w:rsidP="008201E9">
            <w:pPr>
              <w:pStyle w:val="Default"/>
              <w:spacing w:line="276" w:lineRule="auto"/>
              <w:jc w:val="center"/>
              <w:rPr>
                <w:b/>
                <w:iCs/>
                <w:szCs w:val="16"/>
              </w:rPr>
            </w:pPr>
            <w:r w:rsidRPr="005940BF">
              <w:rPr>
                <w:b/>
                <w:szCs w:val="12"/>
              </w:rPr>
              <w:t>Injury costing</w:t>
            </w:r>
          </w:p>
        </w:tc>
        <w:tc>
          <w:tcPr>
            <w:tcW w:w="3192" w:type="dxa"/>
          </w:tcPr>
          <w:p w:rsidR="008843AE" w:rsidRPr="005940BF" w:rsidRDefault="008843AE" w:rsidP="008201E9">
            <w:pPr>
              <w:pStyle w:val="Default"/>
              <w:spacing w:line="276" w:lineRule="auto"/>
              <w:jc w:val="center"/>
              <w:rPr>
                <w:b/>
                <w:iCs/>
                <w:szCs w:val="16"/>
              </w:rPr>
            </w:pPr>
            <w:r w:rsidRPr="005940BF">
              <w:rPr>
                <w:b/>
                <w:szCs w:val="12"/>
              </w:rPr>
              <w:t>Vehicle and other costs</w:t>
            </w:r>
          </w:p>
        </w:tc>
      </w:tr>
      <w:tr w:rsidR="008843AE" w:rsidTr="008201E9">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Work place and household losses</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Workplace and household output losses</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Vehicle repairs and towing</w:t>
            </w:r>
          </w:p>
        </w:tc>
      </w:tr>
      <w:tr w:rsidR="008843AE" w:rsidTr="008201E9">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Quality of life</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Medical and other related costs</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Vehicle unavailability</w:t>
            </w:r>
          </w:p>
        </w:tc>
      </w:tr>
      <w:tr w:rsidR="008843AE" w:rsidTr="008201E9">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Pain, grief and suffering Ambulance, Police and other emergency</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Ambulance costs Emergency services costs</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Travel delay Health costs of local air pollution</w:t>
            </w:r>
          </w:p>
        </w:tc>
      </w:tr>
      <w:tr w:rsidR="008843AE" w:rsidTr="008201E9">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Hospital and medical</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Long-term care cost</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Additional vehicle operating costs</w:t>
            </w:r>
          </w:p>
        </w:tc>
      </w:tr>
      <w:tr w:rsidR="008843AE" w:rsidTr="008201E9">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Premature funeral</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Legal costs</w:t>
            </w:r>
          </w:p>
        </w:tc>
        <w:tc>
          <w:tcPr>
            <w:tcW w:w="3192" w:type="dxa"/>
            <w:vAlign w:val="center"/>
          </w:tcPr>
          <w:p w:rsidR="008843AE" w:rsidRPr="005940BF" w:rsidRDefault="008843AE" w:rsidP="008201E9">
            <w:pPr>
              <w:pStyle w:val="Default"/>
              <w:spacing w:line="276" w:lineRule="auto"/>
              <w:jc w:val="center"/>
              <w:rPr>
                <w:iCs/>
                <w:sz w:val="20"/>
                <w:szCs w:val="16"/>
              </w:rPr>
            </w:pPr>
            <w:r w:rsidRPr="005940BF">
              <w:rPr>
                <w:sz w:val="20"/>
                <w:szCs w:val="12"/>
              </w:rPr>
              <w:t>Cost of emergency services response</w:t>
            </w:r>
          </w:p>
        </w:tc>
      </w:tr>
    </w:tbl>
    <w:p w:rsidR="008843AE" w:rsidRPr="00361FD4" w:rsidRDefault="008843AE" w:rsidP="004C2E17">
      <w:pPr>
        <w:pStyle w:val="NormalWeb"/>
        <w:spacing w:line="480" w:lineRule="auto"/>
        <w:jc w:val="both"/>
        <w:rPr>
          <w:sz w:val="20"/>
        </w:rPr>
      </w:pPr>
      <w:proofErr w:type="spellStart"/>
      <w:r w:rsidRPr="00456689">
        <w:rPr>
          <w:sz w:val="20"/>
        </w:rPr>
        <w:t>Elvik</w:t>
      </w:r>
      <w:proofErr w:type="spellEnd"/>
      <w:r w:rsidRPr="00456689">
        <w:rPr>
          <w:sz w:val="20"/>
        </w:rPr>
        <w:t xml:space="preserve"> found that costs nearly double when intangible factors such as loss of life and reduced quality of life are included. Similarly, </w:t>
      </w:r>
      <w:proofErr w:type="spellStart"/>
      <w:r w:rsidRPr="00456689">
        <w:rPr>
          <w:sz w:val="20"/>
        </w:rPr>
        <w:t>Wijnen</w:t>
      </w:r>
      <w:proofErr w:type="spellEnd"/>
      <w:r w:rsidRPr="00456689">
        <w:rPr>
          <w:sz w:val="20"/>
        </w:rPr>
        <w:t xml:space="preserve"> et al. (2018) demonstrated that h</w:t>
      </w:r>
      <w:r>
        <w:rPr>
          <w:sz w:val="20"/>
        </w:rPr>
        <w:t>uman costs constitute between 40% and 90</w:t>
      </w:r>
      <w:r w:rsidRPr="00456689">
        <w:rPr>
          <w:sz w:val="20"/>
        </w:rPr>
        <w:t>% of total costs in European countries using a willingness-to-pay approach (discussed below). These costs have severe implications for both the economy and society.</w:t>
      </w:r>
      <w:r>
        <w:rPr>
          <w:sz w:val="20"/>
        </w:rPr>
        <w:t xml:space="preserve"> </w:t>
      </w:r>
      <w:r w:rsidRPr="00456689">
        <w:rPr>
          <w:sz w:val="20"/>
        </w:rPr>
        <w:t xml:space="preserve">In addition to grief and suffering, road crashes impose significant economic losses on victims, their families, and society as a whole. The socio-economic costs of traffic crashes generally encompass </w:t>
      </w:r>
      <w:proofErr w:type="gramStart"/>
      <w:r w:rsidRPr="00456689">
        <w:rPr>
          <w:sz w:val="20"/>
        </w:rPr>
        <w:t>both the</w:t>
      </w:r>
      <w:proofErr w:type="gramEnd"/>
      <w:r w:rsidRPr="00456689">
        <w:rPr>
          <w:sz w:val="20"/>
        </w:rPr>
        <w:t xml:space="preserve"> economic value of personal and material damages, as well as the pain and suffering caused by these incidents. </w:t>
      </w:r>
      <w:proofErr w:type="spellStart"/>
      <w:r w:rsidRPr="00456689">
        <w:rPr>
          <w:sz w:val="20"/>
        </w:rPr>
        <w:t>Perovic</w:t>
      </w:r>
      <w:proofErr w:type="spellEnd"/>
      <w:r w:rsidRPr="00456689">
        <w:rPr>
          <w:sz w:val="20"/>
        </w:rPr>
        <w:t xml:space="preserve"> and </w:t>
      </w:r>
      <w:proofErr w:type="spellStart"/>
      <w:r w:rsidRPr="00456689">
        <w:rPr>
          <w:sz w:val="20"/>
        </w:rPr>
        <w:t>Dimitris</w:t>
      </w:r>
      <w:proofErr w:type="spellEnd"/>
      <w:r w:rsidRPr="00456689">
        <w:rPr>
          <w:sz w:val="20"/>
        </w:rPr>
        <w:t xml:space="preserve"> (2008) defined internal crash costs as damages and risks to the individual traveling by a particular vehicle or mode, while external crash costs are the uncompensated damages and risks imposed on others by that individual. Both internal and external crash costs make up the socio-economic costs of crashes. However, purely financial transfers, such as taxes and fines, are not included in these calculations because they represent costs for the payer but benefits for the recipient, resulting in no net cost at the societal level (</w:t>
      </w:r>
      <w:proofErr w:type="spellStart"/>
      <w:r w:rsidRPr="00456689">
        <w:rPr>
          <w:sz w:val="20"/>
        </w:rPr>
        <w:t>Wijnen</w:t>
      </w:r>
      <w:proofErr w:type="spellEnd"/>
      <w:r w:rsidRPr="00456689">
        <w:rPr>
          <w:sz w:val="20"/>
        </w:rPr>
        <w:t xml:space="preserve"> et al., 2017).</w:t>
      </w:r>
      <w:r>
        <w:rPr>
          <w:sz w:val="20"/>
        </w:rPr>
        <w:t xml:space="preserve"> </w:t>
      </w:r>
      <w:r w:rsidRPr="00456689">
        <w:rPr>
          <w:sz w:val="20"/>
        </w:rPr>
        <w:t xml:space="preserve">Additionally, socio-economic costs are often categorized into market and non-market costs. </w:t>
      </w:r>
      <w:proofErr w:type="gramStart"/>
      <w:r w:rsidRPr="00456689">
        <w:rPr>
          <w:sz w:val="20"/>
        </w:rPr>
        <w:t>Market</w:t>
      </w:r>
      <w:proofErr w:type="gramEnd"/>
      <w:r w:rsidRPr="00456689">
        <w:rPr>
          <w:sz w:val="20"/>
        </w:rPr>
        <w:t xml:space="preserve"> costs can be directly measured in monetary terms and include safety equipment expenses, uncompensated property damage, loss of income, medical costs, and insurance deductibles. Non-market costs, which require estimation, include uncompensated pain, loss of quality of life for crash </w:t>
      </w:r>
      <w:proofErr w:type="gramStart"/>
      <w:r w:rsidRPr="00456689">
        <w:rPr>
          <w:sz w:val="20"/>
        </w:rPr>
        <w:t>victims,</w:t>
      </w:r>
      <w:proofErr w:type="gramEnd"/>
      <w:r w:rsidRPr="00456689">
        <w:rPr>
          <w:sz w:val="20"/>
        </w:rPr>
        <w:t xml:space="preserve"> grief suffered by loved ones, and reduced motorized mobility (see </w:t>
      </w:r>
      <w:proofErr w:type="spellStart"/>
      <w:r w:rsidRPr="00456689">
        <w:rPr>
          <w:sz w:val="20"/>
        </w:rPr>
        <w:t>Perovic</w:t>
      </w:r>
      <w:proofErr w:type="spellEnd"/>
      <w:r w:rsidRPr="00456689">
        <w:rPr>
          <w:sz w:val="20"/>
        </w:rPr>
        <w:t xml:space="preserve"> and </w:t>
      </w:r>
      <w:proofErr w:type="spellStart"/>
      <w:r w:rsidRPr="00456689">
        <w:rPr>
          <w:sz w:val="20"/>
        </w:rPr>
        <w:t>Dimitris</w:t>
      </w:r>
      <w:proofErr w:type="spellEnd"/>
      <w:r w:rsidRPr="00456689">
        <w:rPr>
          <w:sz w:val="20"/>
        </w:rPr>
        <w:t>, 2008, for a comprehensive description).</w:t>
      </w:r>
      <w:r>
        <w:rPr>
          <w:sz w:val="20"/>
        </w:rPr>
        <w:t xml:space="preserve"> </w:t>
      </w:r>
      <w:r w:rsidRPr="00361FD4">
        <w:rPr>
          <w:sz w:val="20"/>
        </w:rPr>
        <w:t>The costs can be classified into five main categories: lost output, medical costs, human costs, property damage, and administrative costs (including emergency services, insurance, and judicial expense</w:t>
      </w:r>
      <w:r>
        <w:rPr>
          <w:sz w:val="20"/>
        </w:rPr>
        <w:t>s).</w:t>
      </w:r>
    </w:p>
    <w:p w:rsidR="008843AE" w:rsidRPr="00456689" w:rsidRDefault="004E625D" w:rsidP="008843AE">
      <w:pPr>
        <w:pStyle w:val="NormalWeb"/>
        <w:spacing w:line="276" w:lineRule="auto"/>
        <w:jc w:val="both"/>
        <w:rPr>
          <w:sz w:val="20"/>
        </w:rPr>
      </w:pPr>
      <w:r w:rsidRPr="004E625D">
        <w:rPr>
          <w:noProof/>
          <w:sz w:val="20"/>
          <w:lang w:val="en-IN" w:eastAsia="en-IN"/>
        </w:rPr>
        <w:pict>
          <v:roundrect id="_x0000_s1055" style="position:absolute;left:0;text-align:left;margin-left:162pt;margin-top:12.95pt;width:1in;height:46.8pt;z-index:251651584" arcsize="10923f">
            <v:textbox style="mso-next-textbox:#_x0000_s1055">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Casual Related Cost</w:t>
                  </w:r>
                </w:p>
              </w:txbxContent>
            </v:textbox>
          </v:roundrect>
        </w:pict>
      </w:r>
      <w:r w:rsidRPr="004E625D">
        <w:rPr>
          <w:noProof/>
          <w:sz w:val="20"/>
          <w:lang w:val="en-IN" w:eastAsia="en-IN"/>
        </w:rPr>
        <w:pict>
          <v:oval id="_x0000_s1060" style="position:absolute;left:0;text-align:left;margin-left:316.8pt;margin-top:12.95pt;width:75pt;height:46.2pt;z-index:251652608">
            <v:textbox style="mso-next-textbox:#_x0000_s1060">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Lost Output</w:t>
                  </w:r>
                </w:p>
              </w:txbxContent>
            </v:textbox>
          </v:oval>
        </w:pict>
      </w:r>
    </w:p>
    <w:p w:rsidR="008843AE" w:rsidRDefault="004E625D" w:rsidP="008843AE">
      <w:pPr>
        <w:pStyle w:val="Default"/>
      </w:pPr>
      <w:r w:rsidRPr="004E625D">
        <w:rPr>
          <w:noProof/>
          <w:lang w:val="en-IN" w:eastAsia="en-IN"/>
        </w:rPr>
        <w:pict>
          <v:shapetype id="_x0000_t32" coordsize="21600,21600" o:spt="32" o:oned="t" path="m,l21600,21600e" filled="f">
            <v:path arrowok="t" fillok="f" o:connecttype="none"/>
            <o:lock v:ext="edit" shapetype="t"/>
          </v:shapetype>
          <v:shape id="_x0000_s1065" type="#_x0000_t32" style="position:absolute;margin-left:234pt;margin-top:9.15pt;width:88.2pt;height:111pt;z-index:251653632" o:connectortype="straight">
            <v:stroke endarrow="block"/>
          </v:shape>
        </w:pict>
      </w:r>
      <w:r w:rsidRPr="004E625D">
        <w:rPr>
          <w:noProof/>
          <w:lang w:val="en-IN" w:eastAsia="en-IN"/>
        </w:rPr>
        <w:pict>
          <v:shape id="_x0000_s1064" type="#_x0000_t32" style="position:absolute;margin-left:234pt;margin-top:9.15pt;width:88.2pt;height:58.2pt;z-index:251654656" o:connectortype="straight">
            <v:stroke endarrow="block"/>
          </v:shape>
        </w:pict>
      </w:r>
      <w:r w:rsidRPr="004E625D">
        <w:rPr>
          <w:noProof/>
          <w:lang w:val="en-IN" w:eastAsia="en-IN"/>
        </w:rPr>
        <w:pict>
          <v:shape id="_x0000_s1063" type="#_x0000_t32" style="position:absolute;margin-left:234pt;margin-top:9.15pt;width:82.8pt;height:0;z-index:251655680" o:connectortype="straight">
            <v:stroke endarrow="block"/>
          </v:shape>
        </w:pict>
      </w:r>
      <w:r w:rsidRPr="004E625D">
        <w:rPr>
          <w:noProof/>
          <w:lang w:val="en-IN" w:eastAsia="en-IN"/>
        </w:rPr>
        <w:pict>
          <v:shape id="_x0000_s1057" type="#_x0000_t32" style="position:absolute;margin-left:88.2pt;margin-top:9.15pt;width:73.8pt;height:49.8pt;flip:y;z-index:251656704" o:connectortype="straight">
            <v:stroke endarrow="block"/>
          </v:shape>
        </w:pict>
      </w:r>
    </w:p>
    <w:p w:rsidR="008843AE" w:rsidRPr="00524DE1" w:rsidRDefault="008843AE" w:rsidP="008843AE">
      <w:pPr>
        <w:pStyle w:val="Default"/>
      </w:pPr>
    </w:p>
    <w:p w:rsidR="008843AE" w:rsidRPr="00524DE1" w:rsidRDefault="004E625D" w:rsidP="008843AE">
      <w:pPr>
        <w:ind w:left="360"/>
        <w:rPr>
          <w:rFonts w:ascii="Times New Roman" w:hAnsi="Times New Roman" w:cs="Times New Roman"/>
          <w:sz w:val="28"/>
        </w:rPr>
      </w:pPr>
      <w:r w:rsidRPr="004E625D">
        <w:rPr>
          <w:noProof/>
          <w:sz w:val="20"/>
          <w:lang w:val="en-IN" w:eastAsia="en-IN"/>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54" type="#_x0000_t9" style="position:absolute;left:0;text-align:left;margin-left:21pt;margin-top:9.75pt;width:67.2pt;height:44.4pt;z-index:251657728">
            <v:textbox>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Crash Cost</w:t>
                  </w:r>
                </w:p>
              </w:txbxContent>
            </v:textbox>
          </v:shape>
        </w:pict>
      </w:r>
      <w:r w:rsidRPr="004E625D">
        <w:rPr>
          <w:rFonts w:ascii="Times New Roman" w:hAnsi="Times New Roman" w:cs="Times New Roman"/>
          <w:noProof/>
          <w:sz w:val="24"/>
          <w:lang w:val="en-IN" w:eastAsia="en-IN"/>
        </w:rPr>
        <w:pict>
          <v:oval id="_x0000_s1061" style="position:absolute;left:0;text-align:left;margin-left:322.2pt;margin-top:18.75pt;width:75pt;height:46.2pt;z-index:251658752">
            <v:textbox>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Medical Cost</w:t>
                  </w:r>
                </w:p>
              </w:txbxContent>
            </v:textbox>
          </v:oval>
        </w:pict>
      </w:r>
      <w:r w:rsidRPr="004E625D">
        <w:rPr>
          <w:noProof/>
          <w:sz w:val="20"/>
          <w:lang w:val="en-IN" w:eastAsia="en-IN"/>
        </w:rPr>
        <w:pict>
          <v:roundrect id="_x0000_s1053" style="position:absolute;left:0;text-align:left;margin-left:162pt;margin-top:15.15pt;width:1in;height:43.8pt;z-index:251659776" arcsize="10923f">
            <v:textbox>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Property Damage</w:t>
                  </w:r>
                </w:p>
              </w:txbxContent>
            </v:textbox>
          </v:roundrect>
        </w:pict>
      </w:r>
    </w:p>
    <w:p w:rsidR="008843AE" w:rsidRDefault="004E625D" w:rsidP="008843AE">
      <w:pPr>
        <w:rPr>
          <w:rFonts w:ascii="Times New Roman" w:hAnsi="Times New Roman" w:cs="Times New Roman"/>
          <w:sz w:val="24"/>
        </w:rPr>
      </w:pPr>
      <w:r w:rsidRPr="004E625D">
        <w:rPr>
          <w:rFonts w:ascii="Times New Roman" w:hAnsi="Times New Roman" w:cs="Times New Roman"/>
          <w:noProof/>
          <w:sz w:val="24"/>
          <w:lang w:val="en-IN" w:eastAsia="en-IN"/>
        </w:rPr>
        <w:pict>
          <v:shape id="_x0000_s1059" type="#_x0000_t32" style="position:absolute;margin-left:88.2pt;margin-top:2.8pt;width:76.8pt;height:69pt;z-index:251660800" o:connectortype="straight">
            <v:stroke endarrow="block"/>
          </v:shape>
        </w:pict>
      </w:r>
      <w:r w:rsidRPr="004E625D">
        <w:rPr>
          <w:rFonts w:ascii="Times New Roman" w:hAnsi="Times New Roman" w:cs="Times New Roman"/>
          <w:noProof/>
          <w:sz w:val="24"/>
          <w:lang w:val="en-IN" w:eastAsia="en-IN"/>
        </w:rPr>
        <w:pict>
          <v:shape id="_x0000_s1058" type="#_x0000_t32" style="position:absolute;margin-left:88.2pt;margin-top:2.8pt;width:73.8pt;height:0;z-index:251661824" o:connectortype="straight">
            <v:stroke endarrow="block"/>
          </v:shape>
        </w:pict>
      </w:r>
    </w:p>
    <w:p w:rsidR="008843AE" w:rsidRPr="003F73FB" w:rsidRDefault="004E625D" w:rsidP="008843AE">
      <w:pPr>
        <w:rPr>
          <w:rFonts w:ascii="Times New Roman" w:hAnsi="Times New Roman" w:cs="Times New Roman"/>
          <w:sz w:val="24"/>
        </w:rPr>
      </w:pPr>
      <w:r w:rsidRPr="004E625D">
        <w:rPr>
          <w:rFonts w:ascii="Times New Roman" w:hAnsi="Times New Roman" w:cs="Times New Roman"/>
          <w:noProof/>
          <w:sz w:val="24"/>
          <w:lang w:val="en-IN" w:eastAsia="en-IN"/>
        </w:rPr>
        <w:pict>
          <v:oval id="_x0000_s1062" style="position:absolute;margin-left:322.2pt;margin-top:22.55pt;width:75pt;height:46.2pt;z-index:251662848">
            <v:textbox>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Human Cost</w:t>
                  </w:r>
                </w:p>
              </w:txbxContent>
            </v:textbox>
          </v:oval>
        </w:pict>
      </w:r>
    </w:p>
    <w:p w:rsidR="008843AE" w:rsidRDefault="004E625D" w:rsidP="008843AE">
      <w:pPr>
        <w:rPr>
          <w:rFonts w:ascii="Times New Roman" w:hAnsi="Times New Roman" w:cs="Times New Roman"/>
          <w:sz w:val="20"/>
        </w:rPr>
      </w:pPr>
      <w:r w:rsidRPr="004E625D">
        <w:rPr>
          <w:rFonts w:ascii="Times New Roman" w:hAnsi="Times New Roman" w:cs="Times New Roman"/>
          <w:noProof/>
          <w:sz w:val="20"/>
          <w:lang w:val="en-IN" w:eastAsia="en-IN"/>
        </w:rPr>
        <w:pict>
          <v:roundrect id="_x0000_s1056" style="position:absolute;margin-left:165pt;margin-top:6.9pt;width:80.4pt;height:28.2pt;z-index:251663872" arcsize="10923f">
            <v:textbox>
              <w:txbxContent>
                <w:p w:rsidR="00AF054B" w:rsidRPr="00A16ED6" w:rsidRDefault="00AF054B" w:rsidP="008843AE">
                  <w:pPr>
                    <w:jc w:val="center"/>
                    <w:rPr>
                      <w:rFonts w:ascii="Times New Roman" w:hAnsi="Times New Roman" w:cs="Times New Roman"/>
                      <w:sz w:val="20"/>
                      <w:szCs w:val="20"/>
                    </w:rPr>
                  </w:pPr>
                  <w:r w:rsidRPr="00A16ED6">
                    <w:rPr>
                      <w:rFonts w:ascii="Times New Roman" w:hAnsi="Times New Roman" w:cs="Times New Roman"/>
                      <w:sz w:val="20"/>
                      <w:szCs w:val="20"/>
                    </w:rPr>
                    <w:t>Administration</w:t>
                  </w:r>
                </w:p>
              </w:txbxContent>
            </v:textbox>
          </v:roundrect>
        </w:pict>
      </w:r>
    </w:p>
    <w:p w:rsidR="008843AE" w:rsidRPr="00A16ED6" w:rsidRDefault="008843AE" w:rsidP="008843AE">
      <w:pPr>
        <w:rPr>
          <w:rFonts w:ascii="Times New Roman" w:hAnsi="Times New Roman" w:cs="Times New Roman"/>
          <w:sz w:val="20"/>
        </w:rPr>
      </w:pPr>
    </w:p>
    <w:p w:rsidR="008843AE" w:rsidRDefault="003E7B02" w:rsidP="008843AE">
      <w:pPr>
        <w:tabs>
          <w:tab w:val="left" w:pos="1032"/>
        </w:tabs>
        <w:jc w:val="center"/>
        <w:rPr>
          <w:rFonts w:ascii="Times New Roman" w:hAnsi="Times New Roman" w:cs="Times New Roman"/>
        </w:rPr>
      </w:pPr>
      <w:r>
        <w:rPr>
          <w:rFonts w:ascii="Times New Roman" w:hAnsi="Times New Roman" w:cs="Times New Roman"/>
          <w:b/>
          <w:bCs/>
        </w:rPr>
        <w:t>Figure</w:t>
      </w:r>
      <w:r w:rsidR="008843AE">
        <w:rPr>
          <w:rFonts w:ascii="Times New Roman" w:hAnsi="Times New Roman" w:cs="Times New Roman"/>
          <w:b/>
          <w:bCs/>
        </w:rPr>
        <w:t xml:space="preserve"> 1</w:t>
      </w:r>
      <w:r w:rsidR="008843AE" w:rsidRPr="00E22B3A">
        <w:rPr>
          <w:rFonts w:ascii="Times New Roman" w:hAnsi="Times New Roman" w:cs="Times New Roman"/>
          <w:b/>
          <w:bCs/>
        </w:rPr>
        <w:t xml:space="preserve"> </w:t>
      </w:r>
      <w:r w:rsidRPr="008E580F">
        <w:rPr>
          <w:rFonts w:ascii="Times New Roman" w:hAnsi="Times New Roman" w:cs="Times New Roman"/>
          <w:b/>
        </w:rPr>
        <w:t>the</w:t>
      </w:r>
      <w:r w:rsidR="008843AE" w:rsidRPr="008E580F">
        <w:rPr>
          <w:rFonts w:ascii="Times New Roman" w:hAnsi="Times New Roman" w:cs="Times New Roman"/>
          <w:b/>
        </w:rPr>
        <w:t xml:space="preserve"> Crash Costs Components.</w:t>
      </w:r>
      <w:r w:rsidR="008843AE" w:rsidRPr="00E22B3A">
        <w:rPr>
          <w:rFonts w:ascii="Times New Roman" w:hAnsi="Times New Roman" w:cs="Times New Roman"/>
        </w:rPr>
        <w:t xml:space="preserve"> </w:t>
      </w:r>
    </w:p>
    <w:p w:rsidR="008843AE" w:rsidRDefault="008843AE" w:rsidP="004C2E17">
      <w:pPr>
        <w:pStyle w:val="NormalWeb"/>
        <w:spacing w:line="480" w:lineRule="auto"/>
        <w:jc w:val="both"/>
        <w:rPr>
          <w:sz w:val="20"/>
          <w:szCs w:val="20"/>
        </w:rPr>
      </w:pPr>
      <w:r w:rsidRPr="0001144A">
        <w:rPr>
          <w:sz w:val="20"/>
          <w:szCs w:val="20"/>
        </w:rPr>
        <w:t>The most commonly used indicator for assessing the extent of damage caused by road crashes is the gross domestic product (GDP) or gross national product (GNP) of a country. GDP/GNP serves as the standard measure for gauging the magnitude of costs and facilitating international comparisons. International studies (</w:t>
      </w:r>
      <w:proofErr w:type="spellStart"/>
      <w:r w:rsidRPr="0001144A">
        <w:rPr>
          <w:sz w:val="20"/>
          <w:szCs w:val="20"/>
        </w:rPr>
        <w:t>Elvik</w:t>
      </w:r>
      <w:proofErr w:type="spellEnd"/>
      <w:r w:rsidRPr="0001144A">
        <w:rPr>
          <w:sz w:val="20"/>
          <w:szCs w:val="20"/>
        </w:rPr>
        <w:t xml:space="preserve">, 1995; </w:t>
      </w:r>
      <w:proofErr w:type="spellStart"/>
      <w:r w:rsidRPr="0001144A">
        <w:rPr>
          <w:sz w:val="20"/>
          <w:szCs w:val="20"/>
        </w:rPr>
        <w:t>Wijnen</w:t>
      </w:r>
      <w:proofErr w:type="spellEnd"/>
      <w:r w:rsidRPr="0001144A">
        <w:rPr>
          <w:sz w:val="20"/>
          <w:szCs w:val="20"/>
        </w:rPr>
        <w:t xml:space="preserve"> &amp; </w:t>
      </w:r>
      <w:proofErr w:type="spellStart"/>
      <w:r w:rsidRPr="0001144A">
        <w:rPr>
          <w:sz w:val="20"/>
          <w:szCs w:val="20"/>
        </w:rPr>
        <w:t>Stipdonk</w:t>
      </w:r>
      <w:proofErr w:type="spellEnd"/>
      <w:r w:rsidRPr="0001144A">
        <w:rPr>
          <w:sz w:val="20"/>
          <w:szCs w:val="20"/>
        </w:rPr>
        <w:t xml:space="preserve">, 2016; </w:t>
      </w:r>
      <w:proofErr w:type="spellStart"/>
      <w:r w:rsidRPr="0001144A">
        <w:rPr>
          <w:sz w:val="20"/>
          <w:szCs w:val="20"/>
        </w:rPr>
        <w:t>Wijnen</w:t>
      </w:r>
      <w:proofErr w:type="spellEnd"/>
      <w:r w:rsidRPr="0001144A">
        <w:rPr>
          <w:sz w:val="20"/>
          <w:szCs w:val="20"/>
        </w:rPr>
        <w:t xml:space="preserve"> et al., 2018) estimate that the socio-economic cost</w:t>
      </w:r>
      <w:r>
        <w:rPr>
          <w:sz w:val="20"/>
          <w:szCs w:val="20"/>
        </w:rPr>
        <w:t>s of road crashes range from 0.5% to 7</w:t>
      </w:r>
      <w:r w:rsidRPr="0001144A">
        <w:rPr>
          <w:sz w:val="20"/>
          <w:szCs w:val="20"/>
        </w:rPr>
        <w:t>.0% of GDP annually. This highlights the significant financial impact of these costs, underscoring the need for thorough analysis, especially in developing countries where road traffic casualties are increasingly prevalent (WHO, 2015).</w:t>
      </w:r>
    </w:p>
    <w:p w:rsidR="008843AE" w:rsidRPr="00493AB3" w:rsidRDefault="008843AE" w:rsidP="008843AE">
      <w:pPr>
        <w:pStyle w:val="ListParagraph"/>
        <w:numPr>
          <w:ilvl w:val="1"/>
          <w:numId w:val="1"/>
        </w:numPr>
        <w:spacing w:before="100" w:beforeAutospacing="1" w:after="100" w:afterAutospacing="1"/>
        <w:jc w:val="both"/>
        <w:rPr>
          <w:rFonts w:ascii="Times New Roman" w:hAnsi="Times New Roman" w:cs="Times New Roman"/>
          <w:b/>
        </w:rPr>
      </w:pPr>
      <w:r w:rsidRPr="00493AB3">
        <w:rPr>
          <w:rFonts w:ascii="Times New Roman" w:hAnsi="Times New Roman" w:cs="Times New Roman"/>
          <w:b/>
        </w:rPr>
        <w:t>Quantitative Analysis</w:t>
      </w:r>
    </w:p>
    <w:p w:rsidR="008843AE" w:rsidRDefault="008843AE" w:rsidP="004C2E17">
      <w:pPr>
        <w:spacing w:before="100" w:beforeAutospacing="1" w:after="100" w:afterAutospacing="1" w:line="480" w:lineRule="auto"/>
        <w:jc w:val="both"/>
        <w:rPr>
          <w:rFonts w:ascii="Times New Roman" w:hAnsi="Times New Roman" w:cs="Times New Roman"/>
          <w:sz w:val="20"/>
        </w:rPr>
      </w:pPr>
      <w:r w:rsidRPr="0045247F">
        <w:rPr>
          <w:rFonts w:ascii="Times New Roman" w:hAnsi="Times New Roman" w:cs="Times New Roman"/>
          <w:sz w:val="20"/>
        </w:rPr>
        <w:t>Quantitative analysis of the social costs of road traffic crashes involves assessing the direct, indirect, and intangible impacts of crashes in monetary terms. This comprehensive approach helps policymakers understand the economic burden and prioritize road safety interventions effectively.</w:t>
      </w:r>
    </w:p>
    <w:p w:rsidR="008843AE" w:rsidRPr="0045247F" w:rsidRDefault="008843AE" w:rsidP="008843AE">
      <w:pPr>
        <w:pStyle w:val="Heading4"/>
        <w:numPr>
          <w:ilvl w:val="0"/>
          <w:numId w:val="2"/>
        </w:numPr>
        <w:rPr>
          <w:rFonts w:ascii="Times New Roman" w:hAnsi="Times New Roman" w:cs="Times New Roman"/>
          <w:b w:val="0"/>
          <w:i w:val="0"/>
          <w:color w:val="auto"/>
          <w:sz w:val="20"/>
        </w:rPr>
      </w:pPr>
      <w:r w:rsidRPr="0045247F">
        <w:rPr>
          <w:rStyle w:val="Strong"/>
          <w:rFonts w:ascii="Times New Roman" w:hAnsi="Times New Roman" w:cs="Times New Roman"/>
          <w:i w:val="0"/>
          <w:color w:val="auto"/>
          <w:sz w:val="20"/>
        </w:rPr>
        <w:t>Direct Costs</w:t>
      </w:r>
    </w:p>
    <w:p w:rsidR="008843AE" w:rsidRPr="007F759E" w:rsidRDefault="008843AE" w:rsidP="004C2E17">
      <w:pPr>
        <w:spacing w:before="100" w:beforeAutospacing="1" w:after="100" w:afterAutospacing="1" w:line="480" w:lineRule="auto"/>
        <w:jc w:val="both"/>
        <w:rPr>
          <w:rFonts w:ascii="Times New Roman" w:hAnsi="Times New Roman" w:cs="Times New Roman"/>
          <w:sz w:val="20"/>
          <w:szCs w:val="20"/>
        </w:rPr>
      </w:pPr>
      <w:r w:rsidRPr="00D251FD">
        <w:rPr>
          <w:rStyle w:val="Strong"/>
          <w:rFonts w:ascii="Times New Roman" w:hAnsi="Times New Roman" w:cs="Times New Roman"/>
          <w:b w:val="0"/>
          <w:sz w:val="20"/>
          <w:szCs w:val="20"/>
        </w:rPr>
        <w:t>Medical Costs</w:t>
      </w:r>
      <w:r w:rsidRPr="00D251FD">
        <w:rPr>
          <w:rFonts w:ascii="Times New Roman" w:hAnsi="Times New Roman" w:cs="Times New Roman"/>
          <w:b/>
          <w:sz w:val="20"/>
          <w:szCs w:val="20"/>
        </w:rPr>
        <w:t>:</w:t>
      </w:r>
      <w:r w:rsidRPr="007F759E">
        <w:rPr>
          <w:rFonts w:ascii="Times New Roman" w:hAnsi="Times New Roman" w:cs="Times New Roman"/>
          <w:sz w:val="20"/>
          <w:szCs w:val="20"/>
        </w:rPr>
        <w:t xml:space="preserve"> Costs for treatment of injuries (hospitalization, surgeries, medications, rehabilitation)</w:t>
      </w:r>
      <w:r>
        <w:rPr>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emergency Services</w:t>
      </w:r>
      <w:r w:rsidRPr="00D251FD">
        <w:rPr>
          <w:rFonts w:ascii="Times New Roman" w:hAnsi="Times New Roman" w:cs="Times New Roman"/>
          <w:b/>
          <w:sz w:val="20"/>
          <w:szCs w:val="20"/>
        </w:rPr>
        <w:t xml:space="preserve"> </w:t>
      </w:r>
      <w:r>
        <w:rPr>
          <w:rFonts w:ascii="Times New Roman" w:hAnsi="Times New Roman" w:cs="Times New Roman"/>
          <w:sz w:val="20"/>
          <w:szCs w:val="20"/>
        </w:rPr>
        <w:t>of</w:t>
      </w:r>
      <w:r w:rsidRPr="007F759E">
        <w:rPr>
          <w:rFonts w:ascii="Times New Roman" w:hAnsi="Times New Roman" w:cs="Times New Roman"/>
          <w:sz w:val="20"/>
          <w:szCs w:val="20"/>
        </w:rPr>
        <w:t xml:space="preserve"> Expenses for ambulance services, police response, and fire rescue operations.</w:t>
      </w:r>
      <w:r>
        <w:rPr>
          <w:rFonts w:ascii="Times New Roman" w:hAnsi="Times New Roman" w:cs="Times New Roman"/>
          <w:sz w:val="20"/>
          <w:szCs w:val="20"/>
        </w:rPr>
        <w:t xml:space="preserve"> And property</w:t>
      </w:r>
      <w:r>
        <w:rPr>
          <w:rStyle w:val="Strong"/>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damage of</w:t>
      </w:r>
      <w:r>
        <w:rPr>
          <w:rFonts w:ascii="Times New Roman" w:hAnsi="Times New Roman" w:cs="Times New Roman"/>
          <w:b/>
          <w:sz w:val="20"/>
          <w:szCs w:val="20"/>
        </w:rPr>
        <w:t xml:space="preserve"> </w:t>
      </w:r>
      <w:r>
        <w:rPr>
          <w:rFonts w:ascii="Times New Roman" w:hAnsi="Times New Roman" w:cs="Times New Roman"/>
          <w:sz w:val="20"/>
          <w:szCs w:val="20"/>
        </w:rPr>
        <w:t>r</w:t>
      </w:r>
      <w:r w:rsidRPr="007F759E">
        <w:rPr>
          <w:rFonts w:ascii="Times New Roman" w:hAnsi="Times New Roman" w:cs="Times New Roman"/>
          <w:sz w:val="20"/>
          <w:szCs w:val="20"/>
        </w:rPr>
        <w:t>epair or replacement of vehicles, infrastructure, and other damaged assets.</w:t>
      </w:r>
      <w:r>
        <w:rPr>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Legal and Administrative Costs</w:t>
      </w:r>
      <w:r w:rsidRPr="007F759E">
        <w:rPr>
          <w:rFonts w:ascii="Times New Roman" w:hAnsi="Times New Roman" w:cs="Times New Roman"/>
          <w:b/>
          <w:sz w:val="20"/>
          <w:szCs w:val="20"/>
        </w:rPr>
        <w:t xml:space="preserve"> </w:t>
      </w:r>
      <w:r>
        <w:rPr>
          <w:rFonts w:ascii="Times New Roman" w:hAnsi="Times New Roman" w:cs="Times New Roman"/>
          <w:sz w:val="20"/>
          <w:szCs w:val="20"/>
        </w:rPr>
        <w:t>of</w:t>
      </w:r>
      <w:r>
        <w:rPr>
          <w:rFonts w:ascii="Times New Roman" w:hAnsi="Times New Roman" w:cs="Times New Roman"/>
          <w:b/>
          <w:sz w:val="20"/>
          <w:szCs w:val="20"/>
        </w:rPr>
        <w:t xml:space="preserve"> </w:t>
      </w:r>
      <w:r w:rsidRPr="007F759E">
        <w:rPr>
          <w:rFonts w:ascii="Times New Roman" w:hAnsi="Times New Roman" w:cs="Times New Roman"/>
          <w:sz w:val="20"/>
          <w:szCs w:val="20"/>
        </w:rPr>
        <w:t>insurance claims, court proceedings, and crash investigations.</w:t>
      </w:r>
    </w:p>
    <w:p w:rsidR="008843AE" w:rsidRPr="0045247F" w:rsidRDefault="008843AE" w:rsidP="008843AE">
      <w:pPr>
        <w:pStyle w:val="Heading4"/>
        <w:numPr>
          <w:ilvl w:val="0"/>
          <w:numId w:val="2"/>
        </w:numPr>
        <w:rPr>
          <w:rFonts w:ascii="Times New Roman" w:hAnsi="Times New Roman" w:cs="Times New Roman"/>
          <w:i w:val="0"/>
          <w:color w:val="auto"/>
          <w:sz w:val="20"/>
        </w:rPr>
      </w:pPr>
      <w:r w:rsidRPr="0045247F">
        <w:rPr>
          <w:rStyle w:val="Strong"/>
          <w:rFonts w:ascii="Times New Roman" w:hAnsi="Times New Roman" w:cs="Times New Roman"/>
          <w:i w:val="0"/>
          <w:color w:val="auto"/>
          <w:sz w:val="20"/>
        </w:rPr>
        <w:t>Indirect Costs</w:t>
      </w:r>
    </w:p>
    <w:p w:rsidR="008843AE" w:rsidRPr="00885AEF" w:rsidRDefault="008843AE" w:rsidP="004C2E17">
      <w:pPr>
        <w:spacing w:before="100" w:beforeAutospacing="1" w:after="100" w:afterAutospacing="1" w:line="480" w:lineRule="auto"/>
        <w:jc w:val="both"/>
        <w:rPr>
          <w:rFonts w:ascii="Times New Roman" w:hAnsi="Times New Roman" w:cs="Times New Roman"/>
          <w:sz w:val="20"/>
          <w:szCs w:val="20"/>
        </w:rPr>
      </w:pPr>
      <w:r w:rsidRPr="00D251FD">
        <w:rPr>
          <w:rStyle w:val="Strong"/>
          <w:rFonts w:ascii="Times New Roman" w:hAnsi="Times New Roman" w:cs="Times New Roman"/>
          <w:b w:val="0"/>
          <w:sz w:val="20"/>
          <w:szCs w:val="20"/>
        </w:rPr>
        <w:t>Productivity Loss</w:t>
      </w:r>
      <w:r w:rsidRPr="00885AEF">
        <w:rPr>
          <w:rFonts w:ascii="Times New Roman" w:hAnsi="Times New Roman" w:cs="Times New Roman"/>
          <w:sz w:val="20"/>
          <w:szCs w:val="20"/>
        </w:rPr>
        <w:t xml:space="preserve"> of income due to death, disability, or injury, for both victims and caregivers.</w:t>
      </w:r>
      <w:r>
        <w:rPr>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Workforce</w:t>
      </w:r>
      <w:r w:rsidRPr="00885AEF">
        <w:rPr>
          <w:rStyle w:val="Strong"/>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Replacement</w:t>
      </w:r>
      <w:r w:rsidRPr="00D251FD">
        <w:rPr>
          <w:rFonts w:ascii="Times New Roman" w:hAnsi="Times New Roman" w:cs="Times New Roman"/>
          <w:b/>
          <w:sz w:val="20"/>
          <w:szCs w:val="20"/>
        </w:rPr>
        <w:t xml:space="preserve"> </w:t>
      </w:r>
      <w:r>
        <w:rPr>
          <w:rFonts w:ascii="Times New Roman" w:hAnsi="Times New Roman" w:cs="Times New Roman"/>
          <w:sz w:val="20"/>
          <w:szCs w:val="20"/>
        </w:rPr>
        <w:t xml:space="preserve">of </w:t>
      </w:r>
      <w:r w:rsidRPr="00885AEF">
        <w:rPr>
          <w:rFonts w:ascii="Times New Roman" w:hAnsi="Times New Roman" w:cs="Times New Roman"/>
          <w:sz w:val="20"/>
          <w:szCs w:val="20"/>
        </w:rPr>
        <w:t>Costs to employers for recruiting and training new employees to replace injured or deceased workers.</w:t>
      </w:r>
      <w:r>
        <w:rPr>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Traffic Disruption Costs</w:t>
      </w:r>
      <w:r w:rsidRPr="00885AEF">
        <w:rPr>
          <w:rFonts w:ascii="Times New Roman" w:hAnsi="Times New Roman" w:cs="Times New Roman"/>
          <w:sz w:val="20"/>
          <w:szCs w:val="20"/>
        </w:rPr>
        <w:t xml:space="preserve"> of Economic losses caused by delays, congestion, or rerouting after a crash.</w:t>
      </w:r>
    </w:p>
    <w:p w:rsidR="008843AE" w:rsidRPr="0045247F" w:rsidRDefault="008843AE" w:rsidP="008843AE">
      <w:pPr>
        <w:pStyle w:val="Heading4"/>
        <w:numPr>
          <w:ilvl w:val="0"/>
          <w:numId w:val="2"/>
        </w:numPr>
        <w:rPr>
          <w:rFonts w:ascii="Times New Roman" w:hAnsi="Times New Roman" w:cs="Times New Roman"/>
          <w:b w:val="0"/>
          <w:i w:val="0"/>
          <w:color w:val="auto"/>
          <w:sz w:val="20"/>
        </w:rPr>
      </w:pPr>
      <w:r w:rsidRPr="0045247F">
        <w:rPr>
          <w:rStyle w:val="Strong"/>
          <w:rFonts w:ascii="Times New Roman" w:hAnsi="Times New Roman" w:cs="Times New Roman"/>
          <w:i w:val="0"/>
          <w:color w:val="auto"/>
          <w:sz w:val="20"/>
        </w:rPr>
        <w:t>Intangible Costs</w:t>
      </w:r>
    </w:p>
    <w:p w:rsidR="008843AE" w:rsidRPr="001D07DE" w:rsidRDefault="008843AE" w:rsidP="004C2E17">
      <w:pPr>
        <w:spacing w:before="100" w:beforeAutospacing="1" w:after="100" w:afterAutospacing="1" w:line="480" w:lineRule="auto"/>
        <w:jc w:val="both"/>
        <w:rPr>
          <w:rFonts w:ascii="Times New Roman" w:hAnsi="Times New Roman" w:cs="Times New Roman"/>
          <w:sz w:val="20"/>
          <w:szCs w:val="20"/>
        </w:rPr>
      </w:pPr>
      <w:r w:rsidRPr="00D251FD">
        <w:rPr>
          <w:rStyle w:val="Strong"/>
          <w:rFonts w:ascii="Times New Roman" w:hAnsi="Times New Roman" w:cs="Times New Roman"/>
          <w:b w:val="0"/>
          <w:sz w:val="20"/>
          <w:szCs w:val="20"/>
        </w:rPr>
        <w:t>Pain and Suffering</w:t>
      </w:r>
      <w:r w:rsidRPr="001D07DE">
        <w:rPr>
          <w:rFonts w:ascii="Times New Roman" w:hAnsi="Times New Roman" w:cs="Times New Roman"/>
          <w:b/>
          <w:sz w:val="20"/>
          <w:szCs w:val="20"/>
        </w:rPr>
        <w:t xml:space="preserve"> </w:t>
      </w:r>
      <w:r>
        <w:rPr>
          <w:rFonts w:ascii="Times New Roman" w:hAnsi="Times New Roman" w:cs="Times New Roman"/>
          <w:sz w:val="20"/>
          <w:szCs w:val="20"/>
        </w:rPr>
        <w:t xml:space="preserve">of </w:t>
      </w:r>
      <w:r w:rsidRPr="001D07DE">
        <w:rPr>
          <w:rFonts w:ascii="Times New Roman" w:hAnsi="Times New Roman" w:cs="Times New Roman"/>
          <w:sz w:val="20"/>
          <w:szCs w:val="20"/>
        </w:rPr>
        <w:t>Psychological distress experienced by crash victims and their families.</w:t>
      </w:r>
      <w:r>
        <w:rPr>
          <w:rFonts w:ascii="Times New Roman" w:hAnsi="Times New Roman" w:cs="Times New Roman"/>
          <w:sz w:val="20"/>
          <w:szCs w:val="20"/>
        </w:rPr>
        <w:t xml:space="preserve"> </w:t>
      </w:r>
      <w:r w:rsidRPr="00D251FD">
        <w:rPr>
          <w:rStyle w:val="Strong"/>
          <w:rFonts w:ascii="Times New Roman" w:hAnsi="Times New Roman" w:cs="Times New Roman"/>
          <w:b w:val="0"/>
          <w:sz w:val="20"/>
          <w:szCs w:val="20"/>
        </w:rPr>
        <w:t>Loss of Quality of Life</w:t>
      </w:r>
      <w:r>
        <w:rPr>
          <w:rFonts w:ascii="Times New Roman" w:hAnsi="Times New Roman" w:cs="Times New Roman"/>
          <w:sz w:val="20"/>
          <w:szCs w:val="20"/>
        </w:rPr>
        <w:t xml:space="preserve"> </w:t>
      </w:r>
      <w:r w:rsidRPr="001D07DE">
        <w:rPr>
          <w:rFonts w:ascii="Times New Roman" w:hAnsi="Times New Roman" w:cs="Times New Roman"/>
          <w:sz w:val="20"/>
          <w:szCs w:val="20"/>
        </w:rPr>
        <w:t>Reduced physical and mental well-being for survivors with disabilities.</w:t>
      </w:r>
      <w:r>
        <w:rPr>
          <w:rFonts w:ascii="Times New Roman" w:hAnsi="Times New Roman" w:cs="Times New Roman"/>
          <w:sz w:val="20"/>
          <w:szCs w:val="20"/>
        </w:rPr>
        <w:t xml:space="preserve"> And </w:t>
      </w:r>
      <w:r w:rsidRPr="00D251FD">
        <w:rPr>
          <w:rStyle w:val="Strong"/>
          <w:rFonts w:ascii="Times New Roman" w:hAnsi="Times New Roman" w:cs="Times New Roman"/>
          <w:b w:val="0"/>
          <w:sz w:val="20"/>
          <w:szCs w:val="20"/>
        </w:rPr>
        <w:t>Grief and Bereavement</w:t>
      </w:r>
      <w:r>
        <w:rPr>
          <w:rFonts w:ascii="Times New Roman" w:hAnsi="Times New Roman" w:cs="Times New Roman"/>
          <w:sz w:val="20"/>
          <w:szCs w:val="20"/>
        </w:rPr>
        <w:t xml:space="preserve"> of </w:t>
      </w:r>
      <w:r w:rsidRPr="001D07DE">
        <w:rPr>
          <w:rFonts w:ascii="Times New Roman" w:hAnsi="Times New Roman" w:cs="Times New Roman"/>
          <w:sz w:val="20"/>
          <w:szCs w:val="20"/>
        </w:rPr>
        <w:t>Emotional loss faced by families of deceased victims.</w:t>
      </w:r>
    </w:p>
    <w:p w:rsidR="008843AE" w:rsidRPr="0001144A" w:rsidRDefault="008843AE" w:rsidP="008843AE">
      <w:pPr>
        <w:pStyle w:val="NormalWeb"/>
        <w:spacing w:line="276" w:lineRule="auto"/>
        <w:jc w:val="both"/>
        <w:rPr>
          <w:b/>
          <w:sz w:val="20"/>
          <w:szCs w:val="20"/>
        </w:rPr>
      </w:pPr>
      <w:r w:rsidRPr="0001144A">
        <w:rPr>
          <w:b/>
          <w:iCs/>
          <w:sz w:val="20"/>
          <w:szCs w:val="20"/>
        </w:rPr>
        <w:t>Methods of Assessment</w:t>
      </w:r>
    </w:p>
    <w:p w:rsidR="008843AE" w:rsidRPr="00931E8E" w:rsidRDefault="008843AE" w:rsidP="004C2E17">
      <w:pPr>
        <w:tabs>
          <w:tab w:val="left" w:pos="1032"/>
        </w:tabs>
        <w:spacing w:line="480" w:lineRule="auto"/>
        <w:jc w:val="both"/>
        <w:rPr>
          <w:rFonts w:ascii="Times New Roman" w:hAnsi="Times New Roman" w:cs="Times New Roman"/>
          <w:color w:val="00B050"/>
          <w:sz w:val="20"/>
          <w:szCs w:val="20"/>
        </w:rPr>
      </w:pPr>
      <w:r w:rsidRPr="00931E8E">
        <w:rPr>
          <w:rFonts w:ascii="Times New Roman" w:hAnsi="Times New Roman" w:cs="Times New Roman"/>
          <w:color w:val="00B050"/>
          <w:sz w:val="20"/>
          <w:szCs w:val="20"/>
        </w:rPr>
        <w:t>Various methodologies have been developed and applied to estimate the costs of road crashes, but no single technique is universally accepted (</w:t>
      </w:r>
      <w:proofErr w:type="spellStart"/>
      <w:r w:rsidRPr="00931E8E">
        <w:rPr>
          <w:rFonts w:ascii="Times New Roman" w:hAnsi="Times New Roman" w:cs="Times New Roman"/>
          <w:color w:val="00B050"/>
          <w:sz w:val="20"/>
          <w:szCs w:val="20"/>
        </w:rPr>
        <w:t>Perovic</w:t>
      </w:r>
      <w:proofErr w:type="spellEnd"/>
      <w:r w:rsidRPr="00931E8E">
        <w:rPr>
          <w:rFonts w:ascii="Times New Roman" w:hAnsi="Times New Roman" w:cs="Times New Roman"/>
          <w:color w:val="00B050"/>
          <w:sz w:val="20"/>
          <w:szCs w:val="20"/>
        </w:rPr>
        <w:t xml:space="preserve"> &amp; </w:t>
      </w:r>
      <w:proofErr w:type="spellStart"/>
      <w:r w:rsidRPr="00931E8E">
        <w:rPr>
          <w:rFonts w:ascii="Times New Roman" w:hAnsi="Times New Roman" w:cs="Times New Roman"/>
          <w:color w:val="00B050"/>
          <w:sz w:val="20"/>
          <w:szCs w:val="20"/>
        </w:rPr>
        <w:t>Dimitris</w:t>
      </w:r>
      <w:proofErr w:type="spellEnd"/>
      <w:r w:rsidRPr="00931E8E">
        <w:rPr>
          <w:rFonts w:ascii="Times New Roman" w:hAnsi="Times New Roman" w:cs="Times New Roman"/>
          <w:color w:val="00B050"/>
          <w:sz w:val="20"/>
          <w:szCs w:val="20"/>
        </w:rPr>
        <w:t xml:space="preserve">, 2008). International guidelines generally recommend three approaches for estimating these costs: the Restitution Costs (RC) approach, the Human Capital (HC) approach, and the Willingness-to-Pay (WTP) approach (Alfaro et al., 1994; ERSO, 2008; </w:t>
      </w:r>
      <w:proofErr w:type="spellStart"/>
      <w:r w:rsidRPr="00931E8E">
        <w:rPr>
          <w:rFonts w:ascii="Times New Roman" w:hAnsi="Times New Roman" w:cs="Times New Roman"/>
          <w:color w:val="00B050"/>
          <w:sz w:val="20"/>
          <w:szCs w:val="20"/>
        </w:rPr>
        <w:t>Wijnen</w:t>
      </w:r>
      <w:proofErr w:type="spellEnd"/>
      <w:r w:rsidRPr="00931E8E">
        <w:rPr>
          <w:rFonts w:ascii="Times New Roman" w:hAnsi="Times New Roman" w:cs="Times New Roman"/>
          <w:color w:val="00B050"/>
          <w:sz w:val="20"/>
          <w:szCs w:val="20"/>
        </w:rPr>
        <w:t xml:space="preserve"> et al., 2018). In the following subsections, we will present and discuss the two most common methods used to estimate the costs of road traffic crashes and fatalities, as well as their application in our regression analysis.</w:t>
      </w:r>
    </w:p>
    <w:p w:rsidR="008843AE" w:rsidRPr="0084512E" w:rsidRDefault="008843AE" w:rsidP="008843AE">
      <w:pPr>
        <w:pStyle w:val="ListParagraph"/>
        <w:numPr>
          <w:ilvl w:val="0"/>
          <w:numId w:val="21"/>
        </w:numPr>
        <w:tabs>
          <w:tab w:val="left" w:pos="1032"/>
        </w:tabs>
        <w:jc w:val="both"/>
        <w:rPr>
          <w:rFonts w:ascii="Times New Roman" w:hAnsi="Times New Roman" w:cs="Times New Roman"/>
          <w:b/>
          <w:iCs/>
          <w:sz w:val="20"/>
          <w:szCs w:val="20"/>
        </w:rPr>
      </w:pPr>
      <w:r w:rsidRPr="0084512E">
        <w:rPr>
          <w:rFonts w:ascii="Times New Roman" w:hAnsi="Times New Roman" w:cs="Times New Roman"/>
          <w:b/>
          <w:iCs/>
          <w:sz w:val="20"/>
          <w:szCs w:val="20"/>
        </w:rPr>
        <w:t>Willingness to pay (WTP) Method</w:t>
      </w:r>
    </w:p>
    <w:p w:rsidR="008843AE" w:rsidRPr="00BE1A4E" w:rsidRDefault="008843AE" w:rsidP="004C2E17">
      <w:pPr>
        <w:tabs>
          <w:tab w:val="left" w:pos="1032"/>
        </w:tabs>
        <w:spacing w:line="480" w:lineRule="auto"/>
        <w:jc w:val="both"/>
        <w:rPr>
          <w:rFonts w:ascii="Times New Roman" w:hAnsi="Times New Roman" w:cs="Times New Roman"/>
          <w:sz w:val="20"/>
        </w:rPr>
      </w:pPr>
      <w:r w:rsidRPr="0001144A">
        <w:rPr>
          <w:rFonts w:ascii="Times New Roman" w:hAnsi="Times New Roman" w:cs="Times New Roman"/>
          <w:sz w:val="20"/>
        </w:rPr>
        <w:t xml:space="preserve">The </w:t>
      </w:r>
      <w:r w:rsidRPr="0001144A">
        <w:rPr>
          <w:rStyle w:val="Strong"/>
          <w:rFonts w:ascii="Times New Roman" w:hAnsi="Times New Roman" w:cs="Times New Roman"/>
          <w:sz w:val="20"/>
        </w:rPr>
        <w:t>Willingness to Pay (WTP) method</w:t>
      </w:r>
      <w:r w:rsidRPr="0001144A">
        <w:rPr>
          <w:rFonts w:ascii="Times New Roman" w:hAnsi="Times New Roman" w:cs="Times New Roman"/>
          <w:sz w:val="20"/>
        </w:rPr>
        <w:t xml:space="preserve"> is increasingly used in the context of road traffic accidents to estimate the value of reducing road traffic risks, improving road safety, or assessing the economic impact of traffic accidents. This method helps quantify the monetary value individuals place on reducing the likelihood of accidents or improving safety measures. Here’s how WTP is applied in the context of road traffic accidents:</w:t>
      </w:r>
    </w:p>
    <w:p w:rsidR="008843AE" w:rsidRPr="002C76C5" w:rsidRDefault="008843AE" w:rsidP="008843AE">
      <w:pPr>
        <w:spacing w:before="100" w:beforeAutospacing="1" w:after="100" w:afterAutospacing="1"/>
        <w:jc w:val="both"/>
        <w:outlineLvl w:val="2"/>
        <w:rPr>
          <w:rFonts w:ascii="Times New Roman" w:eastAsia="Times New Roman" w:hAnsi="Times New Roman" w:cs="Times New Roman"/>
          <w:b/>
          <w:bCs/>
          <w:sz w:val="20"/>
          <w:szCs w:val="20"/>
        </w:rPr>
      </w:pPr>
      <w:r w:rsidRPr="002C76C5">
        <w:rPr>
          <w:rFonts w:ascii="Times New Roman" w:eastAsia="Times New Roman" w:hAnsi="Times New Roman" w:cs="Times New Roman"/>
          <w:b/>
          <w:bCs/>
          <w:sz w:val="20"/>
          <w:szCs w:val="20"/>
        </w:rPr>
        <w:t>Applications of WTP in Road Traffic Accidents:</w:t>
      </w:r>
    </w:p>
    <w:p w:rsidR="008843AE" w:rsidRPr="001D07D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sz w:val="20"/>
          <w:szCs w:val="20"/>
        </w:rPr>
      </w:pPr>
      <w:r w:rsidRPr="0084512E">
        <w:rPr>
          <w:rFonts w:ascii="Times New Roman" w:eastAsia="Times New Roman" w:hAnsi="Times New Roman" w:cs="Times New Roman"/>
          <w:b/>
          <w:bCs/>
          <w:sz w:val="20"/>
          <w:szCs w:val="20"/>
        </w:rPr>
        <w:t>Valuing Road Safety Improvements:</w:t>
      </w:r>
    </w:p>
    <w:p w:rsidR="008843AE" w:rsidRPr="002C76C5" w:rsidRDefault="008843AE" w:rsidP="004C2E17">
      <w:pPr>
        <w:spacing w:before="100" w:beforeAutospacing="1" w:after="100" w:afterAutospacing="1" w:line="480" w:lineRule="auto"/>
        <w:ind w:left="720"/>
        <w:jc w:val="both"/>
        <w:rPr>
          <w:rFonts w:ascii="Times New Roman" w:eastAsia="Times New Roman" w:hAnsi="Times New Roman" w:cs="Times New Roman"/>
          <w:sz w:val="20"/>
          <w:szCs w:val="20"/>
        </w:rPr>
      </w:pPr>
      <w:r w:rsidRPr="001D07DE">
        <w:rPr>
          <w:rFonts w:ascii="Times New Roman" w:eastAsia="Times New Roman" w:hAnsi="Times New Roman" w:cs="Times New Roman"/>
          <w:sz w:val="20"/>
          <w:szCs w:val="20"/>
        </w:rPr>
        <w:t>Estimate how much people are willing to pay for enhancements in road safety, such as better road design, improved traffic signals, or enhanced enforcement of traffic laws.</w:t>
      </w:r>
      <w:r>
        <w:rPr>
          <w:rFonts w:ascii="Times New Roman" w:eastAsia="Times New Roman" w:hAnsi="Times New Roman" w:cs="Times New Roman"/>
          <w:sz w:val="20"/>
          <w:szCs w:val="20"/>
        </w:rPr>
        <w:t xml:space="preserve"> </w:t>
      </w:r>
      <w:r w:rsidRPr="002C76C5">
        <w:rPr>
          <w:rFonts w:ascii="Times New Roman" w:eastAsia="Times New Roman" w:hAnsi="Times New Roman" w:cs="Times New Roman"/>
          <w:sz w:val="20"/>
          <w:szCs w:val="20"/>
        </w:rPr>
        <w:t>Use contingent valuation surveys to ask respondents how much they would be willing to pay for specific safety improvements. For example, respondents might be asked about their WTP for improved pedestrian crossings or better lighting at intersections.</w:t>
      </w:r>
    </w:p>
    <w:p w:rsidR="008843AE" w:rsidRPr="001D07D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sz w:val="20"/>
          <w:szCs w:val="20"/>
        </w:rPr>
      </w:pPr>
      <w:r w:rsidRPr="0084512E">
        <w:rPr>
          <w:rFonts w:ascii="Times New Roman" w:eastAsia="Times New Roman" w:hAnsi="Times New Roman" w:cs="Times New Roman"/>
          <w:b/>
          <w:bCs/>
          <w:sz w:val="20"/>
          <w:szCs w:val="20"/>
        </w:rPr>
        <w:t>Assessing the Value of Reducing Accident Risks:</w:t>
      </w:r>
    </w:p>
    <w:p w:rsidR="008843AE" w:rsidRPr="002C76C5" w:rsidRDefault="008843AE" w:rsidP="004C2E17">
      <w:pPr>
        <w:spacing w:before="100" w:beforeAutospacing="1" w:after="100" w:afterAutospacing="1" w:line="480" w:lineRule="auto"/>
        <w:ind w:left="720"/>
        <w:jc w:val="both"/>
        <w:rPr>
          <w:rFonts w:ascii="Times New Roman" w:eastAsia="Times New Roman" w:hAnsi="Times New Roman" w:cs="Times New Roman"/>
          <w:sz w:val="20"/>
          <w:szCs w:val="20"/>
        </w:rPr>
      </w:pPr>
      <w:r w:rsidRPr="001D07DE">
        <w:rPr>
          <w:rFonts w:ascii="Times New Roman" w:eastAsia="Times New Roman" w:hAnsi="Times New Roman" w:cs="Times New Roman"/>
          <w:sz w:val="20"/>
          <w:szCs w:val="20"/>
        </w:rPr>
        <w:t>Estimate the economic value individuals place on reducing the risk of being involved in a traffic accident.</w:t>
      </w:r>
      <w:r>
        <w:rPr>
          <w:rFonts w:ascii="Times New Roman" w:eastAsia="Times New Roman" w:hAnsi="Times New Roman" w:cs="Times New Roman"/>
          <w:sz w:val="20"/>
          <w:szCs w:val="20"/>
        </w:rPr>
        <w:t xml:space="preserve"> </w:t>
      </w:r>
      <w:r w:rsidRPr="002C76C5">
        <w:rPr>
          <w:rFonts w:ascii="Times New Roman" w:eastAsia="Times New Roman" w:hAnsi="Times New Roman" w:cs="Times New Roman"/>
          <w:sz w:val="20"/>
          <w:szCs w:val="20"/>
        </w:rPr>
        <w:t>Surveys may be conducted to determine how much people are willing to pay for a reduction in the probability of accidents, such as the implementation of advanced safety technologies (e.g., collision avoidance systems) or improved road infrastructure.</w:t>
      </w:r>
    </w:p>
    <w:p w:rsidR="008843AE" w:rsidRPr="001D07D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sz w:val="20"/>
          <w:szCs w:val="20"/>
        </w:rPr>
      </w:pPr>
      <w:r w:rsidRPr="0084512E">
        <w:rPr>
          <w:rFonts w:ascii="Times New Roman" w:eastAsia="Times New Roman" w:hAnsi="Times New Roman" w:cs="Times New Roman"/>
          <w:b/>
          <w:bCs/>
          <w:sz w:val="20"/>
          <w:szCs w:val="20"/>
        </w:rPr>
        <w:t>Evaluating the Economic Impact of Traffic Accidents:</w:t>
      </w:r>
    </w:p>
    <w:p w:rsidR="008843AE" w:rsidRDefault="008843AE" w:rsidP="004C2E17">
      <w:pPr>
        <w:spacing w:before="100" w:beforeAutospacing="1" w:after="100" w:afterAutospacing="1" w:line="480" w:lineRule="auto"/>
        <w:ind w:left="720"/>
        <w:jc w:val="both"/>
        <w:rPr>
          <w:rFonts w:ascii="Times New Roman" w:eastAsia="Times New Roman" w:hAnsi="Times New Roman" w:cs="Times New Roman"/>
          <w:sz w:val="20"/>
          <w:szCs w:val="20"/>
        </w:rPr>
      </w:pPr>
      <w:r w:rsidRPr="001D07DE">
        <w:rPr>
          <w:rFonts w:ascii="Times New Roman" w:eastAsia="Times New Roman" w:hAnsi="Times New Roman" w:cs="Times New Roman"/>
          <w:sz w:val="20"/>
          <w:szCs w:val="20"/>
        </w:rPr>
        <w:t>Quantify the economic burden of traffic accidents, including medical costs, property damage, and lost productivity.</w:t>
      </w:r>
      <w:r>
        <w:rPr>
          <w:rFonts w:ascii="Times New Roman" w:eastAsia="Times New Roman" w:hAnsi="Times New Roman" w:cs="Times New Roman"/>
          <w:sz w:val="20"/>
          <w:szCs w:val="20"/>
        </w:rPr>
        <w:t xml:space="preserve"> </w:t>
      </w:r>
      <w:r w:rsidRPr="002C76C5">
        <w:rPr>
          <w:rFonts w:ascii="Times New Roman" w:eastAsia="Times New Roman" w:hAnsi="Times New Roman" w:cs="Times New Roman"/>
          <w:sz w:val="20"/>
          <w:szCs w:val="20"/>
        </w:rPr>
        <w:t>Use WTP to estimate the value of reducing the number of traffic accidents or the severity of injuries resulting from accidents. This can be integrated into cost-benefit analyses for road safety interventions or policy decisions.</w:t>
      </w:r>
    </w:p>
    <w:p w:rsidR="00CF2171" w:rsidRPr="002C76C5" w:rsidRDefault="00CF2171" w:rsidP="008843AE">
      <w:pPr>
        <w:spacing w:before="100" w:beforeAutospacing="1" w:after="100" w:afterAutospacing="1"/>
        <w:ind w:left="720"/>
        <w:jc w:val="both"/>
        <w:rPr>
          <w:rFonts w:ascii="Times New Roman" w:eastAsia="Times New Roman" w:hAnsi="Times New Roman" w:cs="Times New Roman"/>
          <w:sz w:val="20"/>
          <w:szCs w:val="20"/>
        </w:rPr>
      </w:pPr>
    </w:p>
    <w:p w:rsidR="008843AE" w:rsidRPr="001D07D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sz w:val="20"/>
          <w:szCs w:val="20"/>
        </w:rPr>
      </w:pPr>
      <w:r w:rsidRPr="0084512E">
        <w:rPr>
          <w:rFonts w:ascii="Times New Roman" w:eastAsia="Times New Roman" w:hAnsi="Times New Roman" w:cs="Times New Roman"/>
          <w:b/>
          <w:bCs/>
          <w:sz w:val="20"/>
          <w:szCs w:val="20"/>
        </w:rPr>
        <w:t>Quantifying the Value of Human Life and Health:</w:t>
      </w:r>
    </w:p>
    <w:p w:rsidR="008843AE" w:rsidRPr="002C76C5" w:rsidRDefault="008843AE" w:rsidP="004C2E17">
      <w:pPr>
        <w:spacing w:before="100" w:beforeAutospacing="1" w:after="100" w:afterAutospacing="1" w:line="480" w:lineRule="auto"/>
        <w:ind w:left="720"/>
        <w:jc w:val="both"/>
        <w:rPr>
          <w:rFonts w:ascii="Times New Roman" w:eastAsia="Times New Roman" w:hAnsi="Times New Roman" w:cs="Times New Roman"/>
          <w:sz w:val="20"/>
          <w:szCs w:val="20"/>
        </w:rPr>
      </w:pPr>
      <w:r w:rsidRPr="001D07DE">
        <w:rPr>
          <w:rFonts w:ascii="Times New Roman" w:eastAsia="Times New Roman" w:hAnsi="Times New Roman" w:cs="Times New Roman"/>
          <w:sz w:val="20"/>
          <w:szCs w:val="20"/>
        </w:rPr>
        <w:t>Estimate the value individuals place on preventing fatalities and serious injuries in traffic accidents.</w:t>
      </w:r>
      <w:r>
        <w:rPr>
          <w:rFonts w:ascii="Times New Roman" w:eastAsia="Times New Roman" w:hAnsi="Times New Roman" w:cs="Times New Roman"/>
          <w:sz w:val="20"/>
          <w:szCs w:val="20"/>
        </w:rPr>
        <w:t xml:space="preserve"> </w:t>
      </w:r>
      <w:r w:rsidRPr="002C76C5">
        <w:rPr>
          <w:rFonts w:ascii="Times New Roman" w:eastAsia="Times New Roman" w:hAnsi="Times New Roman" w:cs="Times New Roman"/>
          <w:sz w:val="20"/>
          <w:szCs w:val="20"/>
        </w:rPr>
        <w:t>Apply WTP to estimate the value of statistical life (VSL), which represents the amount people are willing to pay to reduce the risk of fatal accidents. This is often used in cost-benefit analyses of road safety measures and public health interventions.</w:t>
      </w:r>
    </w:p>
    <w:p w:rsidR="008843AE" w:rsidRPr="002C76C5" w:rsidRDefault="008843AE" w:rsidP="008843AE">
      <w:pPr>
        <w:spacing w:before="100" w:beforeAutospacing="1" w:after="100" w:afterAutospacing="1"/>
        <w:jc w:val="both"/>
        <w:outlineLvl w:val="2"/>
        <w:rPr>
          <w:rFonts w:ascii="Times New Roman" w:eastAsia="Times New Roman" w:hAnsi="Times New Roman" w:cs="Times New Roman"/>
          <w:b/>
          <w:bCs/>
          <w:sz w:val="20"/>
          <w:szCs w:val="20"/>
        </w:rPr>
      </w:pPr>
      <w:r w:rsidRPr="002C76C5">
        <w:rPr>
          <w:rFonts w:ascii="Times New Roman" w:eastAsia="Times New Roman" w:hAnsi="Times New Roman" w:cs="Times New Roman"/>
          <w:b/>
          <w:bCs/>
          <w:sz w:val="20"/>
          <w:szCs w:val="20"/>
        </w:rPr>
        <w:t>How the WTP Method is applied:</w:t>
      </w:r>
    </w:p>
    <w:p w:rsidR="008843AE" w:rsidRPr="00931E8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b/>
          <w:bCs/>
          <w:color w:val="00B050"/>
          <w:sz w:val="20"/>
          <w:szCs w:val="20"/>
        </w:rPr>
        <w:t>Survey Design:</w:t>
      </w:r>
    </w:p>
    <w:p w:rsidR="008843AE" w:rsidRPr="00931E8E" w:rsidRDefault="008843AE" w:rsidP="004C2E17">
      <w:pPr>
        <w:spacing w:before="100" w:beforeAutospacing="1" w:after="100" w:afterAutospacing="1" w:line="480" w:lineRule="auto"/>
        <w:ind w:left="720"/>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color w:val="00B050"/>
          <w:sz w:val="20"/>
          <w:szCs w:val="20"/>
        </w:rPr>
        <w:t>Develop hypothetical scenarios where respondents are asked how much they would be willing to pay for specific safety improvements or risk reductions. For example, surveys might ask respondents about their willingness to pay for a new safety feature in their vehicle or improved road conditions. Use choice modelling to present respondents with different safety attributes (e.g., reduced accident risk, improved road signage) and ask them to choose their preferred options. The trade-offs between different attributes help estimate the value placed on each safety improvement.</w:t>
      </w:r>
    </w:p>
    <w:p w:rsidR="008843AE" w:rsidRPr="00931E8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b/>
          <w:bCs/>
          <w:color w:val="00B050"/>
          <w:sz w:val="20"/>
          <w:szCs w:val="20"/>
        </w:rPr>
        <w:t>Data Collection:</w:t>
      </w:r>
    </w:p>
    <w:p w:rsidR="008843AE" w:rsidRPr="00931E8E" w:rsidRDefault="008843AE" w:rsidP="004C2E17">
      <w:pPr>
        <w:spacing w:before="100" w:beforeAutospacing="1" w:after="100" w:afterAutospacing="1" w:line="480" w:lineRule="auto"/>
        <w:ind w:left="720"/>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color w:val="00B050"/>
          <w:sz w:val="20"/>
          <w:szCs w:val="20"/>
        </w:rPr>
        <w:t xml:space="preserve">Collect data from a representative sample of the population to ensure that the findings are </w:t>
      </w:r>
      <w:proofErr w:type="spellStart"/>
      <w:r w:rsidRPr="00931E8E">
        <w:rPr>
          <w:rFonts w:ascii="Times New Roman" w:eastAsia="Times New Roman" w:hAnsi="Times New Roman" w:cs="Times New Roman"/>
          <w:color w:val="00B050"/>
          <w:sz w:val="20"/>
          <w:szCs w:val="20"/>
        </w:rPr>
        <w:t>generalizable</w:t>
      </w:r>
      <w:proofErr w:type="spellEnd"/>
      <w:r w:rsidRPr="00931E8E">
        <w:rPr>
          <w:rFonts w:ascii="Times New Roman" w:eastAsia="Times New Roman" w:hAnsi="Times New Roman" w:cs="Times New Roman"/>
          <w:color w:val="00B050"/>
          <w:sz w:val="20"/>
          <w:szCs w:val="20"/>
        </w:rPr>
        <w:t>. Surveys can be conducted online, via telephone, or in-person. Clearly describe the safety improvements or risk reductions being evaluated, ensuring that respondents understand the context and implications of their responses.</w:t>
      </w:r>
    </w:p>
    <w:p w:rsidR="008843AE" w:rsidRPr="00931E8E" w:rsidRDefault="008843AE" w:rsidP="008843AE">
      <w:pPr>
        <w:pStyle w:val="ListParagraph"/>
        <w:numPr>
          <w:ilvl w:val="0"/>
          <w:numId w:val="2"/>
        </w:numPr>
        <w:spacing w:before="100" w:beforeAutospacing="1" w:after="100" w:afterAutospacing="1"/>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b/>
          <w:bCs/>
          <w:color w:val="00B050"/>
          <w:sz w:val="20"/>
          <w:szCs w:val="20"/>
        </w:rPr>
        <w:t>Data Analysis:</w:t>
      </w:r>
    </w:p>
    <w:p w:rsidR="008843AE" w:rsidRPr="00931E8E" w:rsidRDefault="008843AE" w:rsidP="004C2E17">
      <w:pPr>
        <w:spacing w:before="100" w:beforeAutospacing="1" w:after="100" w:afterAutospacing="1" w:line="480" w:lineRule="auto"/>
        <w:ind w:left="720"/>
        <w:jc w:val="both"/>
        <w:rPr>
          <w:rFonts w:ascii="Times New Roman" w:eastAsia="Times New Roman" w:hAnsi="Times New Roman" w:cs="Times New Roman"/>
          <w:color w:val="00B050"/>
          <w:sz w:val="20"/>
          <w:szCs w:val="20"/>
        </w:rPr>
      </w:pPr>
      <w:r w:rsidRPr="00931E8E">
        <w:rPr>
          <w:rFonts w:ascii="Times New Roman" w:eastAsia="Times New Roman" w:hAnsi="Times New Roman" w:cs="Times New Roman"/>
          <w:color w:val="00B050"/>
          <w:sz w:val="20"/>
          <w:szCs w:val="20"/>
        </w:rPr>
        <w:t>Use statistical models to analyze survey responses and estimate the average WTP for different safety improvements or risk reductions. Techniques such as regression analysis are commonly employed to derive estimates from the data. Integrate WTP estimates into cost-benefit analyses to evaluate the economic feasibility of road safety interventions. This involves comparing the estimated benefits (in terms of WTP) to the costs of implementing the safety measures.</w:t>
      </w:r>
    </w:p>
    <w:p w:rsidR="008843AE" w:rsidRDefault="008843AE" w:rsidP="004C2E17">
      <w:pPr>
        <w:pStyle w:val="NormalWeb"/>
        <w:spacing w:line="480" w:lineRule="auto"/>
        <w:jc w:val="both"/>
        <w:rPr>
          <w:sz w:val="20"/>
        </w:rPr>
      </w:pPr>
      <w:r w:rsidRPr="00A932DB">
        <w:rPr>
          <w:sz w:val="20"/>
        </w:rPr>
        <w:t>The two primary methods for measuring the willingness-to-pay (WTP) are Revealed Preference (RP) and Stated Preference (SP) methods. RP methods assess risk reductions based on actual behavior, such as how much individuals spend on safety measures or how they trade off wages for work-related risks. In contrast, SP methods involve questionnaires where individuals are asked directly or indirectly about their willingness to pay for safety measures. The most commonly used SP methods are the Contingent Valuation Method (CV) and Conjoint Analysis (CA). Theoretically, RP methods are considered more reliable than SP methods because RP methods are based on actual expenditures, while SP methods rely on hypothetical responses (</w:t>
      </w:r>
      <w:proofErr w:type="spellStart"/>
      <w:r w:rsidRPr="00A932DB">
        <w:rPr>
          <w:sz w:val="20"/>
        </w:rPr>
        <w:t>Wijnen</w:t>
      </w:r>
      <w:proofErr w:type="spellEnd"/>
      <w:r w:rsidRPr="00A932DB">
        <w:rPr>
          <w:sz w:val="20"/>
        </w:rPr>
        <w:t xml:space="preserve"> et al., 2009). However, SP methods have several drawbacks, including difficulties in execution, high costs, extended study durations that can last over a year, and challenges in accurately estimating willingness to pay (</w:t>
      </w:r>
      <w:proofErr w:type="spellStart"/>
      <w:r w:rsidRPr="00A932DB">
        <w:rPr>
          <w:sz w:val="20"/>
        </w:rPr>
        <w:t>Wesemann</w:t>
      </w:r>
      <w:proofErr w:type="spellEnd"/>
      <w:r w:rsidRPr="00A932DB">
        <w:rPr>
          <w:sz w:val="20"/>
        </w:rPr>
        <w:t>, 2000). Additionally, SP methods often face the behavioral economics issue where stated intentions differ from actual behaviors (Abelson, 2008). The WTP method may not always accurately reflect individuals' capacity to pay and can sometimes lead to overestimation (Gunnar, 1999; Lindberg, 1999). Furthermore, surveys have indicated that respondents tend to be relatively insensitive to small variations in risk (</w:t>
      </w:r>
      <w:proofErr w:type="spellStart"/>
      <w:r w:rsidRPr="00A932DB">
        <w:rPr>
          <w:sz w:val="20"/>
        </w:rPr>
        <w:t>Bahamonde-Birke</w:t>
      </w:r>
      <w:proofErr w:type="spellEnd"/>
      <w:r w:rsidRPr="00A932DB">
        <w:rPr>
          <w:sz w:val="20"/>
        </w:rPr>
        <w:t xml:space="preserve"> et al., 2015).</w:t>
      </w:r>
    </w:p>
    <w:p w:rsidR="00CF2171" w:rsidRPr="00A932DB" w:rsidRDefault="00CF2171" w:rsidP="008843AE">
      <w:pPr>
        <w:pStyle w:val="NormalWeb"/>
        <w:spacing w:line="276" w:lineRule="auto"/>
        <w:jc w:val="both"/>
        <w:rPr>
          <w:sz w:val="20"/>
        </w:rPr>
      </w:pPr>
    </w:p>
    <w:p w:rsidR="008843AE" w:rsidRPr="00CF2171" w:rsidRDefault="008843AE" w:rsidP="008843AE">
      <w:pPr>
        <w:pStyle w:val="Heading3"/>
        <w:spacing w:line="276" w:lineRule="auto"/>
        <w:jc w:val="both"/>
        <w:rPr>
          <w:b w:val="0"/>
          <w:sz w:val="20"/>
          <w:szCs w:val="20"/>
        </w:rPr>
      </w:pPr>
      <w:r w:rsidRPr="00CF2171">
        <w:rPr>
          <w:rStyle w:val="Strong"/>
          <w:b/>
          <w:sz w:val="20"/>
          <w:szCs w:val="20"/>
        </w:rPr>
        <w:t>Equation for Estimating WTP:</w:t>
      </w:r>
    </w:p>
    <w:p w:rsidR="008843AE" w:rsidRPr="00A932DB" w:rsidRDefault="008843AE" w:rsidP="004C2E17">
      <w:pPr>
        <w:pStyle w:val="NormalWeb"/>
        <w:spacing w:line="480" w:lineRule="auto"/>
        <w:jc w:val="both"/>
        <w:rPr>
          <w:sz w:val="20"/>
          <w:szCs w:val="20"/>
        </w:rPr>
      </w:pPr>
      <w:r w:rsidRPr="00A932DB">
        <w:rPr>
          <w:sz w:val="20"/>
          <w:szCs w:val="20"/>
        </w:rPr>
        <w:t>In general, the WTP can be estimated using a regression model based on survey data. Here’s a simplified representation of the equation:</w:t>
      </w:r>
    </w:p>
    <w:p w:rsidR="008843AE" w:rsidRDefault="008843AE" w:rsidP="004C2E17">
      <w:pPr>
        <w:pStyle w:val="NormalWeb"/>
        <w:numPr>
          <w:ilvl w:val="0"/>
          <w:numId w:val="6"/>
        </w:numPr>
        <w:spacing w:line="480" w:lineRule="auto"/>
        <w:jc w:val="both"/>
        <w:rPr>
          <w:sz w:val="20"/>
          <w:szCs w:val="20"/>
        </w:rPr>
      </w:pPr>
      <w:r w:rsidRPr="00A932DB">
        <w:rPr>
          <w:rStyle w:val="Strong"/>
          <w:sz w:val="20"/>
          <w:szCs w:val="20"/>
        </w:rPr>
        <w:t>WTP as a Function of Risk Reduction:</w:t>
      </w:r>
      <w:r>
        <w:rPr>
          <w:sz w:val="20"/>
          <w:szCs w:val="20"/>
        </w:rPr>
        <w:t xml:space="preserve"> </w:t>
      </w:r>
      <w:r w:rsidRPr="00A932DB">
        <w:rPr>
          <w:sz w:val="20"/>
          <w:szCs w:val="20"/>
        </w:rPr>
        <w:t xml:space="preserve">If </w:t>
      </w:r>
      <w:r>
        <w:rPr>
          <w:sz w:val="20"/>
          <w:szCs w:val="20"/>
        </w:rPr>
        <w:t>‘</w:t>
      </w:r>
      <w:r w:rsidRPr="00A932DB">
        <w:rPr>
          <w:rStyle w:val="katex-mathml"/>
          <w:sz w:val="20"/>
          <w:szCs w:val="20"/>
        </w:rPr>
        <w:t>R</w:t>
      </w:r>
      <w:r>
        <w:rPr>
          <w:rStyle w:val="katex-mathml"/>
          <w:sz w:val="20"/>
          <w:szCs w:val="20"/>
        </w:rPr>
        <w:t xml:space="preserve">’ </w:t>
      </w:r>
      <w:r w:rsidRPr="00A932DB">
        <w:rPr>
          <w:sz w:val="20"/>
          <w:szCs w:val="20"/>
        </w:rPr>
        <w:t>represents the reduction in risk (e.g., probability of an accident), the equation might be:</w:t>
      </w:r>
    </w:p>
    <w:p w:rsidR="008843AE" w:rsidRPr="00E011DA" w:rsidRDefault="008843AE" w:rsidP="008843AE">
      <w:pPr>
        <w:jc w:val="center"/>
        <w:rPr>
          <w:rFonts w:ascii="Times New Roman" w:eastAsia="Times New Roman" w:hAnsi="Times New Roman" w:cs="Times New Roman"/>
          <w:b/>
          <w:sz w:val="28"/>
          <w:szCs w:val="24"/>
          <w:vertAlign w:val="subscript"/>
        </w:rPr>
      </w:pPr>
      <w:proofErr w:type="spellStart"/>
      <w:r w:rsidRPr="00E011DA">
        <w:rPr>
          <w:rStyle w:val="Strong"/>
          <w:rFonts w:ascii="Times New Roman" w:hAnsi="Times New Roman" w:cs="Times New Roman"/>
          <w:sz w:val="28"/>
          <w:szCs w:val="24"/>
        </w:rPr>
        <w:t>WTP</w:t>
      </w:r>
      <w:r w:rsidRPr="00E011DA">
        <w:rPr>
          <w:rStyle w:val="Strong"/>
          <w:rFonts w:ascii="Times New Roman" w:hAnsi="Times New Roman" w:cs="Times New Roman"/>
          <w:sz w:val="28"/>
          <w:szCs w:val="24"/>
          <w:vertAlign w:val="subscript"/>
        </w:rPr>
        <w:t>i</w:t>
      </w:r>
      <w:proofErr w:type="spellEnd"/>
      <w:r w:rsidRPr="00E011DA">
        <w:rPr>
          <w:rStyle w:val="Strong"/>
          <w:rFonts w:ascii="Times New Roman" w:hAnsi="Times New Roman" w:cs="Times New Roman"/>
          <w:sz w:val="28"/>
          <w:szCs w:val="24"/>
        </w:rPr>
        <w:t xml:space="preserve"> = </w:t>
      </w:r>
      <w:r w:rsidRPr="00E011DA">
        <w:rPr>
          <w:rFonts w:ascii="Times New Roman" w:eastAsia="Times New Roman" w:hAnsi="Times New Roman" w:cs="Times New Roman"/>
          <w:b/>
          <w:sz w:val="28"/>
          <w:szCs w:val="24"/>
        </w:rPr>
        <w:t>β</w:t>
      </w:r>
      <w:r w:rsidRPr="00E011DA">
        <w:rPr>
          <w:rFonts w:ascii="Times New Roman" w:eastAsia="Times New Roman" w:hAnsi="Times New Roman" w:cs="Times New Roman"/>
          <w:b/>
          <w:sz w:val="28"/>
          <w:szCs w:val="24"/>
          <w:vertAlign w:val="subscript"/>
        </w:rPr>
        <w:t>0</w:t>
      </w:r>
      <w:r w:rsidRPr="00E011DA">
        <w:rPr>
          <w:rFonts w:ascii="Times New Roman" w:eastAsia="Times New Roman" w:hAnsi="Times New Roman" w:cs="Times New Roman"/>
          <w:b/>
          <w:sz w:val="28"/>
          <w:szCs w:val="24"/>
        </w:rPr>
        <w:t>​+β</w:t>
      </w:r>
      <w:r w:rsidRPr="00E011DA">
        <w:rPr>
          <w:rFonts w:ascii="Times New Roman" w:eastAsia="Times New Roman" w:hAnsi="Times New Roman" w:cs="Times New Roman"/>
          <w:b/>
          <w:sz w:val="28"/>
          <w:szCs w:val="24"/>
          <w:vertAlign w:val="subscript"/>
        </w:rPr>
        <w:t>1</w:t>
      </w:r>
      <w:r w:rsidRPr="00E011DA">
        <w:rPr>
          <w:rFonts w:ascii="Times New Roman" w:eastAsia="Times New Roman" w:hAnsi="Times New Roman" w:cs="Times New Roman"/>
          <w:b/>
          <w:sz w:val="28"/>
          <w:szCs w:val="24"/>
        </w:rPr>
        <w:t>​</w:t>
      </w:r>
      <w:proofErr w:type="spellStart"/>
      <w:proofErr w:type="gramStart"/>
      <w:r w:rsidRPr="00E011DA">
        <w:rPr>
          <w:rFonts w:ascii="Times New Roman" w:eastAsia="Times New Roman" w:hAnsi="Times New Roman" w:cs="Times New Roman"/>
          <w:b/>
          <w:sz w:val="28"/>
          <w:szCs w:val="24"/>
        </w:rPr>
        <w:t>R</w:t>
      </w:r>
      <w:r w:rsidRPr="00E011DA">
        <w:rPr>
          <w:rFonts w:ascii="Times New Roman" w:eastAsia="Times New Roman" w:hAnsi="Times New Roman" w:cs="Times New Roman"/>
          <w:b/>
          <w:sz w:val="28"/>
          <w:szCs w:val="24"/>
          <w:vertAlign w:val="subscript"/>
        </w:rPr>
        <w:t>i</w:t>
      </w:r>
      <w:proofErr w:type="spellEnd"/>
      <w:proofErr w:type="gramEnd"/>
      <w:r w:rsidRPr="00E011DA">
        <w:rPr>
          <w:rFonts w:ascii="Times New Roman" w:eastAsia="Times New Roman" w:hAnsi="Times New Roman" w:cs="Times New Roman"/>
          <w:b/>
          <w:sz w:val="28"/>
          <w:szCs w:val="24"/>
        </w:rPr>
        <w:t>​+</w:t>
      </w:r>
      <w:r w:rsidRPr="00E011DA">
        <w:rPr>
          <w:rFonts w:ascii="Times New Roman" w:eastAsia="Times New Roman" w:hAnsi="Times New Roman" w:cs="Times New Roman"/>
          <w:b/>
          <w:sz w:val="40"/>
          <w:szCs w:val="24"/>
        </w:rPr>
        <w:t>ϵ</w:t>
      </w:r>
      <w:proofErr w:type="spellStart"/>
      <w:r w:rsidRPr="00E011DA">
        <w:rPr>
          <w:rFonts w:ascii="Times New Roman" w:eastAsia="Times New Roman" w:hAnsi="Times New Roman" w:cs="Times New Roman"/>
          <w:b/>
          <w:sz w:val="28"/>
          <w:szCs w:val="24"/>
          <w:vertAlign w:val="subscript"/>
        </w:rPr>
        <w:t>i</w:t>
      </w:r>
      <w:proofErr w:type="spellEnd"/>
      <w:r w:rsidRPr="00E011DA">
        <w:rPr>
          <w:rFonts w:ascii="Times New Roman" w:eastAsia="Times New Roman" w:hAnsi="Times New Roman" w:cs="Times New Roman"/>
          <w:b/>
          <w:sz w:val="28"/>
          <w:szCs w:val="24"/>
          <w:vertAlign w:val="subscript"/>
        </w:rPr>
        <w:t>​</w:t>
      </w:r>
      <w:r w:rsidRPr="00E011DA">
        <w:rPr>
          <w:rFonts w:ascii="Times New Roman" w:eastAsia="Times New Roman" w:hAnsi="Times New Roman" w:cs="Times New Roman"/>
          <w:b/>
          <w:sz w:val="28"/>
          <w:szCs w:val="24"/>
          <w:vertAlign w:val="subscript"/>
        </w:rPr>
        <w:tab/>
        <w:t>-     (1)</w:t>
      </w:r>
    </w:p>
    <w:p w:rsidR="008843AE" w:rsidRPr="0027074C" w:rsidRDefault="008843AE" w:rsidP="008843AE">
      <w:pPr>
        <w:spacing w:before="100" w:beforeAutospacing="1" w:after="100" w:afterAutospacing="1" w:line="240" w:lineRule="auto"/>
        <w:rPr>
          <w:rFonts w:ascii="Times New Roman" w:eastAsia="Times New Roman" w:hAnsi="Times New Roman" w:cs="Times New Roman"/>
          <w:sz w:val="20"/>
          <w:szCs w:val="24"/>
        </w:rPr>
      </w:pPr>
      <w:r w:rsidRPr="0027074C">
        <w:rPr>
          <w:rFonts w:ascii="Times New Roman" w:eastAsia="Times New Roman" w:hAnsi="Times New Roman" w:cs="Times New Roman"/>
          <w:sz w:val="20"/>
          <w:szCs w:val="24"/>
        </w:rPr>
        <w:t>Where:</w:t>
      </w:r>
    </w:p>
    <w:p w:rsidR="008843AE" w:rsidRPr="0027074C" w:rsidRDefault="008843AE" w:rsidP="004C2E17">
      <w:pPr>
        <w:numPr>
          <w:ilvl w:val="0"/>
          <w:numId w:val="7"/>
        </w:numPr>
        <w:spacing w:before="100" w:beforeAutospacing="1" w:after="100" w:afterAutospacing="1" w:line="480" w:lineRule="auto"/>
        <w:rPr>
          <w:rFonts w:ascii="Times New Roman" w:eastAsia="Times New Roman" w:hAnsi="Times New Roman" w:cs="Times New Roman"/>
          <w:sz w:val="20"/>
          <w:szCs w:val="24"/>
        </w:rPr>
      </w:pPr>
      <w:proofErr w:type="spellStart"/>
      <w:r w:rsidRPr="0027074C">
        <w:rPr>
          <w:rFonts w:ascii="Times New Roman" w:eastAsia="Times New Roman" w:hAnsi="Times New Roman" w:cs="Times New Roman"/>
          <w:sz w:val="20"/>
          <w:szCs w:val="24"/>
        </w:rPr>
        <w:t>WTP</w:t>
      </w:r>
      <w:r w:rsidRPr="0027074C">
        <w:rPr>
          <w:rFonts w:ascii="Times New Roman" w:eastAsia="Times New Roman" w:hAnsi="Times New Roman" w:cs="Times New Roman"/>
          <w:sz w:val="20"/>
          <w:szCs w:val="24"/>
          <w:vertAlign w:val="subscript"/>
        </w:rPr>
        <w:t>i</w:t>
      </w:r>
      <w:proofErr w:type="spellEnd"/>
      <w:r w:rsidRPr="0027074C">
        <w:rPr>
          <w:rFonts w:ascii="Times New Roman" w:eastAsia="Times New Roman" w:hAnsi="Times New Roman" w:cs="Times New Roman"/>
          <w:sz w:val="20"/>
          <w:szCs w:val="24"/>
          <w:vertAlign w:val="subscript"/>
        </w:rPr>
        <w:t>​</w:t>
      </w:r>
      <w:r w:rsidRPr="0027074C">
        <w:rPr>
          <w:rFonts w:ascii="Times New Roman" w:eastAsia="Times New Roman" w:hAnsi="Times New Roman" w:cs="Times New Roman"/>
          <w:sz w:val="20"/>
          <w:szCs w:val="24"/>
        </w:rPr>
        <w:t xml:space="preserve">  is t</w:t>
      </w:r>
      <w:r>
        <w:rPr>
          <w:rFonts w:ascii="Times New Roman" w:eastAsia="Times New Roman" w:hAnsi="Times New Roman" w:cs="Times New Roman"/>
          <w:sz w:val="20"/>
          <w:szCs w:val="24"/>
        </w:rPr>
        <w:t xml:space="preserve">he willingness to pay for the </w:t>
      </w:r>
      <w:proofErr w:type="spellStart"/>
      <w:r>
        <w:rPr>
          <w:rFonts w:ascii="Times New Roman" w:eastAsia="Times New Roman" w:hAnsi="Times New Roman" w:cs="Times New Roman"/>
          <w:sz w:val="20"/>
          <w:szCs w:val="24"/>
        </w:rPr>
        <w:t>i</w:t>
      </w:r>
      <w:r w:rsidRPr="00BE7D19">
        <w:rPr>
          <w:rFonts w:ascii="Times New Roman" w:eastAsia="Times New Roman" w:hAnsi="Times New Roman" w:cs="Times New Roman"/>
          <w:sz w:val="20"/>
          <w:szCs w:val="24"/>
          <w:vertAlign w:val="superscript"/>
        </w:rPr>
        <w:t>th</w:t>
      </w:r>
      <w:proofErr w:type="spellEnd"/>
      <w:r w:rsidRPr="0027074C">
        <w:rPr>
          <w:rFonts w:ascii="Times New Roman" w:eastAsia="Times New Roman" w:hAnsi="Times New Roman" w:cs="Times New Roman"/>
          <w:sz w:val="20"/>
          <w:szCs w:val="24"/>
        </w:rPr>
        <w:t xml:space="preserve"> respondent.</w:t>
      </w:r>
    </w:p>
    <w:p w:rsidR="008843AE" w:rsidRPr="0027074C" w:rsidRDefault="008843AE" w:rsidP="004C2E17">
      <w:pPr>
        <w:numPr>
          <w:ilvl w:val="0"/>
          <w:numId w:val="7"/>
        </w:numPr>
        <w:spacing w:before="100" w:beforeAutospacing="1" w:after="100" w:afterAutospacing="1" w:line="480" w:lineRule="auto"/>
        <w:rPr>
          <w:rFonts w:ascii="Times New Roman" w:eastAsia="Times New Roman" w:hAnsi="Times New Roman" w:cs="Times New Roman"/>
          <w:sz w:val="20"/>
          <w:szCs w:val="24"/>
        </w:rPr>
      </w:pPr>
      <w:proofErr w:type="spellStart"/>
      <w:proofErr w:type="gramStart"/>
      <w:r w:rsidRPr="0027074C">
        <w:rPr>
          <w:rFonts w:ascii="Times New Roman" w:eastAsia="Times New Roman" w:hAnsi="Times New Roman" w:cs="Times New Roman"/>
          <w:sz w:val="20"/>
          <w:szCs w:val="24"/>
        </w:rPr>
        <w:t>R</w:t>
      </w:r>
      <w:r w:rsidRPr="0027074C">
        <w:rPr>
          <w:rFonts w:ascii="Times New Roman" w:eastAsia="Times New Roman" w:hAnsi="Times New Roman" w:cs="Times New Roman"/>
          <w:sz w:val="20"/>
          <w:szCs w:val="24"/>
          <w:vertAlign w:val="subscript"/>
        </w:rPr>
        <w:t>i</w:t>
      </w:r>
      <w:proofErr w:type="spellEnd"/>
      <w:proofErr w:type="gramEnd"/>
      <w:r w:rsidRPr="0027074C">
        <w:rPr>
          <w:rFonts w:ascii="Times New Roman" w:eastAsia="Times New Roman" w:hAnsi="Times New Roman" w:cs="Times New Roman"/>
          <w:sz w:val="20"/>
          <w:szCs w:val="24"/>
          <w:vertAlign w:val="subscript"/>
        </w:rPr>
        <w:t>​</w:t>
      </w:r>
      <w:r w:rsidRPr="0027074C">
        <w:rPr>
          <w:rFonts w:ascii="Times New Roman" w:eastAsia="Times New Roman" w:hAnsi="Times New Roman" w:cs="Times New Roman"/>
          <w:sz w:val="20"/>
          <w:szCs w:val="24"/>
        </w:rPr>
        <w:t xml:space="preserve">  is the risk reduction that the respondent is asked to pay for.</w:t>
      </w:r>
    </w:p>
    <w:p w:rsidR="008843AE" w:rsidRPr="0027074C" w:rsidRDefault="008843AE" w:rsidP="004C2E17">
      <w:pPr>
        <w:numPr>
          <w:ilvl w:val="0"/>
          <w:numId w:val="7"/>
        </w:numPr>
        <w:spacing w:before="100" w:beforeAutospacing="1" w:after="100" w:afterAutospacing="1" w:line="480" w:lineRule="auto"/>
        <w:rPr>
          <w:rFonts w:ascii="Times New Roman" w:eastAsia="Times New Roman" w:hAnsi="Times New Roman" w:cs="Times New Roman"/>
          <w:sz w:val="20"/>
          <w:szCs w:val="24"/>
        </w:rPr>
      </w:pPr>
      <w:proofErr w:type="gramStart"/>
      <w:r w:rsidRPr="0027074C">
        <w:rPr>
          <w:rFonts w:ascii="Times New Roman" w:eastAsia="Times New Roman" w:hAnsi="Times New Roman" w:cs="Times New Roman"/>
          <w:sz w:val="20"/>
          <w:szCs w:val="24"/>
        </w:rPr>
        <w:t>β</w:t>
      </w:r>
      <w:r w:rsidRPr="0027074C">
        <w:rPr>
          <w:rFonts w:ascii="Times New Roman" w:eastAsia="Times New Roman" w:hAnsi="Times New Roman" w:cs="Times New Roman"/>
          <w:sz w:val="20"/>
          <w:szCs w:val="24"/>
          <w:vertAlign w:val="subscript"/>
        </w:rPr>
        <w:t>0</w:t>
      </w:r>
      <w:proofErr w:type="gramEnd"/>
      <w:r w:rsidRPr="0027074C">
        <w:rPr>
          <w:rFonts w:ascii="Times New Roman" w:eastAsia="Times New Roman" w:hAnsi="Times New Roman" w:cs="Times New Roman"/>
          <w:sz w:val="20"/>
          <w:szCs w:val="24"/>
        </w:rPr>
        <w:t>​  is the constant term.</w:t>
      </w:r>
    </w:p>
    <w:p w:rsidR="008843AE" w:rsidRPr="0027074C" w:rsidRDefault="008843AE" w:rsidP="004C2E17">
      <w:pPr>
        <w:numPr>
          <w:ilvl w:val="0"/>
          <w:numId w:val="7"/>
        </w:numPr>
        <w:spacing w:before="100" w:beforeAutospacing="1" w:after="100" w:afterAutospacing="1" w:line="480" w:lineRule="auto"/>
        <w:rPr>
          <w:rFonts w:ascii="Times New Roman" w:eastAsia="Times New Roman" w:hAnsi="Times New Roman" w:cs="Times New Roman"/>
          <w:sz w:val="20"/>
          <w:szCs w:val="24"/>
        </w:rPr>
      </w:pPr>
      <w:proofErr w:type="gramStart"/>
      <w:r w:rsidRPr="0027074C">
        <w:rPr>
          <w:rFonts w:ascii="Times New Roman" w:eastAsia="Times New Roman" w:hAnsi="Times New Roman" w:cs="Times New Roman"/>
          <w:sz w:val="20"/>
          <w:szCs w:val="24"/>
        </w:rPr>
        <w:t>β</w:t>
      </w:r>
      <w:r w:rsidRPr="0027074C">
        <w:rPr>
          <w:rFonts w:ascii="Times New Roman" w:eastAsia="Times New Roman" w:hAnsi="Times New Roman" w:cs="Times New Roman"/>
          <w:sz w:val="20"/>
          <w:szCs w:val="24"/>
          <w:vertAlign w:val="subscript"/>
        </w:rPr>
        <w:t>1</w:t>
      </w:r>
      <w:proofErr w:type="gramEnd"/>
      <w:r w:rsidRPr="0027074C">
        <w:rPr>
          <w:rFonts w:ascii="Times New Roman" w:eastAsia="Times New Roman" w:hAnsi="Times New Roman" w:cs="Times New Roman"/>
          <w:sz w:val="20"/>
          <w:szCs w:val="24"/>
        </w:rPr>
        <w:t xml:space="preserve"> ​ represents the change in WTP for a unit change in risk reduction.</w:t>
      </w:r>
    </w:p>
    <w:p w:rsidR="008843AE" w:rsidRPr="00BE7D19" w:rsidRDefault="008843AE" w:rsidP="004C2E17">
      <w:pPr>
        <w:numPr>
          <w:ilvl w:val="0"/>
          <w:numId w:val="7"/>
        </w:numPr>
        <w:spacing w:before="100" w:beforeAutospacing="1" w:after="100" w:afterAutospacing="1" w:line="480" w:lineRule="auto"/>
        <w:rPr>
          <w:rFonts w:ascii="Times New Roman" w:eastAsia="Times New Roman" w:hAnsi="Times New Roman" w:cs="Times New Roman"/>
          <w:sz w:val="20"/>
          <w:szCs w:val="24"/>
        </w:rPr>
      </w:pPr>
      <w:r w:rsidRPr="0027074C">
        <w:rPr>
          <w:rFonts w:ascii="Times New Roman" w:eastAsia="Times New Roman" w:hAnsi="Times New Roman" w:cs="Times New Roman"/>
          <w:sz w:val="20"/>
          <w:szCs w:val="24"/>
        </w:rPr>
        <w:t>ϵ</w:t>
      </w:r>
      <w:proofErr w:type="spellStart"/>
      <w:r w:rsidRPr="0027074C">
        <w:rPr>
          <w:rFonts w:ascii="Times New Roman" w:eastAsia="Times New Roman" w:hAnsi="Times New Roman" w:cs="Times New Roman"/>
          <w:sz w:val="20"/>
          <w:szCs w:val="24"/>
          <w:vertAlign w:val="subscript"/>
        </w:rPr>
        <w:t>i</w:t>
      </w:r>
      <w:proofErr w:type="spellEnd"/>
      <w:r>
        <w:rPr>
          <w:rFonts w:ascii="Times New Roman" w:eastAsia="Times New Roman" w:hAnsi="Times New Roman" w:cs="Times New Roman"/>
          <w:sz w:val="20"/>
          <w:szCs w:val="24"/>
        </w:rPr>
        <w:t xml:space="preserve">​  is the error term for the </w:t>
      </w:r>
      <w:proofErr w:type="spellStart"/>
      <w:r>
        <w:rPr>
          <w:rFonts w:ascii="Times New Roman" w:eastAsia="Times New Roman" w:hAnsi="Times New Roman" w:cs="Times New Roman"/>
          <w:sz w:val="20"/>
          <w:szCs w:val="24"/>
        </w:rPr>
        <w:t>i</w:t>
      </w:r>
      <w:r w:rsidRPr="007F759E">
        <w:rPr>
          <w:rFonts w:ascii="Times New Roman" w:eastAsia="Times New Roman" w:hAnsi="Times New Roman" w:cs="Times New Roman"/>
          <w:sz w:val="20"/>
          <w:szCs w:val="24"/>
          <w:vertAlign w:val="superscript"/>
        </w:rPr>
        <w:t>th</w:t>
      </w:r>
      <w:proofErr w:type="spellEnd"/>
      <w:r w:rsidRPr="0027074C">
        <w:rPr>
          <w:rFonts w:ascii="Times New Roman" w:eastAsia="Times New Roman" w:hAnsi="Times New Roman" w:cs="Times New Roman"/>
          <w:sz w:val="20"/>
          <w:szCs w:val="24"/>
        </w:rPr>
        <w:t xml:space="preserve"> respondent.</w:t>
      </w:r>
    </w:p>
    <w:p w:rsidR="008843AE" w:rsidRPr="0084512E" w:rsidRDefault="008843AE" w:rsidP="008843AE">
      <w:pPr>
        <w:pStyle w:val="ListParagraph"/>
        <w:numPr>
          <w:ilvl w:val="0"/>
          <w:numId w:val="21"/>
        </w:numPr>
        <w:rPr>
          <w:rFonts w:ascii="Times New Roman" w:hAnsi="Times New Roman" w:cs="Times New Roman"/>
          <w:b/>
          <w:iCs/>
          <w:sz w:val="24"/>
          <w:szCs w:val="24"/>
        </w:rPr>
      </w:pPr>
      <w:r w:rsidRPr="0084512E">
        <w:rPr>
          <w:rFonts w:ascii="Times New Roman" w:hAnsi="Times New Roman" w:cs="Times New Roman"/>
          <w:b/>
          <w:iCs/>
          <w:sz w:val="24"/>
          <w:szCs w:val="24"/>
        </w:rPr>
        <w:t>Human Capital or GDP Method</w:t>
      </w:r>
    </w:p>
    <w:p w:rsidR="008843AE" w:rsidRPr="00931E8E" w:rsidRDefault="008843AE" w:rsidP="004C2E17">
      <w:pPr>
        <w:pStyle w:val="NormalWeb"/>
        <w:spacing w:line="480" w:lineRule="auto"/>
        <w:jc w:val="both"/>
        <w:rPr>
          <w:color w:val="00B050"/>
          <w:sz w:val="20"/>
          <w:szCs w:val="20"/>
        </w:rPr>
      </w:pPr>
      <w:r w:rsidRPr="00931E8E">
        <w:rPr>
          <w:color w:val="00B050"/>
          <w:sz w:val="20"/>
          <w:szCs w:val="20"/>
        </w:rPr>
        <w:t xml:space="preserve">The human capital method measures the economic losses to households and workplaces resulting from death or injury. It quantifies the value lost in terms of reduced economic productivity due to the inability to work, earn income, or contribute to household activities. This approach is based on the estimated production potential of the deceased or disabled individual over their lifetime had the road crash not occurred. The value in this method is typically calculated using economic indicators such as average monthly or weekly earnings and life expectancy. The cost is represented by the crash-related loss of future productivity. However, some researchers mistakenly include hospital costs, property damages, administrative expenses, and non-monetary costs within the human capital approach, when in reality, these aspects fall under the restitution costs approach. </w:t>
      </w:r>
      <w:r w:rsidRPr="00931E8E">
        <w:rPr>
          <w:color w:val="00B050"/>
          <w:sz w:val="20"/>
        </w:rPr>
        <w:t>The Human Capital Method estimates the economic costs of road traffic crashes based on the value of lost productivity due to fatalities, injuries, and disability. It considers both direct and indirect costs.</w:t>
      </w:r>
    </w:p>
    <w:p w:rsidR="008843AE" w:rsidRPr="00C7160D" w:rsidRDefault="008843AE" w:rsidP="004C2E17">
      <w:pPr>
        <w:pStyle w:val="NoSpacing"/>
        <w:numPr>
          <w:ilvl w:val="0"/>
          <w:numId w:val="8"/>
        </w:numPr>
        <w:spacing w:line="480" w:lineRule="auto"/>
        <w:jc w:val="both"/>
        <w:rPr>
          <w:rFonts w:ascii="Times New Roman" w:hAnsi="Times New Roman" w:cs="Times New Roman"/>
          <w:b/>
          <w:sz w:val="20"/>
        </w:rPr>
      </w:pPr>
      <w:r w:rsidRPr="00C7160D">
        <w:rPr>
          <w:rFonts w:ascii="Times New Roman" w:hAnsi="Times New Roman" w:cs="Times New Roman"/>
          <w:b/>
          <w:sz w:val="20"/>
        </w:rPr>
        <w:t>Direct</w:t>
      </w:r>
      <w:r w:rsidRPr="00C7160D">
        <w:rPr>
          <w:rFonts w:ascii="Times New Roman" w:hAnsi="Times New Roman" w:cs="Times New Roman"/>
          <w:b/>
          <w:bCs/>
          <w:sz w:val="20"/>
        </w:rPr>
        <w:t xml:space="preserve"> Costs:</w:t>
      </w:r>
    </w:p>
    <w:p w:rsidR="008843AE" w:rsidRPr="00AF2A7F" w:rsidRDefault="008843AE" w:rsidP="004C2E17">
      <w:pPr>
        <w:pStyle w:val="NoSpacing"/>
        <w:numPr>
          <w:ilvl w:val="0"/>
          <w:numId w:val="2"/>
        </w:numPr>
        <w:spacing w:line="480" w:lineRule="auto"/>
        <w:jc w:val="both"/>
        <w:rPr>
          <w:rFonts w:ascii="Times New Roman" w:hAnsi="Times New Roman" w:cs="Times New Roman"/>
          <w:sz w:val="20"/>
        </w:rPr>
      </w:pPr>
      <w:r w:rsidRPr="00AF2A7F">
        <w:rPr>
          <w:rFonts w:ascii="Times New Roman" w:hAnsi="Times New Roman" w:cs="Times New Roman"/>
          <w:sz w:val="20"/>
        </w:rPr>
        <w:t>Medical expenses (hospitalization, rehabilitation, emergency services)</w:t>
      </w:r>
    </w:p>
    <w:p w:rsidR="008843AE" w:rsidRPr="00AF2A7F" w:rsidRDefault="008843AE" w:rsidP="004C2E17">
      <w:pPr>
        <w:pStyle w:val="NoSpacing"/>
        <w:numPr>
          <w:ilvl w:val="0"/>
          <w:numId w:val="2"/>
        </w:numPr>
        <w:spacing w:line="480" w:lineRule="auto"/>
        <w:jc w:val="both"/>
        <w:rPr>
          <w:rFonts w:ascii="Times New Roman" w:hAnsi="Times New Roman" w:cs="Times New Roman"/>
          <w:sz w:val="20"/>
        </w:rPr>
      </w:pPr>
      <w:r w:rsidRPr="00AF2A7F">
        <w:rPr>
          <w:rFonts w:ascii="Times New Roman" w:hAnsi="Times New Roman" w:cs="Times New Roman"/>
          <w:sz w:val="20"/>
        </w:rPr>
        <w:t>Property damage (vehicles, infrastructure)</w:t>
      </w:r>
    </w:p>
    <w:p w:rsidR="008843AE" w:rsidRDefault="008843AE" w:rsidP="004C2E17">
      <w:pPr>
        <w:pStyle w:val="NoSpacing"/>
        <w:numPr>
          <w:ilvl w:val="0"/>
          <w:numId w:val="2"/>
        </w:numPr>
        <w:spacing w:line="480" w:lineRule="auto"/>
        <w:jc w:val="both"/>
        <w:rPr>
          <w:rFonts w:ascii="Times New Roman" w:hAnsi="Times New Roman" w:cs="Times New Roman"/>
          <w:sz w:val="20"/>
        </w:rPr>
      </w:pPr>
      <w:r w:rsidRPr="00AF2A7F">
        <w:rPr>
          <w:rFonts w:ascii="Times New Roman" w:hAnsi="Times New Roman" w:cs="Times New Roman"/>
          <w:sz w:val="20"/>
        </w:rPr>
        <w:t>Legal and administrative costs (insurance, legal proceedings)</w:t>
      </w:r>
    </w:p>
    <w:p w:rsidR="008843AE" w:rsidRPr="00C7160D" w:rsidRDefault="008843AE" w:rsidP="004C2E17">
      <w:pPr>
        <w:pStyle w:val="NoSpacing"/>
        <w:numPr>
          <w:ilvl w:val="0"/>
          <w:numId w:val="8"/>
        </w:numPr>
        <w:spacing w:line="480" w:lineRule="auto"/>
        <w:jc w:val="both"/>
        <w:rPr>
          <w:rFonts w:ascii="Times New Roman" w:hAnsi="Times New Roman" w:cs="Times New Roman"/>
          <w:b/>
          <w:sz w:val="20"/>
        </w:rPr>
      </w:pPr>
      <w:r w:rsidRPr="00C7160D">
        <w:rPr>
          <w:rFonts w:ascii="Times New Roman" w:hAnsi="Times New Roman" w:cs="Times New Roman"/>
          <w:b/>
          <w:sz w:val="20"/>
        </w:rPr>
        <w:t>Indirect Cost</w:t>
      </w:r>
    </w:p>
    <w:p w:rsidR="008843AE" w:rsidRDefault="008843AE" w:rsidP="004C2E17">
      <w:pPr>
        <w:pStyle w:val="NoSpacing"/>
        <w:numPr>
          <w:ilvl w:val="0"/>
          <w:numId w:val="2"/>
        </w:numPr>
        <w:spacing w:line="480" w:lineRule="auto"/>
        <w:jc w:val="both"/>
        <w:rPr>
          <w:rFonts w:ascii="Times New Roman" w:hAnsi="Times New Roman" w:cs="Times New Roman"/>
          <w:sz w:val="20"/>
        </w:rPr>
      </w:pPr>
      <w:r w:rsidRPr="00C7160D">
        <w:rPr>
          <w:rFonts w:ascii="Times New Roman" w:hAnsi="Times New Roman" w:cs="Times New Roman"/>
          <w:sz w:val="20"/>
        </w:rPr>
        <w:t>Loss of current and future earnings due to death, disability, or injury</w:t>
      </w:r>
    </w:p>
    <w:p w:rsidR="008843AE" w:rsidRDefault="008843AE" w:rsidP="004C2E17">
      <w:pPr>
        <w:pStyle w:val="NoSpacing"/>
        <w:numPr>
          <w:ilvl w:val="0"/>
          <w:numId w:val="2"/>
        </w:numPr>
        <w:spacing w:line="480" w:lineRule="auto"/>
        <w:jc w:val="both"/>
        <w:rPr>
          <w:rFonts w:ascii="Times New Roman" w:hAnsi="Times New Roman" w:cs="Times New Roman"/>
          <w:sz w:val="20"/>
        </w:rPr>
      </w:pPr>
      <w:r w:rsidRPr="00C7160D">
        <w:rPr>
          <w:rFonts w:ascii="Times New Roman" w:hAnsi="Times New Roman" w:cs="Times New Roman"/>
          <w:sz w:val="20"/>
        </w:rPr>
        <w:t>Productivity losses (temporary or permanent inability to work)</w:t>
      </w:r>
    </w:p>
    <w:p w:rsidR="008843AE" w:rsidRDefault="008843AE" w:rsidP="004C2E17">
      <w:pPr>
        <w:pStyle w:val="NoSpacing"/>
        <w:numPr>
          <w:ilvl w:val="0"/>
          <w:numId w:val="2"/>
        </w:numPr>
        <w:spacing w:line="480" w:lineRule="auto"/>
        <w:jc w:val="both"/>
        <w:rPr>
          <w:rFonts w:ascii="Times New Roman" w:hAnsi="Times New Roman" w:cs="Times New Roman"/>
          <w:sz w:val="20"/>
        </w:rPr>
      </w:pPr>
      <w:r w:rsidRPr="00C7160D">
        <w:rPr>
          <w:rFonts w:ascii="Times New Roman" w:hAnsi="Times New Roman" w:cs="Times New Roman"/>
          <w:sz w:val="20"/>
        </w:rPr>
        <w:t>Costs associated with the loss of human capital (skills, experience)</w:t>
      </w:r>
    </w:p>
    <w:p w:rsidR="008843AE" w:rsidRPr="00C7160D" w:rsidRDefault="008843AE" w:rsidP="004C2E17">
      <w:pPr>
        <w:pStyle w:val="NoSpacing"/>
        <w:spacing w:line="480" w:lineRule="auto"/>
        <w:ind w:left="720"/>
        <w:jc w:val="both"/>
        <w:rPr>
          <w:rFonts w:ascii="Times New Roman" w:hAnsi="Times New Roman" w:cs="Times New Roman"/>
          <w:sz w:val="20"/>
        </w:rPr>
      </w:pPr>
    </w:p>
    <w:p w:rsidR="008843AE" w:rsidRDefault="008843AE" w:rsidP="004C2E17">
      <w:pPr>
        <w:pStyle w:val="NormalWeb"/>
        <w:spacing w:line="480" w:lineRule="auto"/>
        <w:jc w:val="both"/>
        <w:rPr>
          <w:sz w:val="20"/>
        </w:rPr>
      </w:pPr>
      <w:r w:rsidRPr="00C7160D">
        <w:rPr>
          <w:sz w:val="20"/>
        </w:rPr>
        <w:t>The Human Capital Method can be represented by the following formula:</w:t>
      </w:r>
    </w:p>
    <w:p w:rsidR="008843AE" w:rsidRPr="00E011DA" w:rsidRDefault="008843AE" w:rsidP="004C2E17">
      <w:pPr>
        <w:pStyle w:val="NormalWeb"/>
        <w:spacing w:line="480" w:lineRule="auto"/>
        <w:jc w:val="center"/>
        <w:rPr>
          <w:rStyle w:val="mclose"/>
          <w:b/>
          <w:sz w:val="20"/>
        </w:rPr>
      </w:pPr>
      <w:r w:rsidRPr="00E011DA">
        <w:rPr>
          <w:b/>
          <w:sz w:val="20"/>
        </w:rPr>
        <w:t>Cost of Road Traffic Crash = ∑</w:t>
      </w:r>
      <w:r w:rsidRPr="00E011DA">
        <w:rPr>
          <w:rStyle w:val="mopen"/>
          <w:b/>
          <w:sz w:val="20"/>
        </w:rPr>
        <w:t xml:space="preserve"> (</w:t>
      </w:r>
      <w:r w:rsidRPr="00E011DA">
        <w:rPr>
          <w:rStyle w:val="mord"/>
          <w:b/>
          <w:sz w:val="20"/>
        </w:rPr>
        <w:t>Direct Costs + Indirect Costs</w:t>
      </w:r>
      <w:r w:rsidRPr="00E011DA">
        <w:rPr>
          <w:rStyle w:val="mclose"/>
          <w:b/>
          <w:sz w:val="20"/>
        </w:rPr>
        <w:t>)                     -                  (2)</w:t>
      </w:r>
    </w:p>
    <w:p w:rsidR="008843AE" w:rsidRPr="00C7160D" w:rsidRDefault="008843AE" w:rsidP="004C2E17">
      <w:pPr>
        <w:spacing w:before="100" w:beforeAutospacing="1" w:after="100" w:afterAutospacing="1" w:line="480" w:lineRule="auto"/>
        <w:rPr>
          <w:rFonts w:ascii="Times New Roman" w:eastAsia="Times New Roman" w:hAnsi="Times New Roman" w:cs="Times New Roman"/>
          <w:sz w:val="20"/>
          <w:szCs w:val="24"/>
        </w:rPr>
      </w:pPr>
      <w:r w:rsidRPr="00C7160D">
        <w:rPr>
          <w:rFonts w:ascii="Times New Roman" w:eastAsia="Times New Roman" w:hAnsi="Times New Roman" w:cs="Times New Roman"/>
          <w:sz w:val="20"/>
          <w:szCs w:val="24"/>
        </w:rPr>
        <w:t>Where:</w:t>
      </w:r>
    </w:p>
    <w:p w:rsidR="008843AE" w:rsidRPr="00C7160D" w:rsidRDefault="008843AE" w:rsidP="004C2E17">
      <w:pPr>
        <w:numPr>
          <w:ilvl w:val="0"/>
          <w:numId w:val="9"/>
        </w:numPr>
        <w:spacing w:before="100" w:beforeAutospacing="1" w:after="100" w:afterAutospacing="1" w:line="480" w:lineRule="auto"/>
        <w:rPr>
          <w:rFonts w:ascii="Times New Roman" w:eastAsia="Times New Roman" w:hAnsi="Times New Roman" w:cs="Times New Roman"/>
          <w:sz w:val="20"/>
          <w:szCs w:val="24"/>
        </w:rPr>
      </w:pPr>
      <w:r w:rsidRPr="00C7160D">
        <w:rPr>
          <w:rFonts w:ascii="Times New Roman" w:eastAsia="Times New Roman" w:hAnsi="Times New Roman" w:cs="Times New Roman"/>
          <w:b/>
          <w:bCs/>
          <w:sz w:val="20"/>
          <w:szCs w:val="24"/>
        </w:rPr>
        <w:t>Direct Costs</w:t>
      </w:r>
      <w:r w:rsidRPr="00C7160D">
        <w:rPr>
          <w:rFonts w:ascii="Times New Roman" w:eastAsia="Times New Roman" w:hAnsi="Times New Roman" w:cs="Times New Roman"/>
          <w:sz w:val="20"/>
          <w:szCs w:val="24"/>
        </w:rPr>
        <w:t xml:space="preserve"> include immediate expenses like medical treatment and property damage.</w:t>
      </w:r>
    </w:p>
    <w:p w:rsidR="008843AE" w:rsidRPr="00C7160D" w:rsidRDefault="008843AE" w:rsidP="004C2E17">
      <w:pPr>
        <w:numPr>
          <w:ilvl w:val="0"/>
          <w:numId w:val="9"/>
        </w:numPr>
        <w:spacing w:before="100" w:beforeAutospacing="1" w:after="100" w:afterAutospacing="1" w:line="480" w:lineRule="auto"/>
        <w:rPr>
          <w:rFonts w:ascii="Times New Roman" w:eastAsia="Times New Roman" w:hAnsi="Times New Roman" w:cs="Times New Roman"/>
          <w:sz w:val="20"/>
          <w:szCs w:val="24"/>
        </w:rPr>
      </w:pPr>
      <w:r w:rsidRPr="00C7160D">
        <w:rPr>
          <w:rFonts w:ascii="Times New Roman" w:eastAsia="Times New Roman" w:hAnsi="Times New Roman" w:cs="Times New Roman"/>
          <w:b/>
          <w:bCs/>
          <w:sz w:val="20"/>
          <w:szCs w:val="24"/>
        </w:rPr>
        <w:t>Indirect Costs</w:t>
      </w:r>
      <w:r w:rsidRPr="00C7160D">
        <w:rPr>
          <w:rFonts w:ascii="Times New Roman" w:eastAsia="Times New Roman" w:hAnsi="Times New Roman" w:cs="Times New Roman"/>
          <w:sz w:val="20"/>
          <w:szCs w:val="24"/>
        </w:rPr>
        <w:t xml:space="preserve"> include loss of productivity, lost future income, and other intangible losses due to injury or death.</w:t>
      </w:r>
    </w:p>
    <w:p w:rsidR="008843AE" w:rsidRPr="00882BD4" w:rsidRDefault="008843AE" w:rsidP="004C2E17">
      <w:pPr>
        <w:spacing w:before="100" w:beforeAutospacing="1" w:after="100" w:afterAutospacing="1" w:line="480" w:lineRule="auto"/>
        <w:jc w:val="both"/>
        <w:rPr>
          <w:rFonts w:ascii="Times New Roman" w:eastAsia="Times New Roman" w:hAnsi="Times New Roman" w:cs="Times New Roman"/>
          <w:sz w:val="20"/>
          <w:szCs w:val="24"/>
        </w:rPr>
      </w:pPr>
      <w:r w:rsidRPr="00C7160D">
        <w:rPr>
          <w:rFonts w:ascii="Times New Roman" w:eastAsia="Times New Roman" w:hAnsi="Times New Roman" w:cs="Times New Roman"/>
          <w:sz w:val="20"/>
          <w:szCs w:val="24"/>
        </w:rPr>
        <w:t>The method calculates the present value of lost future income by discounting future earnings to account for the time value of money. It may also include the costs of pain, suffering, and reduced quality of life.</w:t>
      </w:r>
      <w:r w:rsidRPr="00882BD4">
        <w:rPr>
          <w:rFonts w:ascii="Times New Roman" w:eastAsia="Times New Roman" w:hAnsi="Times New Roman" w:cs="Times New Roman"/>
          <w:sz w:val="20"/>
          <w:szCs w:val="24"/>
        </w:rPr>
        <w:t xml:space="preserve"> </w:t>
      </w:r>
      <w:r w:rsidRPr="00882BD4">
        <w:rPr>
          <w:rFonts w:ascii="Times New Roman" w:hAnsi="Times New Roman" w:cs="Times New Roman"/>
          <w:sz w:val="20"/>
        </w:rPr>
        <w:t>Although the willingness-to-pay and human capital approaches are the most commonly used methods, it is crucial to emphasize that socio-economic cost estimation often requires integrating multiple methodologies. These two approaches, while frequently compared, have distinct differences and limitations.</w:t>
      </w:r>
    </w:p>
    <w:p w:rsidR="008843AE" w:rsidRDefault="008843AE" w:rsidP="004C2E17">
      <w:pPr>
        <w:pStyle w:val="NormalWeb"/>
        <w:spacing w:line="480" w:lineRule="auto"/>
        <w:jc w:val="both"/>
        <w:rPr>
          <w:sz w:val="20"/>
        </w:rPr>
      </w:pPr>
      <w:r w:rsidRPr="00C7160D">
        <w:rPr>
          <w:sz w:val="20"/>
        </w:rPr>
        <w:t>First, the human capital approach focuses on estimating the value of lost productive capacity due to a traffic death or injury, whereas the willingness-to-pay approach assesses the value of lost quality of life. Second, while these methods are sometimes viewed as alternatives for valuing human lives saved, it is important to note that they address different cost components and are, in fact, complementary (</w:t>
      </w:r>
      <w:proofErr w:type="spellStart"/>
      <w:r w:rsidRPr="00C7160D">
        <w:rPr>
          <w:sz w:val="20"/>
        </w:rPr>
        <w:t>Wijnen</w:t>
      </w:r>
      <w:proofErr w:type="spellEnd"/>
      <w:r w:rsidRPr="00C7160D">
        <w:rPr>
          <w:sz w:val="20"/>
        </w:rPr>
        <w:t xml:space="preserve"> et al., 2009). Third, the willingness-to-pay approach incorporates both material (consumption loss) and immaterial (human loss) components, while the human capital approach is limited to material losses, primarily gross production loss. Nonetheless, both methods include an estimate for consumption loss.</w:t>
      </w:r>
    </w:p>
    <w:p w:rsidR="008843AE" w:rsidRPr="001E7652" w:rsidRDefault="008843AE" w:rsidP="004C2E17">
      <w:pPr>
        <w:pStyle w:val="ListParagraph"/>
        <w:numPr>
          <w:ilvl w:val="0"/>
          <w:numId w:val="21"/>
        </w:numPr>
        <w:spacing w:before="100" w:beforeAutospacing="1" w:after="100" w:afterAutospacing="1" w:line="480" w:lineRule="auto"/>
        <w:jc w:val="both"/>
        <w:rPr>
          <w:rFonts w:ascii="Times New Roman" w:eastAsia="Times New Roman" w:hAnsi="Times New Roman" w:cs="Times New Roman"/>
          <w:b/>
          <w:sz w:val="20"/>
          <w:szCs w:val="24"/>
        </w:rPr>
      </w:pPr>
      <w:r w:rsidRPr="001E7652">
        <w:rPr>
          <w:rFonts w:ascii="Times New Roman" w:eastAsia="Times New Roman" w:hAnsi="Times New Roman" w:cs="Times New Roman"/>
          <w:b/>
          <w:bCs/>
          <w:sz w:val="20"/>
          <w:szCs w:val="27"/>
        </w:rPr>
        <w:t>"X-Method" for Hypothesis Testing</w:t>
      </w:r>
    </w:p>
    <w:p w:rsidR="008843AE" w:rsidRPr="001E7652" w:rsidRDefault="008843AE" w:rsidP="004C2E17">
      <w:pPr>
        <w:numPr>
          <w:ilvl w:val="0"/>
          <w:numId w:val="28"/>
        </w:numPr>
        <w:spacing w:before="100" w:beforeAutospacing="1" w:after="100" w:afterAutospacing="1" w:line="480" w:lineRule="auto"/>
        <w:jc w:val="both"/>
        <w:rPr>
          <w:rFonts w:ascii="Times New Roman" w:eastAsia="Times New Roman" w:hAnsi="Times New Roman" w:cs="Times New Roman"/>
          <w:sz w:val="20"/>
          <w:szCs w:val="24"/>
        </w:rPr>
      </w:pPr>
      <w:r w:rsidRPr="00663A83">
        <w:rPr>
          <w:rFonts w:ascii="Times New Roman" w:eastAsia="Times New Roman" w:hAnsi="Times New Roman" w:cs="Times New Roman"/>
          <w:sz w:val="20"/>
          <w:szCs w:val="24"/>
        </w:rPr>
        <w:t xml:space="preserve"> Null</w:t>
      </w:r>
      <w:r w:rsidRPr="001E7652">
        <w:rPr>
          <w:rFonts w:ascii="Times New Roman" w:eastAsia="Times New Roman" w:hAnsi="Times New Roman" w:cs="Times New Roman"/>
          <w:sz w:val="20"/>
          <w:szCs w:val="24"/>
        </w:rPr>
        <w:t xml:space="preserve"> Hypothesis (</w:t>
      </w:r>
      <w:r w:rsidRPr="00663A83">
        <w:rPr>
          <w:rFonts w:ascii="Times New Roman" w:eastAsia="Times New Roman" w:hAnsi="Times New Roman" w:cs="Times New Roman"/>
          <w:sz w:val="20"/>
          <w:szCs w:val="24"/>
        </w:rPr>
        <w:t>H0)</w:t>
      </w:r>
      <w:r w:rsidRPr="001E7652">
        <w:rPr>
          <w:rFonts w:ascii="Times New Roman" w:eastAsia="Times New Roman" w:hAnsi="Times New Roman" w:cs="Times New Roman"/>
          <w:sz w:val="20"/>
          <w:szCs w:val="24"/>
        </w:rPr>
        <w:t>: The assumption or claim to be tested. Typically, it represents no effect or no difference.</w:t>
      </w:r>
    </w:p>
    <w:p w:rsidR="008843AE" w:rsidRPr="001E7652" w:rsidRDefault="008843AE" w:rsidP="004C2E17">
      <w:pPr>
        <w:numPr>
          <w:ilvl w:val="0"/>
          <w:numId w:val="28"/>
        </w:numPr>
        <w:spacing w:before="100" w:beforeAutospacing="1" w:after="100" w:afterAutospacing="1" w:line="480" w:lineRule="auto"/>
        <w:jc w:val="both"/>
        <w:rPr>
          <w:rFonts w:ascii="Times New Roman" w:eastAsia="Times New Roman" w:hAnsi="Times New Roman" w:cs="Times New Roman"/>
          <w:sz w:val="20"/>
          <w:szCs w:val="24"/>
        </w:rPr>
      </w:pPr>
      <w:r w:rsidRPr="001E7652">
        <w:rPr>
          <w:rFonts w:ascii="Times New Roman" w:eastAsia="Times New Roman" w:hAnsi="Times New Roman" w:cs="Times New Roman"/>
          <w:sz w:val="20"/>
          <w:szCs w:val="24"/>
        </w:rPr>
        <w:t>Alternative Hypothesis (</w:t>
      </w:r>
      <w:r w:rsidRPr="00663A83">
        <w:rPr>
          <w:rFonts w:ascii="Times New Roman" w:eastAsia="Times New Roman" w:hAnsi="Times New Roman" w:cs="Times New Roman"/>
          <w:sz w:val="20"/>
          <w:szCs w:val="24"/>
        </w:rPr>
        <w:t>H1)</w:t>
      </w:r>
      <w:r w:rsidRPr="001E7652">
        <w:rPr>
          <w:rFonts w:ascii="Times New Roman" w:eastAsia="Times New Roman" w:hAnsi="Times New Roman" w:cs="Times New Roman"/>
          <w:sz w:val="20"/>
          <w:szCs w:val="24"/>
        </w:rPr>
        <w:t xml:space="preserve">: The counterclaim to </w:t>
      </w:r>
      <w:r w:rsidRPr="00663A83">
        <w:rPr>
          <w:rFonts w:ascii="Times New Roman" w:eastAsia="Times New Roman" w:hAnsi="Times New Roman" w:cs="Times New Roman"/>
          <w:sz w:val="20"/>
          <w:szCs w:val="24"/>
        </w:rPr>
        <w:t xml:space="preserve">H0. </w:t>
      </w:r>
      <w:r w:rsidRPr="001E7652">
        <w:rPr>
          <w:rFonts w:ascii="Times New Roman" w:eastAsia="Times New Roman" w:hAnsi="Times New Roman" w:cs="Times New Roman"/>
          <w:sz w:val="20"/>
          <w:szCs w:val="24"/>
        </w:rPr>
        <w:t>It indicates the presence of an effect or difference.</w:t>
      </w:r>
    </w:p>
    <w:p w:rsidR="008843AE" w:rsidRPr="001E7652" w:rsidRDefault="008843AE" w:rsidP="004C2E17">
      <w:pPr>
        <w:spacing w:before="100" w:beforeAutospacing="1" w:after="100" w:afterAutospacing="1" w:line="480" w:lineRule="auto"/>
        <w:rPr>
          <w:rFonts w:ascii="Times New Roman" w:eastAsia="Times New Roman" w:hAnsi="Times New Roman" w:cs="Times New Roman"/>
          <w:sz w:val="20"/>
          <w:szCs w:val="24"/>
        </w:rPr>
      </w:pPr>
      <w:r w:rsidRPr="001E7652">
        <w:rPr>
          <w:rFonts w:ascii="Times New Roman" w:eastAsia="Times New Roman" w:hAnsi="Times New Roman" w:cs="Times New Roman"/>
          <w:sz w:val="20"/>
          <w:szCs w:val="24"/>
        </w:rPr>
        <w:t>Example:</w:t>
      </w:r>
    </w:p>
    <w:p w:rsidR="008843AE" w:rsidRPr="001E7652" w:rsidRDefault="008843AE" w:rsidP="004C2E17">
      <w:pPr>
        <w:numPr>
          <w:ilvl w:val="0"/>
          <w:numId w:val="29"/>
        </w:numPr>
        <w:spacing w:before="100" w:beforeAutospacing="1" w:after="100" w:afterAutospacing="1" w:line="480" w:lineRule="auto"/>
        <w:rPr>
          <w:rFonts w:ascii="Times New Roman" w:eastAsia="Times New Roman" w:hAnsi="Times New Roman" w:cs="Times New Roman"/>
          <w:sz w:val="20"/>
          <w:szCs w:val="24"/>
        </w:rPr>
      </w:pPr>
      <w:r w:rsidRPr="00663A83">
        <w:rPr>
          <w:rFonts w:ascii="Times New Roman" w:eastAsia="Times New Roman" w:hAnsi="Times New Roman" w:cs="Times New Roman"/>
          <w:sz w:val="20"/>
          <w:szCs w:val="24"/>
        </w:rPr>
        <w:t>H0: μ=μ0​(</w:t>
      </w:r>
      <w:r w:rsidRPr="001E7652">
        <w:rPr>
          <w:rFonts w:ascii="Times New Roman" w:eastAsia="Times New Roman" w:hAnsi="Times New Roman" w:cs="Times New Roman"/>
          <w:sz w:val="20"/>
          <w:szCs w:val="24"/>
        </w:rPr>
        <w:t>The population mean equals a specific value.)</w:t>
      </w:r>
    </w:p>
    <w:p w:rsidR="008843AE" w:rsidRPr="001E7652" w:rsidRDefault="008843AE" w:rsidP="004C2E17">
      <w:pPr>
        <w:numPr>
          <w:ilvl w:val="0"/>
          <w:numId w:val="29"/>
        </w:numPr>
        <w:spacing w:before="100" w:beforeAutospacing="1" w:after="100" w:afterAutospacing="1" w:line="480" w:lineRule="auto"/>
        <w:rPr>
          <w:rFonts w:ascii="Times New Roman" w:eastAsia="Times New Roman" w:hAnsi="Times New Roman" w:cs="Times New Roman"/>
          <w:sz w:val="20"/>
          <w:szCs w:val="24"/>
        </w:rPr>
      </w:pPr>
      <w:r w:rsidRPr="00663A83">
        <w:rPr>
          <w:rFonts w:ascii="Times New Roman" w:eastAsia="Times New Roman" w:hAnsi="Times New Roman" w:cs="Times New Roman"/>
          <w:sz w:val="20"/>
          <w:szCs w:val="24"/>
        </w:rPr>
        <w:t>H1: μ=μ0​(</w:t>
      </w:r>
      <w:r w:rsidRPr="001E7652">
        <w:rPr>
          <w:rFonts w:ascii="Times New Roman" w:eastAsia="Times New Roman" w:hAnsi="Times New Roman" w:cs="Times New Roman"/>
          <w:sz w:val="20"/>
          <w:szCs w:val="24"/>
        </w:rPr>
        <w:t>The population mean does not equal the specified value.)</w:t>
      </w:r>
    </w:p>
    <w:p w:rsidR="008843AE" w:rsidRPr="00663A83" w:rsidRDefault="008843AE" w:rsidP="004C2E17">
      <w:pPr>
        <w:pStyle w:val="NormalWeb"/>
        <w:tabs>
          <w:tab w:val="left" w:pos="720"/>
        </w:tabs>
        <w:spacing w:line="480" w:lineRule="auto"/>
        <w:jc w:val="both"/>
        <w:rPr>
          <w:sz w:val="20"/>
        </w:rPr>
      </w:pPr>
      <w:r w:rsidRPr="00663A83">
        <w:rPr>
          <w:sz w:val="20"/>
        </w:rPr>
        <w:t>Calculate the value of the test statistic (</w:t>
      </w:r>
      <w:r w:rsidRPr="00663A83">
        <w:rPr>
          <w:rStyle w:val="mord"/>
          <w:sz w:val="20"/>
        </w:rPr>
        <w:t>X</w:t>
      </w:r>
      <w:r w:rsidRPr="00663A83">
        <w:rPr>
          <w:sz w:val="20"/>
        </w:rPr>
        <w:t>) using the appropriate formula:</w:t>
      </w:r>
    </w:p>
    <w:p w:rsidR="008843AE" w:rsidRPr="00663A83" w:rsidRDefault="008843AE" w:rsidP="008843AE">
      <w:pPr>
        <w:pStyle w:val="NormalWeb"/>
        <w:tabs>
          <w:tab w:val="left" w:pos="720"/>
        </w:tabs>
        <w:jc w:val="center"/>
      </w:pPr>
      <w:r w:rsidRPr="00663A83">
        <w:t xml:space="preserve">X = </w:t>
      </w:r>
      <m:oMath>
        <m:f>
          <m:fPr>
            <m:ctrlPr>
              <w:rPr>
                <w:rFonts w:ascii="Cambria Math" w:hAnsi="Cambria Math"/>
              </w:rPr>
            </m:ctrlPr>
          </m:fPr>
          <m:num>
            <m:r>
              <m:rPr>
                <m:sty m:val="p"/>
              </m:rPr>
              <w:rPr>
                <w:rFonts w:ascii="Cambria Math" w:hAnsi="Cambria Math"/>
              </w:rPr>
              <m:t>Observed</m:t>
            </m:r>
            <m:r>
              <m:rPr>
                <m:sty m:val="p"/>
              </m:rPr>
              <w:rPr>
                <w:rFonts w:ascii="Cambria Math"/>
              </w:rPr>
              <m:t xml:space="preserve"> </m:t>
            </m:r>
            <m:r>
              <m:rPr>
                <m:sty m:val="p"/>
              </m:rPr>
              <w:rPr>
                <w:rFonts w:ascii="Cambria Math" w:hAnsi="Cambria Math"/>
              </w:rPr>
              <m:t>Value</m:t>
            </m:r>
            <m:r>
              <m:rPr>
                <m:sty m:val="p"/>
              </m:rPr>
              <w:rPr>
                <w:rFonts w:ascii="Cambria Math"/>
              </w:rPr>
              <m:t>-</m:t>
            </m:r>
            <m:r>
              <m:rPr>
                <m:sty m:val="p"/>
              </m:rPr>
              <w:rPr>
                <w:rFonts w:ascii="Cambria Math" w:hAnsi="Cambria Math"/>
              </w:rPr>
              <m:t>Expected</m:t>
            </m:r>
            <m:r>
              <m:rPr>
                <m:sty m:val="p"/>
              </m:rPr>
              <w:rPr>
                <w:rFonts w:ascii="Cambria Math"/>
              </w:rPr>
              <m:t xml:space="preserve"> </m:t>
            </m:r>
            <m:r>
              <m:rPr>
                <m:sty m:val="p"/>
              </m:rPr>
              <w:rPr>
                <w:rFonts w:ascii="Cambria Math" w:hAnsi="Cambria Math"/>
              </w:rPr>
              <m:t>value</m:t>
            </m:r>
          </m:num>
          <m:den>
            <m:r>
              <m:rPr>
                <m:sty m:val="p"/>
              </m:rPr>
              <w:rPr>
                <w:rFonts w:ascii="Cambria Math" w:hAnsi="Cambria Math"/>
              </w:rPr>
              <m:t>Standard</m:t>
            </m:r>
            <m:r>
              <m:rPr>
                <m:sty m:val="p"/>
              </m:rPr>
              <w:rPr>
                <w:rFonts w:ascii="Cambria Math"/>
              </w:rPr>
              <m:t xml:space="preserve"> </m:t>
            </m:r>
            <m:r>
              <m:rPr>
                <m:sty m:val="p"/>
              </m:rPr>
              <w:rPr>
                <w:rFonts w:ascii="Cambria Math" w:hAnsi="Cambria Math"/>
              </w:rPr>
              <m:t>Error</m:t>
            </m:r>
          </m:den>
        </m:f>
      </m:oMath>
      <w:r>
        <w:tab/>
      </w:r>
      <w:r w:rsidRPr="00663A83">
        <w:rPr>
          <w:sz w:val="20"/>
        </w:rPr>
        <w:t>-</w:t>
      </w:r>
      <w:r w:rsidRPr="00663A83">
        <w:rPr>
          <w:sz w:val="20"/>
        </w:rPr>
        <w:tab/>
        <w:t>(3)</w:t>
      </w:r>
    </w:p>
    <w:p w:rsidR="008843AE" w:rsidRPr="0003443F" w:rsidRDefault="008843AE" w:rsidP="008843AE">
      <w:pPr>
        <w:pStyle w:val="ListParagraph"/>
        <w:numPr>
          <w:ilvl w:val="1"/>
          <w:numId w:val="1"/>
        </w:numPr>
        <w:spacing w:before="100" w:beforeAutospacing="1" w:after="100" w:afterAutospacing="1"/>
        <w:rPr>
          <w:rFonts w:ascii="Times New Roman" w:hAnsi="Times New Roman" w:cs="Times New Roman"/>
          <w:b/>
          <w:sz w:val="24"/>
          <w:szCs w:val="24"/>
        </w:rPr>
      </w:pPr>
      <w:r w:rsidRPr="0003443F">
        <w:rPr>
          <w:rFonts w:ascii="Times New Roman" w:hAnsi="Times New Roman" w:cs="Times New Roman"/>
          <w:b/>
          <w:sz w:val="24"/>
          <w:szCs w:val="24"/>
        </w:rPr>
        <w:t>Outcome and covariates method</w:t>
      </w:r>
    </w:p>
    <w:p w:rsidR="008843AE" w:rsidRDefault="008843AE" w:rsidP="004C2E17">
      <w:pPr>
        <w:spacing w:before="100" w:beforeAutospacing="1" w:after="100" w:afterAutospacing="1" w:line="480" w:lineRule="auto"/>
        <w:jc w:val="both"/>
        <w:rPr>
          <w:rFonts w:ascii="Times New Roman" w:hAnsi="Times New Roman" w:cs="Times New Roman"/>
          <w:sz w:val="20"/>
        </w:rPr>
      </w:pPr>
      <w:r w:rsidRPr="006C711F">
        <w:rPr>
          <w:rFonts w:ascii="Times New Roman" w:hAnsi="Times New Roman" w:cs="Times New Roman"/>
          <w:sz w:val="20"/>
        </w:rPr>
        <w:t xml:space="preserve">The </w:t>
      </w:r>
      <w:r w:rsidRPr="006C711F">
        <w:rPr>
          <w:rStyle w:val="Strong"/>
          <w:rFonts w:ascii="Times New Roman" w:hAnsi="Times New Roman" w:cs="Times New Roman"/>
          <w:sz w:val="20"/>
        </w:rPr>
        <w:t>outcome and covariates method</w:t>
      </w:r>
      <w:r w:rsidRPr="006C711F">
        <w:rPr>
          <w:rFonts w:ascii="Times New Roman" w:hAnsi="Times New Roman" w:cs="Times New Roman"/>
          <w:sz w:val="20"/>
        </w:rPr>
        <w:t xml:space="preserve"> is a statistical approach often used in road traffic crash analysis to understand the relationship between crash outcomes (e.g., severity, frequency) and a set of explanatory variables or covariates (e.g., road conditions, driver behavior, vehicle type). This method involves identifying key factors that influence road crashes and estimating their effects using models like regression analysis</w:t>
      </w:r>
      <w:r>
        <w:rPr>
          <w:rFonts w:ascii="Times New Roman" w:hAnsi="Times New Roman" w:cs="Times New Roman"/>
          <w:sz w:val="20"/>
        </w:rPr>
        <w:t xml:space="preserve"> </w:t>
      </w:r>
      <w:r w:rsidRPr="00DB74D9">
        <w:rPr>
          <w:rFonts w:ascii="Times New Roman" w:hAnsi="Times New Roman" w:cs="Times New Roman"/>
          <w:sz w:val="20"/>
          <w:szCs w:val="20"/>
        </w:rPr>
        <w:t>(Sawyer et al., 2012).</w:t>
      </w:r>
    </w:p>
    <w:p w:rsidR="008843AE" w:rsidRPr="006C711F" w:rsidRDefault="008843AE" w:rsidP="004C2E17">
      <w:pPr>
        <w:pStyle w:val="Heading4"/>
        <w:spacing w:line="480" w:lineRule="auto"/>
        <w:rPr>
          <w:i w:val="0"/>
          <w:color w:val="auto"/>
        </w:rPr>
      </w:pPr>
      <w:r w:rsidRPr="006C711F">
        <w:rPr>
          <w:rStyle w:val="Strong"/>
          <w:i w:val="0"/>
          <w:color w:val="auto"/>
        </w:rPr>
        <w:t>Outcome:</w:t>
      </w:r>
    </w:p>
    <w:p w:rsidR="008843AE" w:rsidRPr="006C711F" w:rsidRDefault="008843AE" w:rsidP="004C2E17">
      <w:pPr>
        <w:pStyle w:val="NormalWeb"/>
        <w:spacing w:line="480" w:lineRule="auto"/>
        <w:rPr>
          <w:sz w:val="20"/>
          <w:szCs w:val="20"/>
        </w:rPr>
      </w:pPr>
      <w:r w:rsidRPr="006C711F">
        <w:rPr>
          <w:sz w:val="20"/>
          <w:szCs w:val="20"/>
        </w:rPr>
        <w:t>In road traffic crash analysis, the outcome variable is the main variable of interest that we want to predict or explain. Common outcomes include:</w:t>
      </w:r>
    </w:p>
    <w:p w:rsidR="008843AE" w:rsidRPr="006C711F" w:rsidRDefault="008843AE" w:rsidP="004C2E17">
      <w:pPr>
        <w:numPr>
          <w:ilvl w:val="0"/>
          <w:numId w:val="10"/>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Crash Frequency:</w:t>
      </w:r>
      <w:r w:rsidRPr="006C711F">
        <w:rPr>
          <w:rFonts w:ascii="Times New Roman" w:hAnsi="Times New Roman" w:cs="Times New Roman"/>
          <w:sz w:val="20"/>
          <w:szCs w:val="20"/>
        </w:rPr>
        <w:t xml:space="preserve"> Number of crashes occurring over a certain period or location.</w:t>
      </w:r>
    </w:p>
    <w:p w:rsidR="008843AE" w:rsidRPr="006C711F" w:rsidRDefault="008843AE" w:rsidP="004C2E17">
      <w:pPr>
        <w:numPr>
          <w:ilvl w:val="0"/>
          <w:numId w:val="10"/>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Crash Severity:</w:t>
      </w:r>
      <w:r w:rsidRPr="006C711F">
        <w:rPr>
          <w:rFonts w:ascii="Times New Roman" w:hAnsi="Times New Roman" w:cs="Times New Roman"/>
          <w:sz w:val="20"/>
          <w:szCs w:val="20"/>
        </w:rPr>
        <w:t xml:space="preserve"> Categories such as fatal, severe injury, minor injury, or property damage only.</w:t>
      </w:r>
    </w:p>
    <w:p w:rsidR="008843AE" w:rsidRPr="006C711F" w:rsidRDefault="008843AE" w:rsidP="004C2E17">
      <w:pPr>
        <w:numPr>
          <w:ilvl w:val="0"/>
          <w:numId w:val="10"/>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Time-to-Crash:</w:t>
      </w:r>
      <w:r w:rsidRPr="006C711F">
        <w:rPr>
          <w:rFonts w:ascii="Times New Roman" w:hAnsi="Times New Roman" w:cs="Times New Roman"/>
          <w:sz w:val="20"/>
          <w:szCs w:val="20"/>
        </w:rPr>
        <w:t xml:space="preserve"> For studies involving near-miss situations (e.g., time-to-collision).</w:t>
      </w:r>
    </w:p>
    <w:p w:rsidR="008843AE" w:rsidRPr="006C711F" w:rsidRDefault="008843AE" w:rsidP="004C2E17">
      <w:pPr>
        <w:pStyle w:val="Heading4"/>
        <w:spacing w:line="480" w:lineRule="auto"/>
        <w:rPr>
          <w:rFonts w:ascii="Times New Roman" w:hAnsi="Times New Roman" w:cs="Times New Roman"/>
          <w:i w:val="0"/>
          <w:color w:val="auto"/>
          <w:sz w:val="20"/>
          <w:szCs w:val="20"/>
        </w:rPr>
      </w:pPr>
      <w:r w:rsidRPr="006C711F">
        <w:rPr>
          <w:rStyle w:val="Strong"/>
          <w:rFonts w:ascii="Times New Roman" w:hAnsi="Times New Roman" w:cs="Times New Roman"/>
          <w:i w:val="0"/>
          <w:color w:val="auto"/>
          <w:sz w:val="20"/>
          <w:szCs w:val="20"/>
        </w:rPr>
        <w:t>Covariates:</w:t>
      </w:r>
    </w:p>
    <w:p w:rsidR="008843AE" w:rsidRPr="006C711F" w:rsidRDefault="008843AE" w:rsidP="004C2E17">
      <w:pPr>
        <w:pStyle w:val="NormalWeb"/>
        <w:spacing w:line="480" w:lineRule="auto"/>
        <w:rPr>
          <w:sz w:val="20"/>
          <w:szCs w:val="20"/>
        </w:rPr>
      </w:pPr>
      <w:r w:rsidRPr="006C711F">
        <w:rPr>
          <w:sz w:val="20"/>
          <w:szCs w:val="20"/>
        </w:rPr>
        <w:t>Covariates are the independent variables or predictors that may influence the outcome. They can be categorized as:</w:t>
      </w:r>
    </w:p>
    <w:p w:rsidR="008843AE" w:rsidRPr="006C711F" w:rsidRDefault="008843AE" w:rsidP="004C2E17">
      <w:pPr>
        <w:numPr>
          <w:ilvl w:val="0"/>
          <w:numId w:val="11"/>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Road Characteristics:</w:t>
      </w:r>
      <w:r w:rsidRPr="006C711F">
        <w:rPr>
          <w:rFonts w:ascii="Times New Roman" w:hAnsi="Times New Roman" w:cs="Times New Roman"/>
          <w:sz w:val="20"/>
          <w:szCs w:val="20"/>
        </w:rPr>
        <w:t xml:space="preserve"> Road type (urban, rural), number of lanes, intersection type, road surface condition.</w:t>
      </w:r>
    </w:p>
    <w:p w:rsidR="008843AE" w:rsidRPr="006C711F" w:rsidRDefault="008843AE" w:rsidP="004C2E17">
      <w:pPr>
        <w:numPr>
          <w:ilvl w:val="0"/>
          <w:numId w:val="11"/>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Traffic Factors:</w:t>
      </w:r>
      <w:r w:rsidRPr="006C711F">
        <w:rPr>
          <w:rFonts w:ascii="Times New Roman" w:hAnsi="Times New Roman" w:cs="Times New Roman"/>
          <w:sz w:val="20"/>
          <w:szCs w:val="20"/>
        </w:rPr>
        <w:t xml:space="preserve"> Traffic volume, vehicle speed, congestion levels.</w:t>
      </w:r>
    </w:p>
    <w:p w:rsidR="008843AE" w:rsidRPr="006C711F" w:rsidRDefault="008843AE" w:rsidP="004C2E17">
      <w:pPr>
        <w:numPr>
          <w:ilvl w:val="0"/>
          <w:numId w:val="11"/>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Driver Behavior:</w:t>
      </w:r>
      <w:r w:rsidRPr="006C711F">
        <w:rPr>
          <w:rFonts w:ascii="Times New Roman" w:hAnsi="Times New Roman" w:cs="Times New Roman"/>
          <w:sz w:val="20"/>
          <w:szCs w:val="20"/>
        </w:rPr>
        <w:t xml:space="preserve"> Speeding, alcohol use, distracted driving, age and experience.</w:t>
      </w:r>
    </w:p>
    <w:p w:rsidR="008843AE" w:rsidRPr="006C711F" w:rsidRDefault="008843AE" w:rsidP="004C2E17">
      <w:pPr>
        <w:numPr>
          <w:ilvl w:val="0"/>
          <w:numId w:val="11"/>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Environmental Conditions:</w:t>
      </w:r>
      <w:r w:rsidRPr="006C711F">
        <w:rPr>
          <w:rFonts w:ascii="Times New Roman" w:hAnsi="Times New Roman" w:cs="Times New Roman"/>
          <w:sz w:val="20"/>
          <w:szCs w:val="20"/>
        </w:rPr>
        <w:t xml:space="preserve"> Weather (rain, fog), time of day (day/night), lighting conditions.</w:t>
      </w:r>
    </w:p>
    <w:p w:rsidR="008843AE" w:rsidRPr="003E7B02" w:rsidRDefault="008843AE" w:rsidP="003E7B02">
      <w:pPr>
        <w:numPr>
          <w:ilvl w:val="0"/>
          <w:numId w:val="11"/>
        </w:numPr>
        <w:spacing w:before="100" w:beforeAutospacing="1" w:after="100" w:afterAutospacing="1" w:line="480" w:lineRule="auto"/>
        <w:rPr>
          <w:rFonts w:ascii="Times New Roman" w:hAnsi="Times New Roman" w:cs="Times New Roman"/>
          <w:sz w:val="20"/>
          <w:szCs w:val="20"/>
        </w:rPr>
      </w:pPr>
      <w:r w:rsidRPr="006C711F">
        <w:rPr>
          <w:rStyle w:val="Strong"/>
          <w:rFonts w:ascii="Times New Roman" w:hAnsi="Times New Roman" w:cs="Times New Roman"/>
          <w:sz w:val="20"/>
          <w:szCs w:val="20"/>
        </w:rPr>
        <w:t>Vehicle Characteristics:</w:t>
      </w:r>
      <w:r w:rsidRPr="006C711F">
        <w:rPr>
          <w:rFonts w:ascii="Times New Roman" w:hAnsi="Times New Roman" w:cs="Times New Roman"/>
          <w:sz w:val="20"/>
          <w:szCs w:val="20"/>
        </w:rPr>
        <w:t xml:space="preserve"> Vehicle type (car, truck, motorcycle), vehicle age, safety features.</w:t>
      </w:r>
    </w:p>
    <w:p w:rsidR="008843AE" w:rsidRPr="006C711F" w:rsidRDefault="008843AE" w:rsidP="004C2E17">
      <w:pPr>
        <w:spacing w:before="100" w:beforeAutospacing="1" w:after="100" w:afterAutospacing="1" w:line="480" w:lineRule="auto"/>
        <w:jc w:val="both"/>
        <w:rPr>
          <w:rFonts w:ascii="Times New Roman" w:eastAsia="Times New Roman" w:hAnsi="Times New Roman" w:cs="Times New Roman"/>
          <w:sz w:val="20"/>
          <w:szCs w:val="24"/>
        </w:rPr>
      </w:pPr>
      <w:r w:rsidRPr="006C711F">
        <w:rPr>
          <w:rFonts w:ascii="Times New Roman" w:eastAsia="Times New Roman" w:hAnsi="Times New Roman" w:cs="Times New Roman"/>
          <w:sz w:val="20"/>
          <w:szCs w:val="24"/>
        </w:rPr>
        <w:t>Let’s consider a study that examines factors affecting the severity of road crashes at intersections:</w:t>
      </w:r>
    </w:p>
    <w:p w:rsidR="008843AE" w:rsidRPr="006C711F" w:rsidRDefault="008843AE" w:rsidP="004C2E17">
      <w:pPr>
        <w:numPr>
          <w:ilvl w:val="0"/>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Outcome Variable:</w:t>
      </w:r>
      <w:r w:rsidRPr="006C711F">
        <w:rPr>
          <w:rFonts w:ascii="Times New Roman" w:eastAsia="Times New Roman" w:hAnsi="Times New Roman" w:cs="Times New Roman"/>
          <w:sz w:val="20"/>
          <w:szCs w:val="24"/>
        </w:rPr>
        <w:t xml:space="preserve"> Crash severity (e.g., coded as 0 = property damage only, 1 = minor injury, 2 = severe injury, 3 = fatality).</w:t>
      </w:r>
    </w:p>
    <w:p w:rsidR="008843AE" w:rsidRPr="006C711F" w:rsidRDefault="008843AE" w:rsidP="004C2E17">
      <w:pPr>
        <w:numPr>
          <w:ilvl w:val="0"/>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Covariates:</w:t>
      </w:r>
    </w:p>
    <w:p w:rsidR="008843AE" w:rsidRPr="006C711F" w:rsidRDefault="008843AE" w:rsidP="004C2E17">
      <w:pPr>
        <w:numPr>
          <w:ilvl w:val="1"/>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Road Factors:</w:t>
      </w:r>
      <w:r w:rsidRPr="006C711F">
        <w:rPr>
          <w:rFonts w:ascii="Times New Roman" w:eastAsia="Times New Roman" w:hAnsi="Times New Roman" w:cs="Times New Roman"/>
          <w:sz w:val="20"/>
          <w:szCs w:val="24"/>
        </w:rPr>
        <w:t xml:space="preserve"> Intersection control (signalized/un</w:t>
      </w:r>
      <w:r w:rsidRPr="00DB74D9">
        <w:rPr>
          <w:rFonts w:ascii="Times New Roman" w:eastAsia="Times New Roman" w:hAnsi="Times New Roman" w:cs="Times New Roman"/>
          <w:sz w:val="20"/>
          <w:szCs w:val="24"/>
        </w:rPr>
        <w:t>-</w:t>
      </w:r>
      <w:r w:rsidRPr="006C711F">
        <w:rPr>
          <w:rFonts w:ascii="Times New Roman" w:eastAsia="Times New Roman" w:hAnsi="Times New Roman" w:cs="Times New Roman"/>
          <w:sz w:val="20"/>
          <w:szCs w:val="24"/>
        </w:rPr>
        <w:t>signalized), road geometry, speed limit.</w:t>
      </w:r>
    </w:p>
    <w:p w:rsidR="008843AE" w:rsidRPr="006C711F" w:rsidRDefault="008843AE" w:rsidP="004C2E17">
      <w:pPr>
        <w:numPr>
          <w:ilvl w:val="1"/>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Traffic Factors:</w:t>
      </w:r>
      <w:r w:rsidRPr="006C711F">
        <w:rPr>
          <w:rFonts w:ascii="Times New Roman" w:eastAsia="Times New Roman" w:hAnsi="Times New Roman" w:cs="Times New Roman"/>
          <w:sz w:val="20"/>
          <w:szCs w:val="24"/>
        </w:rPr>
        <w:t xml:space="preserve"> Traffic volume, average speed.</w:t>
      </w:r>
    </w:p>
    <w:p w:rsidR="008843AE" w:rsidRPr="006C711F" w:rsidRDefault="008843AE" w:rsidP="004C2E17">
      <w:pPr>
        <w:numPr>
          <w:ilvl w:val="1"/>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Driver Factors:</w:t>
      </w:r>
      <w:r w:rsidRPr="006C711F">
        <w:rPr>
          <w:rFonts w:ascii="Times New Roman" w:eastAsia="Times New Roman" w:hAnsi="Times New Roman" w:cs="Times New Roman"/>
          <w:sz w:val="20"/>
          <w:szCs w:val="24"/>
        </w:rPr>
        <w:t xml:space="preserve"> Age, gender, presence of alcohol.</w:t>
      </w:r>
    </w:p>
    <w:p w:rsidR="008843AE" w:rsidRPr="006C711F" w:rsidRDefault="008843AE" w:rsidP="004C2E17">
      <w:pPr>
        <w:numPr>
          <w:ilvl w:val="1"/>
          <w:numId w:val="12"/>
        </w:numPr>
        <w:spacing w:before="100" w:beforeAutospacing="1" w:after="100" w:afterAutospacing="1" w:line="480" w:lineRule="auto"/>
        <w:jc w:val="both"/>
        <w:rPr>
          <w:rFonts w:ascii="Times New Roman" w:eastAsia="Times New Roman" w:hAnsi="Times New Roman" w:cs="Times New Roman"/>
          <w:sz w:val="20"/>
          <w:szCs w:val="24"/>
        </w:rPr>
      </w:pPr>
      <w:r w:rsidRPr="00DB74D9">
        <w:rPr>
          <w:rFonts w:ascii="Times New Roman" w:eastAsia="Times New Roman" w:hAnsi="Times New Roman" w:cs="Times New Roman"/>
          <w:b/>
          <w:bCs/>
          <w:sz w:val="20"/>
          <w:szCs w:val="24"/>
        </w:rPr>
        <w:t>Environmental Factors:</w:t>
      </w:r>
      <w:r w:rsidRPr="006C711F">
        <w:rPr>
          <w:rFonts w:ascii="Times New Roman" w:eastAsia="Times New Roman" w:hAnsi="Times New Roman" w:cs="Times New Roman"/>
          <w:sz w:val="20"/>
          <w:szCs w:val="24"/>
        </w:rPr>
        <w:t xml:space="preserve"> Weather conditions, time of day.</w:t>
      </w:r>
    </w:p>
    <w:p w:rsidR="008843AE" w:rsidRDefault="008843AE" w:rsidP="004C2E17">
      <w:pPr>
        <w:spacing w:before="100" w:beforeAutospacing="1" w:after="100" w:afterAutospacing="1" w:line="480" w:lineRule="auto"/>
        <w:jc w:val="both"/>
        <w:rPr>
          <w:rFonts w:ascii="Times New Roman" w:eastAsia="Times New Roman" w:hAnsi="Times New Roman" w:cs="Times New Roman"/>
          <w:sz w:val="20"/>
          <w:szCs w:val="24"/>
        </w:rPr>
      </w:pPr>
      <w:r w:rsidRPr="006C711F">
        <w:rPr>
          <w:rFonts w:ascii="Times New Roman" w:eastAsia="Times New Roman" w:hAnsi="Times New Roman" w:cs="Times New Roman"/>
          <w:sz w:val="20"/>
          <w:szCs w:val="24"/>
        </w:rPr>
        <w:t>Using a multinomial logistic regression, the model can estimate the probability of each severity level given the covariates.</w:t>
      </w:r>
    </w:p>
    <w:p w:rsidR="008843AE" w:rsidRPr="007F759E" w:rsidRDefault="008843AE" w:rsidP="004C2E17">
      <w:pPr>
        <w:pStyle w:val="Default"/>
        <w:spacing w:line="480" w:lineRule="auto"/>
        <w:rPr>
          <w:b/>
          <w:szCs w:val="20"/>
        </w:rPr>
      </w:pPr>
      <w:r w:rsidRPr="007F759E">
        <w:rPr>
          <w:rFonts w:eastAsia="Times New Roman"/>
          <w:b/>
          <w:szCs w:val="20"/>
        </w:rPr>
        <w:t xml:space="preserve">3.4 </w:t>
      </w:r>
      <w:r w:rsidRPr="007F759E">
        <w:rPr>
          <w:b/>
          <w:szCs w:val="20"/>
        </w:rPr>
        <w:t>Quantile regression analysis</w:t>
      </w:r>
    </w:p>
    <w:p w:rsidR="008843AE" w:rsidRPr="00931E8E" w:rsidRDefault="008843AE" w:rsidP="004C2E17">
      <w:pPr>
        <w:spacing w:before="100" w:beforeAutospacing="1" w:after="100" w:afterAutospacing="1" w:line="480" w:lineRule="auto"/>
        <w:jc w:val="both"/>
        <w:rPr>
          <w:rFonts w:ascii="Times New Roman" w:hAnsi="Times New Roman" w:cs="Times New Roman"/>
          <w:color w:val="00B050"/>
          <w:sz w:val="20"/>
          <w:szCs w:val="20"/>
        </w:rPr>
      </w:pPr>
      <w:r w:rsidRPr="00931E8E">
        <w:rPr>
          <w:rFonts w:ascii="Times New Roman" w:hAnsi="Times New Roman" w:cs="Times New Roman"/>
          <w:color w:val="00B050"/>
          <w:sz w:val="20"/>
        </w:rPr>
        <w:t xml:space="preserve">Quantile regression is a useful statistical method for analyzing the relationship between hospitalization costs and various predictors when the distribution of costs is skewed or contains outliers. Unlike ordinary least squares (OLS) regression, which estimates the mean of the dependent variable, </w:t>
      </w:r>
      <w:proofErr w:type="spellStart"/>
      <w:r w:rsidRPr="00931E8E">
        <w:rPr>
          <w:rFonts w:ascii="Times New Roman" w:hAnsi="Times New Roman" w:cs="Times New Roman"/>
          <w:color w:val="00B050"/>
          <w:sz w:val="20"/>
        </w:rPr>
        <w:t>quantile</w:t>
      </w:r>
      <w:proofErr w:type="spellEnd"/>
      <w:r w:rsidRPr="00931E8E">
        <w:rPr>
          <w:rFonts w:ascii="Times New Roman" w:hAnsi="Times New Roman" w:cs="Times New Roman"/>
          <w:color w:val="00B050"/>
          <w:sz w:val="20"/>
        </w:rPr>
        <w:t xml:space="preserve"> regression estimates the relationship at different quantiles (e.g., the 25th, 50th, 75th percentiles) of the outcome variable, offering a more detailed understanding of the impact of covariates across the distribution </w:t>
      </w:r>
      <w:r w:rsidRPr="00931E8E">
        <w:rPr>
          <w:rFonts w:ascii="Times New Roman" w:hAnsi="Times New Roman" w:cs="Times New Roman"/>
          <w:color w:val="00B050"/>
          <w:sz w:val="20"/>
          <w:szCs w:val="20"/>
        </w:rPr>
        <w:t>(Meredith et al., 2003).</w:t>
      </w:r>
    </w:p>
    <w:p w:rsidR="008843AE" w:rsidRPr="00BB474F" w:rsidRDefault="008843AE" w:rsidP="004C2E17">
      <w:pPr>
        <w:spacing w:before="100" w:beforeAutospacing="1" w:after="100" w:afterAutospacing="1" w:line="480" w:lineRule="auto"/>
        <w:jc w:val="both"/>
        <w:rPr>
          <w:rFonts w:ascii="Times New Roman" w:hAnsi="Times New Roman" w:cs="Times New Roman"/>
          <w:sz w:val="20"/>
          <w:szCs w:val="20"/>
        </w:rPr>
      </w:pPr>
      <w:r w:rsidRPr="00BB474F">
        <w:rPr>
          <w:rFonts w:ascii="Times New Roman" w:hAnsi="Times New Roman" w:cs="Times New Roman"/>
          <w:sz w:val="24"/>
        </w:rPr>
        <w:t>Quantile Regression Model for Hospitalization Costs</w:t>
      </w:r>
      <w:r>
        <w:rPr>
          <w:rFonts w:ascii="Times New Roman" w:hAnsi="Times New Roman" w:cs="Times New Roman"/>
          <w:sz w:val="24"/>
        </w:rPr>
        <w:t>-</w:t>
      </w:r>
    </w:p>
    <w:p w:rsidR="008843AE" w:rsidRPr="00BB474F" w:rsidRDefault="008843AE" w:rsidP="004C2E17">
      <w:pPr>
        <w:pStyle w:val="Heading4"/>
        <w:spacing w:line="480" w:lineRule="auto"/>
        <w:jc w:val="both"/>
        <w:rPr>
          <w:rFonts w:ascii="Times New Roman" w:hAnsi="Times New Roman" w:cs="Times New Roman"/>
          <w:i w:val="0"/>
          <w:color w:val="auto"/>
          <w:sz w:val="20"/>
          <w:szCs w:val="20"/>
        </w:rPr>
      </w:pPr>
      <w:r w:rsidRPr="00BB474F">
        <w:rPr>
          <w:rStyle w:val="Strong"/>
          <w:rFonts w:ascii="Times New Roman" w:hAnsi="Times New Roman" w:cs="Times New Roman"/>
          <w:i w:val="0"/>
          <w:color w:val="auto"/>
          <w:sz w:val="20"/>
          <w:szCs w:val="20"/>
        </w:rPr>
        <w:t>Model Setup:</w:t>
      </w:r>
    </w:p>
    <w:p w:rsidR="008843AE" w:rsidRPr="00BB474F" w:rsidRDefault="008843AE" w:rsidP="004C2E17">
      <w:pPr>
        <w:pStyle w:val="NormalWeb"/>
        <w:spacing w:line="480" w:lineRule="auto"/>
        <w:jc w:val="both"/>
        <w:rPr>
          <w:sz w:val="20"/>
          <w:szCs w:val="20"/>
        </w:rPr>
      </w:pPr>
      <w:r w:rsidRPr="00BB474F">
        <w:rPr>
          <w:sz w:val="20"/>
          <w:szCs w:val="20"/>
        </w:rPr>
        <w:t>Let:</w:t>
      </w:r>
    </w:p>
    <w:p w:rsidR="008843AE" w:rsidRPr="00BB474F" w:rsidRDefault="008843AE" w:rsidP="004C2E17">
      <w:pPr>
        <w:numPr>
          <w:ilvl w:val="0"/>
          <w:numId w:val="13"/>
        </w:numPr>
        <w:spacing w:before="100" w:beforeAutospacing="1" w:after="100" w:afterAutospacing="1" w:line="480" w:lineRule="auto"/>
        <w:jc w:val="both"/>
        <w:rPr>
          <w:rFonts w:ascii="Times New Roman" w:hAnsi="Times New Roman" w:cs="Times New Roman"/>
          <w:sz w:val="20"/>
          <w:szCs w:val="20"/>
        </w:rPr>
      </w:pPr>
      <w:r w:rsidRPr="00BB474F">
        <w:rPr>
          <w:rStyle w:val="Strong"/>
          <w:rFonts w:ascii="Times New Roman" w:hAnsi="Times New Roman" w:cs="Times New Roman"/>
          <w:sz w:val="20"/>
          <w:szCs w:val="20"/>
        </w:rPr>
        <w:t>Y</w:t>
      </w:r>
      <w:r w:rsidRPr="00BB474F">
        <w:rPr>
          <w:rFonts w:ascii="Times New Roman" w:hAnsi="Times New Roman" w:cs="Times New Roman"/>
          <w:sz w:val="20"/>
          <w:szCs w:val="20"/>
        </w:rPr>
        <w:t xml:space="preserve"> represents hospitalization costs.</w:t>
      </w:r>
    </w:p>
    <w:p w:rsidR="008843AE" w:rsidRPr="00BB474F" w:rsidRDefault="008843AE" w:rsidP="004C2E17">
      <w:pPr>
        <w:numPr>
          <w:ilvl w:val="0"/>
          <w:numId w:val="13"/>
        </w:numPr>
        <w:spacing w:before="100" w:beforeAutospacing="1" w:after="100" w:afterAutospacing="1" w:line="480" w:lineRule="auto"/>
        <w:jc w:val="both"/>
        <w:rPr>
          <w:rFonts w:ascii="Times New Roman" w:hAnsi="Times New Roman" w:cs="Times New Roman"/>
          <w:sz w:val="20"/>
          <w:szCs w:val="20"/>
        </w:rPr>
      </w:pPr>
      <w:r w:rsidRPr="00BB474F">
        <w:rPr>
          <w:rStyle w:val="Strong"/>
          <w:rFonts w:ascii="Times New Roman" w:hAnsi="Times New Roman" w:cs="Times New Roman"/>
          <w:sz w:val="20"/>
          <w:szCs w:val="20"/>
        </w:rPr>
        <w:t>X</w:t>
      </w:r>
      <w:r w:rsidRPr="00BB474F">
        <w:rPr>
          <w:rFonts w:ascii="Times New Roman" w:hAnsi="Times New Roman" w:cs="Times New Roman"/>
          <w:sz w:val="20"/>
          <w:szCs w:val="20"/>
        </w:rPr>
        <w:t xml:space="preserve"> </w:t>
      </w:r>
      <w:r>
        <w:rPr>
          <w:rFonts w:ascii="Times New Roman" w:hAnsi="Times New Roman" w:cs="Times New Roman"/>
          <w:sz w:val="20"/>
          <w:szCs w:val="20"/>
        </w:rPr>
        <w:t>represents</w:t>
      </w:r>
      <w:r w:rsidRPr="00BB474F">
        <w:rPr>
          <w:rFonts w:ascii="Times New Roman" w:hAnsi="Times New Roman" w:cs="Times New Roman"/>
          <w:sz w:val="20"/>
          <w:szCs w:val="20"/>
        </w:rPr>
        <w:t xml:space="preserve"> the set of covariates (e.g., age, gender, severity of illness, type of insurance, </w:t>
      </w:r>
      <w:proofErr w:type="spellStart"/>
      <w:r w:rsidRPr="00BB474F">
        <w:rPr>
          <w:rFonts w:ascii="Times New Roman" w:hAnsi="Times New Roman" w:cs="Times New Roman"/>
          <w:sz w:val="20"/>
          <w:szCs w:val="20"/>
        </w:rPr>
        <w:t>comorbidities</w:t>
      </w:r>
      <w:proofErr w:type="spellEnd"/>
      <w:r w:rsidRPr="00BB474F">
        <w:rPr>
          <w:rFonts w:ascii="Times New Roman" w:hAnsi="Times New Roman" w:cs="Times New Roman"/>
          <w:sz w:val="20"/>
          <w:szCs w:val="20"/>
        </w:rPr>
        <w:t>).</w:t>
      </w:r>
    </w:p>
    <w:p w:rsidR="008843AE" w:rsidRPr="00BB474F" w:rsidRDefault="008843AE" w:rsidP="004C2E17">
      <w:pPr>
        <w:pStyle w:val="NormalWeb"/>
        <w:spacing w:line="480" w:lineRule="auto"/>
        <w:jc w:val="both"/>
        <w:rPr>
          <w:sz w:val="20"/>
          <w:szCs w:val="20"/>
        </w:rPr>
      </w:pPr>
      <w:r w:rsidRPr="00BB474F">
        <w:rPr>
          <w:sz w:val="20"/>
          <w:szCs w:val="20"/>
        </w:rPr>
        <w:t xml:space="preserve">The </w:t>
      </w:r>
      <w:proofErr w:type="spellStart"/>
      <w:r w:rsidRPr="00BB474F">
        <w:rPr>
          <w:sz w:val="20"/>
          <w:szCs w:val="20"/>
        </w:rPr>
        <w:t>quantile</w:t>
      </w:r>
      <w:proofErr w:type="spellEnd"/>
      <w:r w:rsidRPr="00BB474F">
        <w:rPr>
          <w:sz w:val="20"/>
          <w:szCs w:val="20"/>
        </w:rPr>
        <w:t xml:space="preserve"> regression model can be written as:</w:t>
      </w:r>
    </w:p>
    <w:p w:rsidR="008843AE" w:rsidRPr="00663A83" w:rsidRDefault="008843AE" w:rsidP="004C2E17">
      <w:pPr>
        <w:spacing w:line="480" w:lineRule="auto"/>
        <w:jc w:val="center"/>
        <w:rPr>
          <w:rFonts w:ascii="Times New Roman" w:eastAsia="Times New Roman" w:hAnsi="Times New Roman" w:cs="Times New Roman"/>
          <w:sz w:val="24"/>
          <w:szCs w:val="20"/>
        </w:rPr>
      </w:pPr>
      <w:r w:rsidRPr="00663A83">
        <w:rPr>
          <w:rFonts w:ascii="Times New Roman" w:eastAsia="Times New Roman" w:hAnsi="Times New Roman" w:cs="Times New Roman"/>
          <w:sz w:val="20"/>
          <w:szCs w:val="20"/>
        </w:rPr>
        <w:t>Q</w:t>
      </w:r>
      <w:r w:rsidRPr="00663A83">
        <w:rPr>
          <w:rFonts w:ascii="Times New Roman" w:eastAsia="Times New Roman" w:hAnsi="Times New Roman" w:cs="Times New Roman"/>
          <w:sz w:val="20"/>
          <w:szCs w:val="20"/>
          <w:vertAlign w:val="subscript"/>
        </w:rPr>
        <w:t>T</w:t>
      </w:r>
      <w:r w:rsidRPr="00663A83">
        <w:rPr>
          <w:rFonts w:ascii="Times New Roman" w:eastAsia="Times New Roman" w:hAnsi="Times New Roman" w:cs="Times New Roman"/>
          <w:sz w:val="20"/>
          <w:szCs w:val="20"/>
        </w:rPr>
        <w:t xml:space="preserve">(Y/X) = </w:t>
      </w:r>
      <w:r w:rsidRPr="00663A83">
        <w:rPr>
          <w:rStyle w:val="mord"/>
          <w:rFonts w:ascii="Times New Roman" w:hAnsi="Times New Roman" w:cs="Times New Roman"/>
          <w:sz w:val="20"/>
          <w:szCs w:val="20"/>
        </w:rPr>
        <w:t>β</w:t>
      </w:r>
      <w:r w:rsidRPr="00663A83">
        <w:rPr>
          <w:rStyle w:val="mord"/>
          <w:rFonts w:ascii="Times New Roman" w:hAnsi="Times New Roman" w:cs="Times New Roman"/>
          <w:sz w:val="20"/>
          <w:szCs w:val="20"/>
          <w:vertAlign w:val="subscript"/>
        </w:rPr>
        <w:t>0</w:t>
      </w:r>
      <w:r w:rsidRPr="00663A83">
        <w:rPr>
          <w:rStyle w:val="vlist-s"/>
          <w:rFonts w:ascii="Times New Roman" w:hAnsi="Times New Roman" w:cs="Times New Roman"/>
          <w:sz w:val="20"/>
          <w:szCs w:val="20"/>
        </w:rPr>
        <w:t>​</w:t>
      </w:r>
      <w:r w:rsidRPr="00663A83">
        <w:rPr>
          <w:rStyle w:val="mopen"/>
          <w:rFonts w:ascii="Times New Roman" w:hAnsi="Times New Roman" w:cs="Times New Roman"/>
          <w:sz w:val="20"/>
          <w:szCs w:val="20"/>
        </w:rPr>
        <w:t>(</w:t>
      </w:r>
      <w:r w:rsidRPr="00663A83">
        <w:rPr>
          <w:rStyle w:val="mord"/>
          <w:rFonts w:ascii="Times New Roman" w:hAnsi="Times New Roman" w:cs="Times New Roman"/>
          <w:sz w:val="20"/>
          <w:szCs w:val="20"/>
        </w:rPr>
        <w:t>τ</w:t>
      </w:r>
      <w:r w:rsidRPr="00663A83">
        <w:rPr>
          <w:rStyle w:val="mclose"/>
          <w:rFonts w:ascii="Times New Roman" w:hAnsi="Times New Roman" w:cs="Times New Roman"/>
          <w:sz w:val="20"/>
          <w:szCs w:val="20"/>
        </w:rPr>
        <w:t xml:space="preserve">) + </w:t>
      </w:r>
      <w:r w:rsidRPr="00663A83">
        <w:rPr>
          <w:rStyle w:val="mord"/>
          <w:rFonts w:ascii="Times New Roman" w:hAnsi="Times New Roman" w:cs="Times New Roman"/>
          <w:sz w:val="20"/>
          <w:szCs w:val="20"/>
        </w:rPr>
        <w:t>β</w:t>
      </w:r>
      <w:r w:rsidRPr="00663A83">
        <w:rPr>
          <w:rStyle w:val="mord"/>
          <w:rFonts w:ascii="Times New Roman" w:hAnsi="Times New Roman" w:cs="Times New Roman"/>
          <w:sz w:val="20"/>
          <w:szCs w:val="20"/>
          <w:vertAlign w:val="subscript"/>
        </w:rPr>
        <w:t>1</w:t>
      </w:r>
      <w:r w:rsidRPr="00663A83">
        <w:rPr>
          <w:rStyle w:val="vlist-s"/>
          <w:rFonts w:ascii="Times New Roman" w:hAnsi="Times New Roman" w:cs="Times New Roman"/>
          <w:sz w:val="20"/>
          <w:szCs w:val="20"/>
        </w:rPr>
        <w:t>​</w:t>
      </w:r>
      <w:r w:rsidRPr="00663A83">
        <w:rPr>
          <w:rStyle w:val="mopen"/>
          <w:rFonts w:ascii="Times New Roman" w:hAnsi="Times New Roman" w:cs="Times New Roman"/>
          <w:sz w:val="20"/>
          <w:szCs w:val="20"/>
        </w:rPr>
        <w:t>(</w:t>
      </w:r>
      <w:r w:rsidRPr="00663A83">
        <w:rPr>
          <w:rStyle w:val="mord"/>
          <w:rFonts w:ascii="Times New Roman" w:hAnsi="Times New Roman" w:cs="Times New Roman"/>
          <w:sz w:val="20"/>
          <w:szCs w:val="20"/>
        </w:rPr>
        <w:t>τ</w:t>
      </w:r>
      <w:r w:rsidRPr="00663A83">
        <w:rPr>
          <w:rStyle w:val="mclose"/>
          <w:rFonts w:ascii="Times New Roman" w:hAnsi="Times New Roman" w:cs="Times New Roman"/>
          <w:sz w:val="20"/>
          <w:szCs w:val="20"/>
        </w:rPr>
        <w:t xml:space="preserve">) </w:t>
      </w:r>
      <w:r w:rsidRPr="00663A83">
        <w:rPr>
          <w:rStyle w:val="mord"/>
          <w:rFonts w:ascii="Times New Roman" w:hAnsi="Times New Roman" w:cs="Times New Roman"/>
          <w:sz w:val="20"/>
          <w:szCs w:val="20"/>
        </w:rPr>
        <w:t>X</w:t>
      </w:r>
      <w:r w:rsidRPr="00663A83">
        <w:rPr>
          <w:rStyle w:val="mord"/>
          <w:rFonts w:ascii="Times New Roman" w:hAnsi="Times New Roman" w:cs="Times New Roman"/>
          <w:sz w:val="20"/>
          <w:szCs w:val="20"/>
          <w:vertAlign w:val="subscript"/>
        </w:rPr>
        <w:t>1</w:t>
      </w:r>
      <w:r w:rsidRPr="00663A83">
        <w:rPr>
          <w:rStyle w:val="vlist-s"/>
          <w:rFonts w:ascii="Times New Roman" w:hAnsi="Times New Roman" w:cs="Times New Roman"/>
          <w:sz w:val="20"/>
          <w:szCs w:val="20"/>
        </w:rPr>
        <w:t xml:space="preserve">​+ </w:t>
      </w:r>
      <w:r w:rsidRPr="00663A83">
        <w:rPr>
          <w:rStyle w:val="mord"/>
          <w:rFonts w:ascii="Times New Roman" w:hAnsi="Times New Roman" w:cs="Times New Roman"/>
          <w:sz w:val="20"/>
          <w:szCs w:val="20"/>
        </w:rPr>
        <w:t>β2</w:t>
      </w:r>
      <w:r w:rsidRPr="00663A83">
        <w:rPr>
          <w:rStyle w:val="vlist-s"/>
          <w:rFonts w:ascii="Times New Roman" w:hAnsi="Times New Roman" w:cs="Times New Roman"/>
          <w:sz w:val="20"/>
          <w:szCs w:val="20"/>
        </w:rPr>
        <w:t>​</w:t>
      </w:r>
      <w:r w:rsidRPr="00663A83">
        <w:rPr>
          <w:rStyle w:val="mopen"/>
          <w:rFonts w:ascii="Times New Roman" w:hAnsi="Times New Roman" w:cs="Times New Roman"/>
          <w:sz w:val="20"/>
          <w:szCs w:val="20"/>
        </w:rPr>
        <w:t>(</w:t>
      </w:r>
      <w:r w:rsidRPr="00663A83">
        <w:rPr>
          <w:rStyle w:val="mord"/>
          <w:rFonts w:ascii="Times New Roman" w:hAnsi="Times New Roman" w:cs="Times New Roman"/>
          <w:sz w:val="20"/>
          <w:szCs w:val="20"/>
        </w:rPr>
        <w:t>τ</w:t>
      </w:r>
      <w:r w:rsidRPr="00663A83">
        <w:rPr>
          <w:rStyle w:val="mclose"/>
          <w:rFonts w:ascii="Times New Roman" w:hAnsi="Times New Roman" w:cs="Times New Roman"/>
          <w:sz w:val="20"/>
          <w:szCs w:val="20"/>
        </w:rPr>
        <w:t>)</w:t>
      </w:r>
      <w:r w:rsidRPr="00663A83">
        <w:rPr>
          <w:rStyle w:val="mord"/>
          <w:rFonts w:ascii="Times New Roman" w:hAnsi="Times New Roman" w:cs="Times New Roman"/>
          <w:sz w:val="20"/>
          <w:szCs w:val="20"/>
        </w:rPr>
        <w:t xml:space="preserve"> X</w:t>
      </w:r>
      <w:r w:rsidRPr="00663A83">
        <w:rPr>
          <w:rStyle w:val="mord"/>
          <w:rFonts w:ascii="Times New Roman" w:hAnsi="Times New Roman" w:cs="Times New Roman"/>
          <w:sz w:val="20"/>
          <w:szCs w:val="20"/>
          <w:vertAlign w:val="subscript"/>
        </w:rPr>
        <w:t>2</w:t>
      </w:r>
      <w:r w:rsidRPr="00663A83">
        <w:rPr>
          <w:rStyle w:val="vlist-s"/>
          <w:rFonts w:ascii="Times New Roman" w:hAnsi="Times New Roman" w:cs="Times New Roman"/>
          <w:sz w:val="20"/>
          <w:szCs w:val="20"/>
        </w:rPr>
        <w:t xml:space="preserve">​+ ……. + </w:t>
      </w:r>
      <w:proofErr w:type="spellStart"/>
      <w:r w:rsidRPr="00663A83">
        <w:rPr>
          <w:rFonts w:ascii="Times New Roman" w:eastAsia="Times New Roman" w:hAnsi="Times New Roman" w:cs="Times New Roman"/>
          <w:sz w:val="20"/>
          <w:szCs w:val="20"/>
        </w:rPr>
        <w:t>β</w:t>
      </w:r>
      <w:r w:rsidRPr="00663A83">
        <w:rPr>
          <w:rFonts w:ascii="Times New Roman" w:eastAsia="Times New Roman" w:hAnsi="Times New Roman" w:cs="Times New Roman"/>
          <w:sz w:val="20"/>
          <w:szCs w:val="20"/>
          <w:vertAlign w:val="subscript"/>
        </w:rPr>
        <w:t>k</w:t>
      </w:r>
      <w:proofErr w:type="spellEnd"/>
      <w:r w:rsidRPr="00663A83">
        <w:rPr>
          <w:rFonts w:ascii="Times New Roman" w:eastAsia="Times New Roman" w:hAnsi="Times New Roman" w:cs="Times New Roman"/>
          <w:sz w:val="20"/>
          <w:szCs w:val="20"/>
        </w:rPr>
        <w:t xml:space="preserve">​(τ) </w:t>
      </w:r>
      <w:proofErr w:type="spellStart"/>
      <w:r w:rsidRPr="00663A83">
        <w:rPr>
          <w:rFonts w:ascii="Times New Roman" w:eastAsia="Times New Roman" w:hAnsi="Times New Roman" w:cs="Times New Roman"/>
          <w:sz w:val="20"/>
          <w:szCs w:val="20"/>
        </w:rPr>
        <w:t>X</w:t>
      </w:r>
      <w:r w:rsidRPr="00663A83">
        <w:rPr>
          <w:rFonts w:ascii="Times New Roman" w:eastAsia="Times New Roman" w:hAnsi="Times New Roman" w:cs="Times New Roman"/>
          <w:sz w:val="20"/>
          <w:szCs w:val="20"/>
          <w:vertAlign w:val="subscript"/>
        </w:rPr>
        <w:t>k</w:t>
      </w:r>
      <w:proofErr w:type="spellEnd"/>
      <w:r w:rsidRPr="00663A83">
        <w:rPr>
          <w:rFonts w:ascii="Times New Roman" w:eastAsia="Times New Roman" w:hAnsi="Times New Roman" w:cs="Times New Roman"/>
          <w:sz w:val="20"/>
          <w:szCs w:val="20"/>
          <w:vertAlign w:val="subscript"/>
        </w:rPr>
        <w:t xml:space="preserve">​    -     </w:t>
      </w:r>
      <w:r w:rsidRPr="00663A83">
        <w:rPr>
          <w:rFonts w:ascii="Times New Roman" w:eastAsia="Times New Roman" w:hAnsi="Times New Roman" w:cs="Times New Roman"/>
          <w:sz w:val="20"/>
          <w:szCs w:val="20"/>
        </w:rPr>
        <w:t>(4)</w:t>
      </w:r>
    </w:p>
    <w:p w:rsidR="008843AE" w:rsidRPr="00A02D36" w:rsidRDefault="008843AE" w:rsidP="004C2E17">
      <w:pPr>
        <w:spacing w:before="100" w:beforeAutospacing="1" w:after="100" w:afterAutospacing="1" w:line="480" w:lineRule="auto"/>
        <w:rPr>
          <w:rFonts w:ascii="Times New Roman" w:eastAsia="Times New Roman" w:hAnsi="Times New Roman" w:cs="Times New Roman"/>
          <w:sz w:val="20"/>
          <w:szCs w:val="20"/>
        </w:rPr>
      </w:pPr>
      <w:r w:rsidRPr="00A02D36">
        <w:rPr>
          <w:rFonts w:ascii="Times New Roman" w:eastAsia="Times New Roman" w:hAnsi="Times New Roman" w:cs="Times New Roman"/>
          <w:sz w:val="20"/>
          <w:szCs w:val="20"/>
        </w:rPr>
        <w:t>Where:</w:t>
      </w:r>
    </w:p>
    <w:p w:rsidR="008843AE" w:rsidRPr="00A02D36" w:rsidRDefault="008843AE" w:rsidP="004C2E17">
      <w:pPr>
        <w:numPr>
          <w:ilvl w:val="0"/>
          <w:numId w:val="14"/>
        </w:numPr>
        <w:spacing w:before="100" w:beforeAutospacing="1" w:after="100" w:afterAutospacing="1" w:line="480" w:lineRule="auto"/>
        <w:jc w:val="both"/>
        <w:rPr>
          <w:rFonts w:ascii="Times New Roman" w:eastAsia="Times New Roman" w:hAnsi="Times New Roman" w:cs="Times New Roman"/>
          <w:sz w:val="20"/>
          <w:szCs w:val="20"/>
        </w:rPr>
      </w:pPr>
      <w:r w:rsidRPr="00A02D36">
        <w:rPr>
          <w:rFonts w:ascii="Times New Roman" w:eastAsia="Times New Roman" w:hAnsi="Times New Roman" w:cs="Times New Roman"/>
          <w:b/>
          <w:sz w:val="20"/>
          <w:szCs w:val="20"/>
        </w:rPr>
        <w:t>Q</w:t>
      </w:r>
      <w:r w:rsidRPr="00A02D36">
        <w:rPr>
          <w:rFonts w:ascii="Times New Roman" w:eastAsia="Times New Roman" w:hAnsi="Times New Roman" w:cs="Times New Roman"/>
          <w:b/>
          <w:sz w:val="20"/>
          <w:szCs w:val="20"/>
          <w:vertAlign w:val="subscript"/>
        </w:rPr>
        <w:t>T</w:t>
      </w:r>
      <w:r w:rsidRPr="00A02D36">
        <w:rPr>
          <w:rFonts w:ascii="Times New Roman" w:eastAsia="Times New Roman" w:hAnsi="Times New Roman" w:cs="Times New Roman"/>
          <w:b/>
          <w:sz w:val="20"/>
          <w:szCs w:val="20"/>
        </w:rPr>
        <w:t>(Y/X)</w:t>
      </w:r>
      <w:r w:rsidRPr="00A02D36">
        <w:rPr>
          <w:rFonts w:ascii="Times New Roman" w:eastAsia="Times New Roman" w:hAnsi="Times New Roman" w:cs="Times New Roman"/>
          <w:sz w:val="20"/>
          <w:szCs w:val="20"/>
        </w:rPr>
        <w:t xml:space="preserve"> is the conditional </w:t>
      </w:r>
      <w:proofErr w:type="spellStart"/>
      <w:r w:rsidRPr="00A02D36">
        <w:rPr>
          <w:rFonts w:ascii="Times New Roman" w:eastAsia="Times New Roman" w:hAnsi="Times New Roman" w:cs="Times New Roman"/>
          <w:sz w:val="20"/>
          <w:szCs w:val="20"/>
        </w:rPr>
        <w:t>quantile</w:t>
      </w:r>
      <w:proofErr w:type="spellEnd"/>
      <w:r w:rsidRPr="00A02D36">
        <w:rPr>
          <w:rFonts w:ascii="Times New Roman" w:eastAsia="Times New Roman" w:hAnsi="Times New Roman" w:cs="Times New Roman"/>
          <w:sz w:val="20"/>
          <w:szCs w:val="20"/>
        </w:rPr>
        <w:t xml:space="preserve"> (e.g., 25th, 50th, 75th percentile) of hospitalization costs given covariates X.</w:t>
      </w:r>
    </w:p>
    <w:p w:rsidR="008843AE" w:rsidRPr="00B94F26" w:rsidRDefault="008843AE" w:rsidP="004C2E17">
      <w:pPr>
        <w:numPr>
          <w:ilvl w:val="0"/>
          <w:numId w:val="14"/>
        </w:numPr>
        <w:spacing w:before="100" w:beforeAutospacing="1" w:after="100" w:afterAutospacing="1" w:line="480" w:lineRule="auto"/>
        <w:rPr>
          <w:rFonts w:ascii="Times New Roman" w:eastAsia="Times New Roman" w:hAnsi="Times New Roman" w:cs="Times New Roman"/>
          <w:sz w:val="20"/>
          <w:szCs w:val="20"/>
        </w:rPr>
      </w:pPr>
      <w:proofErr w:type="gramStart"/>
      <w:r w:rsidRPr="00A02D36">
        <w:rPr>
          <w:rFonts w:ascii="Times New Roman" w:eastAsia="Times New Roman" w:hAnsi="Times New Roman" w:cs="Times New Roman"/>
          <w:sz w:val="20"/>
          <w:szCs w:val="20"/>
        </w:rPr>
        <w:t>β</w:t>
      </w:r>
      <w:proofErr w:type="gramEnd"/>
      <w:r w:rsidRPr="00A02D36">
        <w:rPr>
          <w:rFonts w:ascii="Times New Roman" w:eastAsia="Times New Roman" w:hAnsi="Times New Roman" w:cs="Times New Roman"/>
          <w:sz w:val="20"/>
          <w:szCs w:val="20"/>
        </w:rPr>
        <w:t xml:space="preserve"> (τ) are the regression coefficients estimated at the </w:t>
      </w:r>
      <w:proofErr w:type="spellStart"/>
      <w:r w:rsidRPr="00A02D36">
        <w:rPr>
          <w:rFonts w:ascii="Times New Roman" w:eastAsia="Times New Roman" w:hAnsi="Times New Roman" w:cs="Times New Roman"/>
          <w:sz w:val="20"/>
          <w:szCs w:val="20"/>
        </w:rPr>
        <w:t>τ</w:t>
      </w:r>
      <w:r w:rsidRPr="00A02D36">
        <w:rPr>
          <w:rFonts w:ascii="Times New Roman" w:eastAsia="Times New Roman" w:hAnsi="Times New Roman" w:cs="Times New Roman"/>
          <w:sz w:val="20"/>
          <w:szCs w:val="20"/>
          <w:vertAlign w:val="superscript"/>
        </w:rPr>
        <w:t>th</w:t>
      </w:r>
      <w:proofErr w:type="spellEnd"/>
      <w:r w:rsidRPr="00A02D36">
        <w:rPr>
          <w:rFonts w:ascii="Times New Roman" w:eastAsia="Times New Roman" w:hAnsi="Times New Roman" w:cs="Times New Roman"/>
          <w:sz w:val="20"/>
          <w:szCs w:val="20"/>
        </w:rPr>
        <w:t xml:space="preserve"> </w:t>
      </w:r>
      <w:proofErr w:type="spellStart"/>
      <w:r w:rsidRPr="00A02D36">
        <w:rPr>
          <w:rFonts w:ascii="Times New Roman" w:eastAsia="Times New Roman" w:hAnsi="Times New Roman" w:cs="Times New Roman"/>
          <w:sz w:val="20"/>
          <w:szCs w:val="20"/>
        </w:rPr>
        <w:t>quantile</w:t>
      </w:r>
      <w:proofErr w:type="spellEnd"/>
      <w:r w:rsidRPr="00A02D36">
        <w:rPr>
          <w:rFonts w:ascii="Times New Roman" w:eastAsia="Times New Roman" w:hAnsi="Times New Roman" w:cs="Times New Roman"/>
          <w:sz w:val="20"/>
          <w:szCs w:val="20"/>
        </w:rPr>
        <w:t>.</w:t>
      </w:r>
    </w:p>
    <w:p w:rsidR="008843AE" w:rsidRPr="00493AB3" w:rsidRDefault="008843AE" w:rsidP="004C2E17">
      <w:pPr>
        <w:spacing w:before="100" w:beforeAutospacing="1" w:after="100" w:afterAutospacing="1" w:line="480" w:lineRule="auto"/>
        <w:jc w:val="both"/>
        <w:rPr>
          <w:rFonts w:ascii="Times New Roman" w:hAnsi="Times New Roman" w:cs="Times New Roman"/>
          <w:b/>
          <w:sz w:val="24"/>
          <w:szCs w:val="24"/>
        </w:rPr>
      </w:pPr>
      <w:r w:rsidRPr="0003443F">
        <w:rPr>
          <w:rFonts w:ascii="Times New Roman" w:hAnsi="Times New Roman" w:cs="Times New Roman"/>
          <w:b/>
          <w:sz w:val="24"/>
          <w:szCs w:val="24"/>
        </w:rPr>
        <w:t>Calculation method and data per cost component</w:t>
      </w:r>
    </w:p>
    <w:p w:rsidR="008843AE" w:rsidRPr="00EB279B" w:rsidRDefault="008843AE" w:rsidP="004C2E17">
      <w:pPr>
        <w:pStyle w:val="ListParagraph"/>
        <w:numPr>
          <w:ilvl w:val="0"/>
          <w:numId w:val="8"/>
        </w:numPr>
        <w:spacing w:before="100" w:beforeAutospacing="1" w:after="100" w:afterAutospacing="1" w:line="480" w:lineRule="auto"/>
        <w:rPr>
          <w:rFonts w:ascii="Times New Roman" w:eastAsia="Times New Roman" w:hAnsi="Times New Roman" w:cs="Times New Roman"/>
          <w:b/>
          <w:sz w:val="20"/>
          <w:szCs w:val="20"/>
        </w:rPr>
      </w:pPr>
      <w:r w:rsidRPr="00EB279B">
        <w:rPr>
          <w:rFonts w:ascii="Times New Roman" w:hAnsi="Times New Roman" w:cs="Times New Roman"/>
          <w:b/>
          <w:sz w:val="20"/>
          <w:szCs w:val="20"/>
        </w:rPr>
        <w:t>Medical costs</w:t>
      </w:r>
    </w:p>
    <w:p w:rsidR="008843AE" w:rsidRPr="009C542B" w:rsidRDefault="008843AE" w:rsidP="004C2E17">
      <w:pPr>
        <w:spacing w:before="100" w:beforeAutospacing="1" w:after="100" w:afterAutospacing="1" w:line="480" w:lineRule="auto"/>
        <w:rPr>
          <w:rFonts w:ascii="Times New Roman" w:eastAsia="Times New Roman" w:hAnsi="Times New Roman" w:cs="Times New Roman"/>
          <w:szCs w:val="24"/>
        </w:rPr>
      </w:pPr>
      <w:r w:rsidRPr="009C542B">
        <w:rPr>
          <w:rFonts w:ascii="Times New Roman" w:eastAsia="Times New Roman" w:hAnsi="Times New Roman" w:cs="Times New Roman"/>
          <w:szCs w:val="24"/>
        </w:rPr>
        <w:t>The following medical expenses have been covered:</w:t>
      </w:r>
    </w:p>
    <w:p w:rsidR="008843AE" w:rsidRPr="009C542B" w:rsidRDefault="008843AE" w:rsidP="004C2E17">
      <w:pPr>
        <w:numPr>
          <w:ilvl w:val="0"/>
          <w:numId w:val="15"/>
        </w:numPr>
        <w:spacing w:before="100" w:beforeAutospacing="1" w:after="100" w:afterAutospacing="1" w:line="480" w:lineRule="auto"/>
        <w:rPr>
          <w:rFonts w:ascii="Times New Roman" w:eastAsia="Times New Roman" w:hAnsi="Times New Roman" w:cs="Times New Roman"/>
          <w:szCs w:val="24"/>
        </w:rPr>
      </w:pPr>
      <w:r w:rsidRPr="009C542B">
        <w:rPr>
          <w:rFonts w:ascii="Times New Roman" w:eastAsia="Times New Roman" w:hAnsi="Times New Roman" w:cs="Times New Roman"/>
          <w:szCs w:val="24"/>
        </w:rPr>
        <w:t>Transportation of casualties to the hospital</w:t>
      </w:r>
    </w:p>
    <w:p w:rsidR="008843AE" w:rsidRPr="009C542B" w:rsidRDefault="008843AE" w:rsidP="004C2E17">
      <w:pPr>
        <w:numPr>
          <w:ilvl w:val="0"/>
          <w:numId w:val="15"/>
        </w:numPr>
        <w:spacing w:before="100" w:beforeAutospacing="1" w:after="100" w:afterAutospacing="1" w:line="480" w:lineRule="auto"/>
        <w:rPr>
          <w:rFonts w:ascii="Times New Roman" w:eastAsia="Times New Roman" w:hAnsi="Times New Roman" w:cs="Times New Roman"/>
          <w:szCs w:val="24"/>
        </w:rPr>
      </w:pPr>
      <w:r w:rsidRPr="009C542B">
        <w:rPr>
          <w:rFonts w:ascii="Times New Roman" w:eastAsia="Times New Roman" w:hAnsi="Times New Roman" w:cs="Times New Roman"/>
          <w:szCs w:val="24"/>
        </w:rPr>
        <w:t>Treatment in the hospital’s emergency department</w:t>
      </w:r>
    </w:p>
    <w:p w:rsidR="008843AE" w:rsidRPr="009C542B" w:rsidRDefault="008843AE" w:rsidP="004C2E17">
      <w:pPr>
        <w:numPr>
          <w:ilvl w:val="0"/>
          <w:numId w:val="15"/>
        </w:numPr>
        <w:spacing w:before="100" w:beforeAutospacing="1" w:after="100" w:afterAutospacing="1" w:line="480" w:lineRule="auto"/>
        <w:rPr>
          <w:rFonts w:ascii="Times New Roman" w:eastAsia="Times New Roman" w:hAnsi="Times New Roman" w:cs="Times New Roman"/>
          <w:szCs w:val="24"/>
        </w:rPr>
      </w:pPr>
      <w:r w:rsidRPr="009C542B">
        <w:rPr>
          <w:rFonts w:ascii="Times New Roman" w:eastAsia="Times New Roman" w:hAnsi="Times New Roman" w:cs="Times New Roman"/>
          <w:szCs w:val="24"/>
        </w:rPr>
        <w:t>In-patient hospital care, including overnight stays</w:t>
      </w:r>
    </w:p>
    <w:p w:rsidR="008843AE" w:rsidRPr="00EB279B" w:rsidRDefault="008843AE" w:rsidP="004C2E17">
      <w:pPr>
        <w:numPr>
          <w:ilvl w:val="0"/>
          <w:numId w:val="15"/>
        </w:numPr>
        <w:spacing w:before="100" w:beforeAutospacing="1" w:after="100" w:afterAutospacing="1" w:line="480" w:lineRule="auto"/>
        <w:rPr>
          <w:rFonts w:ascii="Times New Roman" w:eastAsia="Times New Roman" w:hAnsi="Times New Roman" w:cs="Times New Roman"/>
          <w:szCs w:val="24"/>
        </w:rPr>
      </w:pPr>
      <w:r w:rsidRPr="009C542B">
        <w:rPr>
          <w:rFonts w:ascii="Times New Roman" w:eastAsia="Times New Roman" w:hAnsi="Times New Roman" w:cs="Times New Roman"/>
          <w:szCs w:val="24"/>
        </w:rPr>
        <w:t>Rehabilitation services</w:t>
      </w:r>
    </w:p>
    <w:p w:rsidR="008843AE" w:rsidRPr="00EB279B" w:rsidRDefault="008843AE" w:rsidP="004C2E17">
      <w:pPr>
        <w:pStyle w:val="NormalWeb"/>
        <w:spacing w:line="480" w:lineRule="auto"/>
        <w:jc w:val="both"/>
        <w:rPr>
          <w:sz w:val="22"/>
        </w:rPr>
      </w:pPr>
      <w:r w:rsidRPr="00EB279B">
        <w:rPr>
          <w:sz w:val="22"/>
        </w:rPr>
        <w:t>Additionally, funeral expenses have been included as a medical cost item, though they could also fall under ‘other costs’ [3]. It is not unusual to include funeral costs within medical expenses [18], and we have adopted this approach here. However, costs related to out-patient treatments (outside of emergency department care) and non-hospital treatments (such as services provided by a general practitioner) have been excluded due to a lack of available data in Kazakhstan. These costs are presumed to be relatively minor compared to hospitalization costs. Casualty transportation expenses are estimated based on the number of casualties transported to the hospital by ambulance and the average cost per ambulance trip. Similarly, costs for emergency treatment, in-patient hospital care, and rehabilitation are calculated using the number of casualties receiving each type of care and the associated average cost (unit cost) per treatment. The unit costs for in-patient hospital care and rehabilitation are determined by the average number of days of treatment and the cost per day.</w:t>
      </w:r>
    </w:p>
    <w:p w:rsidR="008843AE" w:rsidRPr="00222FD0" w:rsidRDefault="008843AE" w:rsidP="004C2E17">
      <w:pPr>
        <w:pStyle w:val="ListParagraph"/>
        <w:numPr>
          <w:ilvl w:val="0"/>
          <w:numId w:val="8"/>
        </w:numPr>
        <w:spacing w:before="100" w:beforeAutospacing="1" w:after="100" w:afterAutospacing="1" w:line="480" w:lineRule="auto"/>
        <w:rPr>
          <w:rFonts w:ascii="Times New Roman" w:eastAsia="Times New Roman" w:hAnsi="Times New Roman" w:cs="Times New Roman"/>
          <w:b/>
          <w:sz w:val="20"/>
          <w:szCs w:val="20"/>
        </w:rPr>
      </w:pPr>
      <w:r w:rsidRPr="00222FD0">
        <w:rPr>
          <w:rFonts w:ascii="Times New Roman" w:hAnsi="Times New Roman" w:cs="Times New Roman"/>
          <w:b/>
          <w:sz w:val="20"/>
          <w:szCs w:val="20"/>
        </w:rPr>
        <w:t>Production loss</w:t>
      </w:r>
    </w:p>
    <w:p w:rsidR="00CF2171" w:rsidRPr="00931E8E" w:rsidRDefault="008843AE" w:rsidP="004C2E17">
      <w:pPr>
        <w:pStyle w:val="NormalWeb"/>
        <w:spacing w:line="480" w:lineRule="auto"/>
        <w:jc w:val="both"/>
        <w:rPr>
          <w:color w:val="00B050"/>
          <w:sz w:val="22"/>
        </w:rPr>
      </w:pPr>
      <w:r w:rsidRPr="00931E8E">
        <w:rPr>
          <w:color w:val="00B050"/>
          <w:sz w:val="22"/>
        </w:rPr>
        <w:t>Production losses arise when road casualties are unable to work, either permanently (in cases of fatalities or severe injuries) or temporarily (in cases of non-fatal injuries). In line with international best practices, we have employed the concept of gross potential production loss, which, as previously mentioned, includes consumption loss. Gross production loss has been calculated using the number of fatalities and serious injuries, the average duration of work incapacity resulting from crashes, and wage rates (as a measure of the value of gross production per unit of time). For fatalities and those permanently disabled, the duration of work incapacity corresponds to the number of productive life years remaining. This period is estimated using data from the Agency of Statistics, which includes information on the age of individuals who have sustained serious injuries or fatalities, the age of labor market entry (broken down by gender and education level), and retirement age (also by gender).</w:t>
      </w:r>
    </w:p>
    <w:p w:rsidR="008843AE" w:rsidRPr="00EB279B" w:rsidRDefault="008843AE" w:rsidP="004C2E17">
      <w:pPr>
        <w:pStyle w:val="NormalWeb"/>
        <w:numPr>
          <w:ilvl w:val="0"/>
          <w:numId w:val="8"/>
        </w:numPr>
        <w:spacing w:line="480" w:lineRule="auto"/>
        <w:jc w:val="both"/>
        <w:rPr>
          <w:b/>
          <w:sz w:val="22"/>
          <w:szCs w:val="22"/>
        </w:rPr>
      </w:pPr>
      <w:r w:rsidRPr="00EB279B">
        <w:rPr>
          <w:b/>
          <w:sz w:val="22"/>
          <w:szCs w:val="22"/>
        </w:rPr>
        <w:t>Human costs</w:t>
      </w:r>
    </w:p>
    <w:p w:rsidR="008843AE" w:rsidRDefault="008843AE" w:rsidP="004C2E17">
      <w:pPr>
        <w:spacing w:before="100" w:beforeAutospacing="1" w:after="100" w:afterAutospacing="1" w:line="480" w:lineRule="auto"/>
        <w:jc w:val="both"/>
        <w:rPr>
          <w:rFonts w:ascii="Times New Roman" w:hAnsi="Times New Roman" w:cs="Times New Roman"/>
        </w:rPr>
      </w:pPr>
      <w:r w:rsidRPr="002B7A0F">
        <w:rPr>
          <w:rFonts w:ascii="Times New Roman" w:hAnsi="Times New Roman" w:cs="Times New Roman"/>
        </w:rPr>
        <w:t>To estimate the value of a stat</w:t>
      </w:r>
      <w:r>
        <w:rPr>
          <w:rFonts w:ascii="Times New Roman" w:hAnsi="Times New Roman" w:cs="Times New Roman"/>
        </w:rPr>
        <w:t>istical life (VSL) in India</w:t>
      </w:r>
      <w:r w:rsidRPr="002B7A0F">
        <w:rPr>
          <w:rFonts w:ascii="Times New Roman" w:hAnsi="Times New Roman" w:cs="Times New Roman"/>
        </w:rPr>
        <w:t>, which underpins the calculation of human costs, a stated preference survey was conducted with a rep</w:t>
      </w:r>
      <w:r>
        <w:rPr>
          <w:rFonts w:ascii="Times New Roman" w:hAnsi="Times New Roman" w:cs="Times New Roman"/>
        </w:rPr>
        <w:t>resentative sample of the Patna</w:t>
      </w:r>
      <w:r w:rsidRPr="002B7A0F">
        <w:rPr>
          <w:rFonts w:ascii="Times New Roman" w:hAnsi="Times New Roman" w:cs="Times New Roman"/>
        </w:rPr>
        <w:t xml:space="preserve"> population. This survey aimed to determine individuals' willingness to pay for reducing the risk of fatal crashes. Stated preference methods are commonly employed to derive VSL in road safety </w:t>
      </w:r>
      <w:r>
        <w:rPr>
          <w:rFonts w:ascii="Times New Roman" w:hAnsi="Times New Roman" w:cs="Times New Roman"/>
        </w:rPr>
        <w:t>research, particularly in out of India</w:t>
      </w:r>
      <w:r w:rsidRPr="002B7A0F">
        <w:rPr>
          <w:rFonts w:ascii="Times New Roman" w:hAnsi="Times New Roman" w:cs="Times New Roman"/>
        </w:rPr>
        <w:t>, where they are often preferred over revealed preference methods. Unlike revealed preference methods, which assess risk reduction values based on actual behaviors, such as purchases of safety features like airbags, stated preference methods offer broader applicability by not relying on actual purchasing data. Additionally, because consumers may lack full awareness of the risk reductions associated with their purchases, stated preference methods enable researchers to provide this information, helping respondents better understand even minor risk reductions.</w:t>
      </w:r>
    </w:p>
    <w:p w:rsidR="008843AE" w:rsidRPr="00D00F19" w:rsidRDefault="008843AE" w:rsidP="004C2E17">
      <w:pPr>
        <w:pStyle w:val="ListParagraph"/>
        <w:numPr>
          <w:ilvl w:val="0"/>
          <w:numId w:val="8"/>
        </w:numPr>
        <w:spacing w:before="100" w:beforeAutospacing="1" w:after="100" w:afterAutospacing="1" w:line="480" w:lineRule="auto"/>
        <w:jc w:val="both"/>
        <w:rPr>
          <w:rFonts w:ascii="Times New Roman" w:hAnsi="Times New Roman" w:cs="Times New Roman"/>
          <w:b/>
          <w:sz w:val="32"/>
        </w:rPr>
      </w:pPr>
      <w:r w:rsidRPr="00D00F19">
        <w:rPr>
          <w:rFonts w:ascii="Times New Roman" w:hAnsi="Times New Roman" w:cs="Times New Roman"/>
          <w:b/>
          <w:szCs w:val="16"/>
        </w:rPr>
        <w:t>Administrative costs</w:t>
      </w:r>
    </w:p>
    <w:p w:rsidR="008843AE" w:rsidRDefault="008843AE" w:rsidP="004C2E17">
      <w:pPr>
        <w:spacing w:before="100" w:beforeAutospacing="1" w:after="100" w:afterAutospacing="1" w:line="480" w:lineRule="auto"/>
        <w:jc w:val="both"/>
        <w:rPr>
          <w:rFonts w:ascii="Times New Roman" w:hAnsi="Times New Roman" w:cs="Times New Roman"/>
        </w:rPr>
      </w:pPr>
      <w:r w:rsidRPr="00C33330">
        <w:rPr>
          <w:rFonts w:ascii="Times New Roman" w:hAnsi="Times New Roman" w:cs="Times New Roman"/>
        </w:rPr>
        <w:t>Police costs were calculated based on the number of crashes by severity, the proportion of crashes attended by police, the time spent per crash, and the average wage of police officers. The survey indicated that police attenda</w:t>
      </w:r>
      <w:r>
        <w:rPr>
          <w:rFonts w:ascii="Times New Roman" w:hAnsi="Times New Roman" w:cs="Times New Roman"/>
        </w:rPr>
        <w:t>nce varied by crash severity: 55</w:t>
      </w:r>
      <w:r w:rsidRPr="00C33330">
        <w:rPr>
          <w:rFonts w:ascii="Times New Roman" w:hAnsi="Times New Roman" w:cs="Times New Roman"/>
        </w:rPr>
        <w:t>% for property da</w:t>
      </w:r>
      <w:r>
        <w:rPr>
          <w:rFonts w:ascii="Times New Roman" w:hAnsi="Times New Roman" w:cs="Times New Roman"/>
        </w:rPr>
        <w:t>mage only (PDO) crashes (N = 185), 68</w:t>
      </w:r>
      <w:r w:rsidRPr="00C33330">
        <w:rPr>
          <w:rFonts w:ascii="Times New Roman" w:hAnsi="Times New Roman" w:cs="Times New Roman"/>
        </w:rPr>
        <w:t>% fo</w:t>
      </w:r>
      <w:r>
        <w:rPr>
          <w:rFonts w:ascii="Times New Roman" w:hAnsi="Times New Roman" w:cs="Times New Roman"/>
        </w:rPr>
        <w:t>r slight injury crashes (N = 208), and 92</w:t>
      </w:r>
      <w:r w:rsidRPr="00C33330">
        <w:rPr>
          <w:rFonts w:ascii="Times New Roman" w:hAnsi="Times New Roman" w:cs="Times New Roman"/>
        </w:rPr>
        <w:t>% fo</w:t>
      </w:r>
      <w:r>
        <w:rPr>
          <w:rFonts w:ascii="Times New Roman" w:hAnsi="Times New Roman" w:cs="Times New Roman"/>
        </w:rPr>
        <w:t>r serious injury crashes (N = 52</w:t>
      </w:r>
      <w:r w:rsidRPr="00C33330">
        <w:rPr>
          <w:rFonts w:ascii="Times New Roman" w:hAnsi="Times New Roman" w:cs="Times New Roman"/>
        </w:rPr>
        <w:t>).</w:t>
      </w:r>
      <w:r>
        <w:rPr>
          <w:rFonts w:ascii="Times New Roman" w:hAnsi="Times New Roman" w:cs="Times New Roman"/>
        </w:rPr>
        <w:t xml:space="preserve"> Table-1</w:t>
      </w:r>
    </w:p>
    <w:p w:rsidR="002B7A0F" w:rsidRPr="00D00F19" w:rsidRDefault="00D674FB" w:rsidP="004C2E17">
      <w:pPr>
        <w:spacing w:before="100" w:beforeAutospacing="1" w:after="100" w:afterAutospacing="1" w:line="480" w:lineRule="auto"/>
        <w:jc w:val="both"/>
        <w:rPr>
          <w:rFonts w:ascii="Times New Roman" w:hAnsi="Times New Roman" w:cs="Times New Roman"/>
          <w:b/>
          <w:sz w:val="24"/>
          <w:szCs w:val="16"/>
        </w:rPr>
      </w:pPr>
      <w:r>
        <w:rPr>
          <w:rFonts w:ascii="Times New Roman" w:hAnsi="Times New Roman" w:cs="Times New Roman"/>
          <w:b/>
          <w:sz w:val="24"/>
          <w:szCs w:val="16"/>
        </w:rPr>
        <w:t xml:space="preserve">4. </w:t>
      </w:r>
      <w:r w:rsidR="00D00F19" w:rsidRPr="00D00F19">
        <w:rPr>
          <w:rFonts w:ascii="Times New Roman" w:hAnsi="Times New Roman" w:cs="Times New Roman"/>
          <w:b/>
          <w:sz w:val="24"/>
          <w:szCs w:val="16"/>
        </w:rPr>
        <w:t>Results</w:t>
      </w:r>
      <w:r w:rsidR="002B7A0F" w:rsidRPr="00D00F19">
        <w:rPr>
          <w:rFonts w:ascii="Times New Roman" w:hAnsi="Times New Roman" w:cs="Times New Roman"/>
          <w:b/>
          <w:sz w:val="24"/>
          <w:szCs w:val="16"/>
        </w:rPr>
        <w:t xml:space="preserve"> and Discussion</w:t>
      </w:r>
    </w:p>
    <w:p w:rsidR="00845FBE" w:rsidRPr="005E1854" w:rsidRDefault="00845FBE" w:rsidP="004C2E17">
      <w:pPr>
        <w:spacing w:before="100" w:beforeAutospacing="1" w:after="100" w:afterAutospacing="1" w:line="480" w:lineRule="auto"/>
        <w:jc w:val="both"/>
        <w:rPr>
          <w:rFonts w:ascii="Times New Roman" w:hAnsi="Times New Roman" w:cs="Times New Roman"/>
          <w:b/>
          <w:sz w:val="36"/>
          <w:szCs w:val="16"/>
        </w:rPr>
      </w:pPr>
      <w:r>
        <w:rPr>
          <w:rFonts w:ascii="Times New Roman" w:hAnsi="Times New Roman" w:cs="Times New Roman"/>
          <w:b/>
          <w:bCs/>
          <w:szCs w:val="16"/>
        </w:rPr>
        <w:t xml:space="preserve">4.1 </w:t>
      </w:r>
      <w:r w:rsidRPr="005E1854">
        <w:rPr>
          <w:rFonts w:ascii="Times New Roman" w:hAnsi="Times New Roman" w:cs="Times New Roman"/>
          <w:b/>
          <w:bCs/>
          <w:szCs w:val="16"/>
        </w:rPr>
        <w:t>Quantitative Analysis of the Existing Literature</w:t>
      </w:r>
    </w:p>
    <w:p w:rsidR="00845FBE" w:rsidRPr="00FD7E49" w:rsidRDefault="00845FBE" w:rsidP="004C2E17">
      <w:pPr>
        <w:spacing w:before="100" w:beforeAutospacing="1" w:after="100" w:afterAutospacing="1" w:line="480" w:lineRule="auto"/>
        <w:jc w:val="both"/>
        <w:rPr>
          <w:rFonts w:ascii="Times New Roman" w:hAnsi="Times New Roman" w:cs="Times New Roman"/>
          <w:b/>
          <w:sz w:val="20"/>
          <w:szCs w:val="16"/>
        </w:rPr>
      </w:pPr>
      <w:r w:rsidRPr="00FD7E49">
        <w:rPr>
          <w:rFonts w:ascii="Times New Roman" w:hAnsi="Times New Roman" w:cs="Times New Roman"/>
          <w:b/>
          <w:sz w:val="20"/>
          <w:szCs w:val="16"/>
        </w:rPr>
        <w:t>Data Base Construction-</w:t>
      </w:r>
    </w:p>
    <w:p w:rsidR="00845FBE" w:rsidRPr="00FD7E49" w:rsidRDefault="00845FBE" w:rsidP="004C2E17">
      <w:pPr>
        <w:pStyle w:val="NormalWeb"/>
        <w:spacing w:line="480" w:lineRule="auto"/>
        <w:jc w:val="both"/>
        <w:rPr>
          <w:sz w:val="20"/>
        </w:rPr>
      </w:pPr>
      <w:r w:rsidRPr="00FD7E49">
        <w:rPr>
          <w:sz w:val="20"/>
        </w:rPr>
        <w:t>To build our database, we followed a two-step approach. First, we developed a methodology for selecting papers and designed a tagging system to extract key information from them.</w:t>
      </w:r>
    </w:p>
    <w:p w:rsidR="00845FBE" w:rsidRPr="00FD7E49" w:rsidRDefault="00845FBE" w:rsidP="004C2E17">
      <w:pPr>
        <w:pStyle w:val="NormalWeb"/>
        <w:spacing w:line="480" w:lineRule="auto"/>
        <w:jc w:val="both"/>
        <w:rPr>
          <w:sz w:val="20"/>
        </w:rPr>
      </w:pPr>
      <w:r w:rsidRPr="00FD7E49">
        <w:rPr>
          <w:rStyle w:val="Strong"/>
          <w:sz w:val="20"/>
        </w:rPr>
        <w:t>Paper Selection Methodology:</w:t>
      </w:r>
      <w:r w:rsidRPr="00FD7E49">
        <w:rPr>
          <w:sz w:val="20"/>
        </w:rPr>
        <w:t xml:space="preserve"> Papers for this literature review were identified through a two-step process. In the first step, we conducted Google Scholar searches and used tools like </w:t>
      </w:r>
      <w:proofErr w:type="spellStart"/>
      <w:r w:rsidRPr="00FD7E49">
        <w:rPr>
          <w:sz w:val="20"/>
        </w:rPr>
        <w:t>Mendeley</w:t>
      </w:r>
      <w:proofErr w:type="spellEnd"/>
      <w:r w:rsidRPr="00FD7E49">
        <w:rPr>
          <w:sz w:val="20"/>
        </w:rPr>
        <w:t>, employing various keyword combinations: (</w:t>
      </w:r>
      <w:proofErr w:type="spellStart"/>
      <w:r w:rsidRPr="00FD7E49">
        <w:rPr>
          <w:sz w:val="20"/>
        </w:rPr>
        <w:t>i</w:t>
      </w:r>
      <w:proofErr w:type="spellEnd"/>
      <w:r w:rsidRPr="00FD7E49">
        <w:rPr>
          <w:sz w:val="20"/>
        </w:rPr>
        <w:t>) road traffic crash costs, (ii) social and economic costs of road traffic crashes, and (iii) additional keywords targeting studies that assess the social and economic impacts of road traffic crashes. We also used reference lists from identified papers to enhance the screening process.</w:t>
      </w:r>
    </w:p>
    <w:p w:rsidR="00845FBE" w:rsidRPr="00FD7E49" w:rsidRDefault="00845FBE" w:rsidP="004C2E17">
      <w:pPr>
        <w:pStyle w:val="NormalWeb"/>
        <w:spacing w:line="480" w:lineRule="auto"/>
        <w:jc w:val="both"/>
        <w:rPr>
          <w:sz w:val="20"/>
        </w:rPr>
      </w:pPr>
      <w:r w:rsidRPr="00FD7E49">
        <w:rPr>
          <w:sz w:val="20"/>
        </w:rPr>
        <w:t>In the second step, we applied an additional screening criterion to refine the list. This required each paper to meet an “academic standard” and to employ one of the two main approaches to calculate the value of a statistical life: either the human capital or the willingness-to-pay approach. Each selected paper needed to present social and economic cost results using one of these methods, as discussed in Section 2.2. Papers were included regardless of whether they were published in a formal academic journal or as working papers.</w:t>
      </w:r>
    </w:p>
    <w:p w:rsidR="00845FBE" w:rsidRDefault="00845FBE" w:rsidP="004C2E17">
      <w:pPr>
        <w:pStyle w:val="NormalWeb"/>
        <w:spacing w:line="480" w:lineRule="auto"/>
        <w:jc w:val="both"/>
        <w:rPr>
          <w:sz w:val="20"/>
        </w:rPr>
      </w:pPr>
      <w:r w:rsidRPr="00FD7E49">
        <w:rPr>
          <w:sz w:val="20"/>
        </w:rPr>
        <w:t>Applying this two-step methodology</w:t>
      </w:r>
      <w:r>
        <w:rPr>
          <w:sz w:val="20"/>
        </w:rPr>
        <w:t xml:space="preserve"> resulted in a final sample of 2</w:t>
      </w:r>
      <w:r w:rsidRPr="00FD7E49">
        <w:rPr>
          <w:sz w:val="20"/>
        </w:rPr>
        <w:t>5 papers, from which</w:t>
      </w:r>
      <w:r>
        <w:rPr>
          <w:sz w:val="20"/>
        </w:rPr>
        <w:t xml:space="preserve"> we constructed a dataset of 85</w:t>
      </w:r>
      <w:r w:rsidRPr="00FD7E49">
        <w:rPr>
          <w:sz w:val="20"/>
        </w:rPr>
        <w:t xml:space="preserve"> data points estimating the costs of road traffic crashe</w:t>
      </w:r>
      <w:r>
        <w:rPr>
          <w:sz w:val="20"/>
        </w:rPr>
        <w:t>s (RTC) for the period from 2010 to 2023.</w:t>
      </w:r>
    </w:p>
    <w:p w:rsidR="00845FBE" w:rsidRDefault="00845FBE" w:rsidP="00845FBE">
      <w:pPr>
        <w:pStyle w:val="NormalWeb"/>
        <w:spacing w:line="276" w:lineRule="auto"/>
        <w:jc w:val="center"/>
        <w:rPr>
          <w:sz w:val="20"/>
        </w:rPr>
      </w:pPr>
      <w:r w:rsidRPr="00FD7E49">
        <w:rPr>
          <w:noProof/>
          <w:sz w:val="20"/>
        </w:rPr>
        <w:drawing>
          <wp:inline distT="0" distB="0" distL="0" distR="0">
            <wp:extent cx="3040673" cy="2414954"/>
            <wp:effectExtent l="19050" t="0" r="26377" b="4396"/>
            <wp:docPr id="10"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845FBE" w:rsidRDefault="00845FBE" w:rsidP="00845FBE">
      <w:pPr>
        <w:pStyle w:val="NormalWeb"/>
        <w:spacing w:line="276" w:lineRule="auto"/>
        <w:jc w:val="center"/>
        <w:rPr>
          <w:sz w:val="20"/>
        </w:rPr>
      </w:pPr>
    </w:p>
    <w:p w:rsidR="00845FBE" w:rsidRPr="00D674FB" w:rsidRDefault="00845FBE" w:rsidP="00845FBE">
      <w:pPr>
        <w:pStyle w:val="NormalWeb"/>
        <w:spacing w:line="276" w:lineRule="auto"/>
        <w:jc w:val="center"/>
        <w:rPr>
          <w:b/>
          <w:sz w:val="16"/>
        </w:rPr>
      </w:pPr>
      <w:r>
        <w:rPr>
          <w:b/>
          <w:sz w:val="20"/>
        </w:rPr>
        <w:t>Fig</w:t>
      </w:r>
      <w:r w:rsidR="003E7B02">
        <w:rPr>
          <w:b/>
          <w:sz w:val="20"/>
        </w:rPr>
        <w:t>ure</w:t>
      </w:r>
      <w:r>
        <w:rPr>
          <w:b/>
          <w:sz w:val="20"/>
        </w:rPr>
        <w:t>-2</w:t>
      </w:r>
      <w:r w:rsidRPr="00B476C4">
        <w:rPr>
          <w:b/>
          <w:sz w:val="20"/>
        </w:rPr>
        <w:t xml:space="preserve"> </w:t>
      </w:r>
      <w:r w:rsidR="003E7B02">
        <w:rPr>
          <w:b/>
          <w:sz w:val="20"/>
        </w:rPr>
        <w:t xml:space="preserve">  </w:t>
      </w:r>
      <w:r w:rsidRPr="00B476C4">
        <w:rPr>
          <w:b/>
          <w:sz w:val="20"/>
        </w:rPr>
        <w:t>List</w:t>
      </w:r>
      <w:r w:rsidRPr="00B476C4">
        <w:rPr>
          <w:rStyle w:val="Strong"/>
          <w:sz w:val="20"/>
        </w:rPr>
        <w:t xml:space="preserve"> of Papers by Country Income Classes</w:t>
      </w:r>
      <w:r w:rsidRPr="00B476C4">
        <w:rPr>
          <w:b/>
          <w:sz w:val="20"/>
        </w:rPr>
        <w:t>, organized according to the income classification based on the constructed dataset.</w:t>
      </w:r>
    </w:p>
    <w:p w:rsidR="00845FBE" w:rsidRPr="004C2E17" w:rsidRDefault="00845FBE" w:rsidP="00845FBE">
      <w:pPr>
        <w:pStyle w:val="NormalWeb"/>
        <w:spacing w:line="276" w:lineRule="auto"/>
        <w:jc w:val="both"/>
        <w:rPr>
          <w:b/>
          <w:sz w:val="20"/>
          <w:szCs w:val="22"/>
        </w:rPr>
      </w:pPr>
      <w:r w:rsidRPr="004C2E17">
        <w:rPr>
          <w:b/>
          <w:sz w:val="20"/>
          <w:szCs w:val="22"/>
        </w:rPr>
        <w:t xml:space="preserve">4.2 </w:t>
      </w:r>
      <w:r w:rsidRPr="004C2E17">
        <w:rPr>
          <w:b/>
          <w:iCs/>
          <w:sz w:val="20"/>
          <w:szCs w:val="22"/>
        </w:rPr>
        <w:t>Descriptive Analysis</w:t>
      </w:r>
    </w:p>
    <w:p w:rsidR="00845FBE" w:rsidRPr="00B476C4" w:rsidRDefault="00845FBE" w:rsidP="004C2E17">
      <w:pPr>
        <w:pStyle w:val="NormalWeb"/>
        <w:spacing w:line="480" w:lineRule="auto"/>
        <w:jc w:val="both"/>
        <w:rPr>
          <w:sz w:val="20"/>
        </w:rPr>
      </w:pPr>
      <w:r w:rsidRPr="00B476C4">
        <w:rPr>
          <w:sz w:val="20"/>
        </w:rPr>
        <w:t>This subsection examines the time trend of studies, the methodologies used, and cross-country comparisons.</w:t>
      </w:r>
    </w:p>
    <w:p w:rsidR="00845FBE" w:rsidRPr="00B476C4" w:rsidRDefault="00845FBE" w:rsidP="004C2E17">
      <w:pPr>
        <w:pStyle w:val="NormalWeb"/>
        <w:spacing w:line="480" w:lineRule="auto"/>
        <w:jc w:val="both"/>
        <w:rPr>
          <w:sz w:val="20"/>
        </w:rPr>
      </w:pPr>
      <w:r w:rsidRPr="00B476C4">
        <w:rPr>
          <w:rStyle w:val="Strong"/>
          <w:sz w:val="20"/>
        </w:rPr>
        <w:t>Time Trend:</w:t>
      </w:r>
      <w:r w:rsidRPr="00B476C4">
        <w:rPr>
          <w:sz w:val="20"/>
        </w:rPr>
        <w:t xml:space="preserve"> In recent years, there has been an increase in studies evaluating the socio-economic costs of road traffic crashes. As shown in </w:t>
      </w:r>
      <w:r w:rsidRPr="00C618A8">
        <w:rPr>
          <w:sz w:val="20"/>
        </w:rPr>
        <w:t>Fig. 3</w:t>
      </w:r>
      <w:r w:rsidRPr="00B476C4">
        <w:rPr>
          <w:sz w:val="20"/>
        </w:rPr>
        <w:t>, while only 10–25 papers were published each year between 2010 and 2016, this number rose significantly to 85 studies published between 2017 and 2024, with nearly 25 studies published in 2023 alone. This upward trend highlights the growing academic focus on assessing the socio-economic impacts of road crash fatalities and injuries.</w:t>
      </w:r>
    </w:p>
    <w:p w:rsidR="00CF2171" w:rsidRDefault="00845FBE" w:rsidP="004C2E17">
      <w:pPr>
        <w:pStyle w:val="NormalWeb"/>
        <w:spacing w:line="480" w:lineRule="auto"/>
        <w:jc w:val="both"/>
        <w:rPr>
          <w:sz w:val="20"/>
        </w:rPr>
      </w:pPr>
      <w:r w:rsidRPr="00B476C4">
        <w:rPr>
          <w:rStyle w:val="Strong"/>
          <w:sz w:val="20"/>
        </w:rPr>
        <w:t>Income Level of Countries:</w:t>
      </w:r>
      <w:r w:rsidRPr="00B476C4">
        <w:rPr>
          <w:sz w:val="20"/>
        </w:rPr>
        <w:t xml:space="preserve"> Most research has focused on high-income and upper-middle-income countries, which represent over 70% of the studi</w:t>
      </w:r>
      <w:r>
        <w:rPr>
          <w:sz w:val="20"/>
        </w:rPr>
        <w:t>es in the literature (see Fig. 4</w:t>
      </w:r>
      <w:r w:rsidRPr="00B476C4">
        <w:rPr>
          <w:sz w:val="20"/>
        </w:rPr>
        <w:t>). Despite accounting for more than 90% of global road crash fatalities, lower-income countries are underrepresented, with only 10% of research papers focusing on estimating the socio-economic costs of road traffic injuries and fatalities in these regions.</w:t>
      </w:r>
    </w:p>
    <w:p w:rsidR="00CF2171" w:rsidRPr="00B476C4" w:rsidRDefault="00CF2171" w:rsidP="00845FBE">
      <w:pPr>
        <w:pStyle w:val="NormalWeb"/>
        <w:spacing w:line="276" w:lineRule="auto"/>
        <w:jc w:val="both"/>
        <w:rPr>
          <w:sz w:val="20"/>
        </w:rPr>
      </w:pPr>
    </w:p>
    <w:tbl>
      <w:tblPr>
        <w:tblW w:w="5585" w:type="dxa"/>
        <w:jc w:val="center"/>
        <w:tblInd w:w="103" w:type="dxa"/>
        <w:tblLook w:val="04A0"/>
      </w:tblPr>
      <w:tblGrid>
        <w:gridCol w:w="2582"/>
        <w:gridCol w:w="3003"/>
      </w:tblGrid>
      <w:tr w:rsidR="00845FBE" w:rsidRPr="003941CA" w:rsidTr="008201E9">
        <w:trPr>
          <w:trHeight w:val="186"/>
          <w:jc w:val="center"/>
        </w:trPr>
        <w:tc>
          <w:tcPr>
            <w:tcW w:w="2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Times New Roman" w:eastAsia="Times New Roman" w:hAnsi="Times New Roman" w:cs="Times New Roman"/>
                <w:b/>
                <w:color w:val="000000"/>
              </w:rPr>
            </w:pPr>
            <w:r w:rsidRPr="003941CA">
              <w:rPr>
                <w:rFonts w:ascii="Times New Roman" w:eastAsia="Times New Roman" w:hAnsi="Times New Roman" w:cs="Times New Roman"/>
                <w:b/>
                <w:color w:val="000000"/>
              </w:rPr>
              <w:t>Year of Publication</w:t>
            </w:r>
          </w:p>
        </w:tc>
        <w:tc>
          <w:tcPr>
            <w:tcW w:w="3003" w:type="dxa"/>
            <w:tcBorders>
              <w:top w:val="single" w:sz="4" w:space="0" w:color="auto"/>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Times New Roman" w:eastAsia="Times New Roman" w:hAnsi="Times New Roman" w:cs="Times New Roman"/>
                <w:b/>
                <w:color w:val="000000"/>
              </w:rPr>
            </w:pPr>
            <w:r w:rsidRPr="003941CA">
              <w:rPr>
                <w:rFonts w:ascii="Times New Roman" w:eastAsia="Times New Roman" w:hAnsi="Times New Roman" w:cs="Times New Roman"/>
                <w:b/>
                <w:color w:val="000000"/>
              </w:rPr>
              <w:t>Nos. of Paper</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2000</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2002</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4</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2004</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8</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2006</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12</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2008</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8</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2010</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6</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2012</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10</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2014</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16</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2016</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9</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2018</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6</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2020</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10</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2022</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15</w:t>
            </w:r>
          </w:p>
        </w:tc>
      </w:tr>
      <w:tr w:rsidR="00845FBE" w:rsidRPr="003941CA" w:rsidTr="008201E9">
        <w:trPr>
          <w:trHeight w:val="186"/>
          <w:jc w:val="center"/>
        </w:trPr>
        <w:tc>
          <w:tcPr>
            <w:tcW w:w="2582" w:type="dxa"/>
            <w:tcBorders>
              <w:top w:val="nil"/>
              <w:left w:val="single" w:sz="4" w:space="0" w:color="auto"/>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2023</w:t>
            </w:r>
          </w:p>
        </w:tc>
        <w:tc>
          <w:tcPr>
            <w:tcW w:w="3003" w:type="dxa"/>
            <w:tcBorders>
              <w:top w:val="nil"/>
              <w:left w:val="nil"/>
              <w:bottom w:val="single" w:sz="4" w:space="0" w:color="auto"/>
              <w:right w:val="single" w:sz="4" w:space="0" w:color="auto"/>
            </w:tcBorders>
            <w:shd w:val="clear" w:color="auto" w:fill="auto"/>
            <w:noWrap/>
            <w:vAlign w:val="center"/>
            <w:hideMark/>
          </w:tcPr>
          <w:p w:rsidR="00845FBE" w:rsidRPr="003941CA" w:rsidRDefault="00845FBE" w:rsidP="008201E9">
            <w:pPr>
              <w:spacing w:after="0" w:line="240" w:lineRule="auto"/>
              <w:jc w:val="center"/>
              <w:rPr>
                <w:rFonts w:ascii="Calibri" w:eastAsia="Times New Roman" w:hAnsi="Calibri" w:cs="Calibri"/>
                <w:color w:val="000000"/>
              </w:rPr>
            </w:pPr>
            <w:r w:rsidRPr="003941CA">
              <w:rPr>
                <w:rFonts w:ascii="Calibri" w:eastAsia="Times New Roman" w:hAnsi="Calibri" w:cs="Calibri"/>
                <w:color w:val="000000"/>
              </w:rPr>
              <w:t>18</w:t>
            </w:r>
          </w:p>
        </w:tc>
      </w:tr>
    </w:tbl>
    <w:p w:rsidR="00845FBE" w:rsidRDefault="00845FBE" w:rsidP="00845FBE">
      <w:pPr>
        <w:pStyle w:val="ListParagraph"/>
        <w:jc w:val="center"/>
        <w:rPr>
          <w:rFonts w:ascii="Times New Roman" w:hAnsi="Times New Roman" w:cs="Times New Roman"/>
          <w:b/>
          <w:sz w:val="20"/>
        </w:rPr>
      </w:pPr>
    </w:p>
    <w:p w:rsidR="00845FBE" w:rsidRPr="00327BB7" w:rsidRDefault="0022486A" w:rsidP="00845FBE">
      <w:pPr>
        <w:pStyle w:val="ListParagraph"/>
        <w:jc w:val="center"/>
        <w:rPr>
          <w:rFonts w:ascii="Times New Roman" w:hAnsi="Times New Roman" w:cs="Times New Roman"/>
          <w:b/>
          <w:color w:val="000000" w:themeColor="text1"/>
          <w:sz w:val="20"/>
        </w:rPr>
      </w:pPr>
      <w:proofErr w:type="gramStart"/>
      <w:r>
        <w:rPr>
          <w:rFonts w:ascii="Times New Roman" w:hAnsi="Times New Roman" w:cs="Times New Roman"/>
          <w:b/>
          <w:color w:val="000000" w:themeColor="text1"/>
          <w:sz w:val="20"/>
        </w:rPr>
        <w:t>Table-2</w:t>
      </w:r>
      <w:r w:rsidR="00845FBE" w:rsidRPr="00327BB7">
        <w:rPr>
          <w:rFonts w:ascii="Times New Roman" w:hAnsi="Times New Roman" w:cs="Times New Roman"/>
          <w:b/>
          <w:color w:val="000000" w:themeColor="text1"/>
          <w:sz w:val="20"/>
        </w:rPr>
        <w:t xml:space="preserve"> List of Papers by Year of Publication.</w:t>
      </w:r>
      <w:proofErr w:type="gramEnd"/>
    </w:p>
    <w:p w:rsidR="00845FBE" w:rsidRPr="00327BB7" w:rsidRDefault="00845FBE" w:rsidP="00845FBE">
      <w:pPr>
        <w:pStyle w:val="ListParagraph"/>
        <w:jc w:val="center"/>
        <w:rPr>
          <w:rFonts w:ascii="Times New Roman" w:hAnsi="Times New Roman" w:cs="Times New Roman"/>
          <w:b/>
          <w:color w:val="000000" w:themeColor="text1"/>
          <w:sz w:val="20"/>
        </w:rPr>
      </w:pPr>
      <w:r w:rsidRPr="00327BB7">
        <w:rPr>
          <w:rFonts w:ascii="Times New Roman" w:hAnsi="Times New Roman" w:cs="Times New Roman"/>
          <w:b/>
          <w:color w:val="000000" w:themeColor="text1"/>
          <w:sz w:val="20"/>
        </w:rPr>
        <w:t>Source: Author’s computations based on the constructed dataset.</w:t>
      </w:r>
    </w:p>
    <w:p w:rsidR="00845FBE" w:rsidRDefault="00845FBE" w:rsidP="00845FBE">
      <w:pPr>
        <w:spacing w:before="100" w:beforeAutospacing="1" w:after="100" w:afterAutospacing="1"/>
        <w:jc w:val="center"/>
        <w:rPr>
          <w:rFonts w:ascii="Times New Roman" w:hAnsi="Times New Roman" w:cs="Times New Roman"/>
          <w:b/>
          <w:sz w:val="20"/>
          <w:szCs w:val="16"/>
        </w:rPr>
      </w:pPr>
      <w:r w:rsidRPr="003941CA">
        <w:rPr>
          <w:rFonts w:ascii="Times New Roman" w:hAnsi="Times New Roman" w:cs="Times New Roman"/>
          <w:b/>
          <w:noProof/>
          <w:sz w:val="20"/>
          <w:szCs w:val="16"/>
        </w:rPr>
        <w:drawing>
          <wp:inline distT="0" distB="0" distL="0" distR="0">
            <wp:extent cx="4065270" cy="3916680"/>
            <wp:effectExtent l="19050" t="0" r="11430" b="7620"/>
            <wp:docPr id="1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845FBE" w:rsidRDefault="003E7B02" w:rsidP="00845FBE">
      <w:pPr>
        <w:spacing w:before="100" w:beforeAutospacing="1" w:after="100" w:afterAutospacing="1"/>
        <w:jc w:val="center"/>
        <w:rPr>
          <w:rFonts w:ascii="Times New Roman" w:hAnsi="Times New Roman" w:cs="Times New Roman"/>
          <w:b/>
          <w:sz w:val="20"/>
          <w:szCs w:val="16"/>
        </w:rPr>
      </w:pPr>
      <w:r>
        <w:rPr>
          <w:rFonts w:ascii="Times New Roman" w:hAnsi="Times New Roman" w:cs="Times New Roman"/>
          <w:b/>
          <w:sz w:val="20"/>
          <w:szCs w:val="16"/>
        </w:rPr>
        <w:t>Figure</w:t>
      </w:r>
      <w:r w:rsidR="00845FBE">
        <w:rPr>
          <w:rFonts w:ascii="Times New Roman" w:hAnsi="Times New Roman" w:cs="Times New Roman"/>
          <w:b/>
          <w:sz w:val="20"/>
          <w:szCs w:val="16"/>
        </w:rPr>
        <w:t xml:space="preserve"> 3</w:t>
      </w:r>
      <w:r w:rsidR="00845FBE" w:rsidRPr="00327BB7">
        <w:rPr>
          <w:rFonts w:ascii="Times New Roman" w:hAnsi="Times New Roman" w:cs="Times New Roman"/>
          <w:b/>
          <w:sz w:val="20"/>
          <w:szCs w:val="16"/>
        </w:rPr>
        <w:t xml:space="preserve"> Research Paper publication</w:t>
      </w:r>
    </w:p>
    <w:p w:rsidR="0022486A" w:rsidRDefault="0022486A" w:rsidP="00845FBE">
      <w:pPr>
        <w:spacing w:before="100" w:beforeAutospacing="1" w:after="100" w:afterAutospacing="1"/>
        <w:jc w:val="center"/>
        <w:rPr>
          <w:rFonts w:ascii="Times New Roman" w:hAnsi="Times New Roman" w:cs="Times New Roman"/>
          <w:b/>
          <w:sz w:val="20"/>
          <w:szCs w:val="16"/>
        </w:rPr>
      </w:pPr>
    </w:p>
    <w:p w:rsidR="0022486A" w:rsidRPr="00850F4A" w:rsidRDefault="0022486A" w:rsidP="00845FBE">
      <w:pPr>
        <w:spacing w:before="100" w:beforeAutospacing="1" w:after="100" w:afterAutospacing="1"/>
        <w:jc w:val="center"/>
        <w:rPr>
          <w:rFonts w:ascii="Times New Roman" w:hAnsi="Times New Roman" w:cs="Times New Roman"/>
          <w:b/>
          <w:sz w:val="20"/>
          <w:szCs w:val="16"/>
        </w:rPr>
      </w:pPr>
    </w:p>
    <w:p w:rsidR="00845FBE" w:rsidRPr="004C2E17" w:rsidRDefault="00845FBE" w:rsidP="00845FBE">
      <w:pPr>
        <w:spacing w:before="100" w:beforeAutospacing="1" w:after="100" w:afterAutospacing="1"/>
        <w:ind w:left="360"/>
        <w:jc w:val="both"/>
        <w:rPr>
          <w:rFonts w:ascii="Times New Roman" w:hAnsi="Times New Roman" w:cs="Times New Roman"/>
          <w:b/>
          <w:sz w:val="20"/>
          <w:szCs w:val="20"/>
        </w:rPr>
      </w:pPr>
      <w:r w:rsidRPr="004C2E17">
        <w:rPr>
          <w:rFonts w:ascii="Times New Roman" w:hAnsi="Times New Roman" w:cs="Times New Roman"/>
          <w:b/>
          <w:sz w:val="20"/>
          <w:szCs w:val="20"/>
        </w:rPr>
        <w:t xml:space="preserve">4.3 </w:t>
      </w:r>
      <w:r w:rsidRPr="004C2E17">
        <w:rPr>
          <w:rFonts w:ascii="Times New Roman" w:hAnsi="Times New Roman" w:cs="Times New Roman"/>
          <w:b/>
          <w:iCs/>
          <w:sz w:val="20"/>
          <w:szCs w:val="20"/>
        </w:rPr>
        <w:t>Econometric Analysis</w:t>
      </w:r>
    </w:p>
    <w:p w:rsidR="00845FBE" w:rsidRPr="00B94F26" w:rsidRDefault="00845FBE" w:rsidP="004C2E17">
      <w:pPr>
        <w:spacing w:before="100" w:beforeAutospacing="1" w:after="100" w:afterAutospacing="1" w:line="480" w:lineRule="auto"/>
        <w:ind w:left="360"/>
        <w:jc w:val="both"/>
        <w:rPr>
          <w:rFonts w:ascii="Times New Roman" w:hAnsi="Times New Roman" w:cs="Times New Roman"/>
          <w:sz w:val="20"/>
          <w:szCs w:val="20"/>
        </w:rPr>
      </w:pPr>
      <w:r w:rsidRPr="00B94F26">
        <w:rPr>
          <w:rFonts w:ascii="Times New Roman" w:hAnsi="Times New Roman" w:cs="Times New Roman"/>
          <w:sz w:val="20"/>
        </w:rPr>
        <w:t xml:space="preserve">For our formal econometric analysis, we refined our sample to focus on studies employing the two primary methods for calculating the value of a statistical life: the willingness-to-pay (WTP) approach and the human capital method. This adjustment reduced our sample from 110 to 95 data points. Alongside the data gathered from each study, we also collected country-specific income levels and additional information from the WHO’s </w:t>
      </w:r>
      <w:r w:rsidRPr="008201E9">
        <w:rPr>
          <w:rStyle w:val="Emphasis"/>
          <w:rFonts w:ascii="Times New Roman" w:hAnsi="Times New Roman" w:cs="Times New Roman"/>
          <w:i w:val="0"/>
          <w:sz w:val="20"/>
        </w:rPr>
        <w:t>Global Status Report on Road Safety 2015</w:t>
      </w:r>
      <w:r w:rsidRPr="008201E9">
        <w:rPr>
          <w:rFonts w:ascii="Times New Roman" w:hAnsi="Times New Roman" w:cs="Times New Roman"/>
          <w:i/>
          <w:sz w:val="20"/>
        </w:rPr>
        <w:t>.</w:t>
      </w:r>
      <w:r w:rsidRPr="00B94F26">
        <w:rPr>
          <w:rFonts w:ascii="Times New Roman" w:hAnsi="Times New Roman" w:cs="Times New Roman"/>
          <w:sz w:val="20"/>
        </w:rPr>
        <w:t xml:space="preserve"> This report provided metrics and indicators such as the death rate per 100,000 people, death distribution by victim and vehicle categories, availability of emergency training for medical </w:t>
      </w:r>
      <w:r w:rsidRPr="00B94F26">
        <w:rPr>
          <w:rFonts w:ascii="Times New Roman" w:hAnsi="Times New Roman" w:cs="Times New Roman"/>
          <w:sz w:val="20"/>
          <w:szCs w:val="20"/>
        </w:rPr>
        <w:t>personnel, presence of emergency room-based surveillance, and existence of a vital registration system. These variables will serve as controls to enhance the specification of our model.</w:t>
      </w:r>
    </w:p>
    <w:p w:rsidR="00845FBE" w:rsidRDefault="00845FBE" w:rsidP="00845FBE">
      <w:pPr>
        <w:spacing w:before="100" w:beforeAutospacing="1" w:after="100" w:afterAutospacing="1"/>
        <w:ind w:left="360"/>
        <w:jc w:val="center"/>
        <w:rPr>
          <w:rFonts w:ascii="Times New Roman" w:hAnsi="Times New Roman" w:cs="Times New Roman"/>
        </w:rPr>
      </w:pPr>
      <w:r w:rsidRPr="00EA0D2D">
        <w:rPr>
          <w:rFonts w:ascii="Times New Roman" w:hAnsi="Times New Roman" w:cs="Times New Roman"/>
          <w:noProof/>
        </w:rPr>
        <w:drawing>
          <wp:inline distT="0" distB="0" distL="0" distR="0">
            <wp:extent cx="3638550" cy="1882140"/>
            <wp:effectExtent l="19050" t="0" r="19050" b="3810"/>
            <wp:docPr id="1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845FBE" w:rsidRPr="004420E9" w:rsidRDefault="003E7B02" w:rsidP="00845FBE">
      <w:pPr>
        <w:spacing w:before="100" w:beforeAutospacing="1" w:after="100" w:afterAutospacing="1"/>
        <w:ind w:left="360"/>
        <w:jc w:val="center"/>
        <w:rPr>
          <w:rFonts w:ascii="Times New Roman" w:hAnsi="Times New Roman" w:cs="Times New Roman"/>
          <w:b/>
          <w:sz w:val="20"/>
        </w:rPr>
      </w:pPr>
      <w:r>
        <w:rPr>
          <w:rFonts w:ascii="Times New Roman" w:hAnsi="Times New Roman" w:cs="Times New Roman"/>
          <w:b/>
          <w:sz w:val="20"/>
        </w:rPr>
        <w:t>Figure</w:t>
      </w:r>
      <w:r w:rsidR="00845FBE" w:rsidRPr="004420E9">
        <w:rPr>
          <w:rFonts w:ascii="Times New Roman" w:hAnsi="Times New Roman" w:cs="Times New Roman"/>
          <w:b/>
          <w:sz w:val="20"/>
        </w:rPr>
        <w:t xml:space="preserve"> </w:t>
      </w:r>
      <w:r>
        <w:rPr>
          <w:rFonts w:ascii="Times New Roman" w:hAnsi="Times New Roman" w:cs="Times New Roman"/>
          <w:b/>
          <w:sz w:val="20"/>
        </w:rPr>
        <w:t xml:space="preserve">- </w:t>
      </w:r>
      <w:r w:rsidR="00845FBE" w:rsidRPr="004420E9">
        <w:rPr>
          <w:rFonts w:ascii="Times New Roman" w:hAnsi="Times New Roman" w:cs="Times New Roman"/>
          <w:b/>
          <w:sz w:val="20"/>
        </w:rPr>
        <w:t>4 GDP % HC Method</w:t>
      </w:r>
    </w:p>
    <w:p w:rsidR="00845FBE" w:rsidRDefault="00845FBE" w:rsidP="00845FBE">
      <w:pPr>
        <w:spacing w:before="100" w:beforeAutospacing="1" w:after="100" w:afterAutospacing="1"/>
        <w:ind w:left="360"/>
        <w:jc w:val="center"/>
        <w:rPr>
          <w:rFonts w:ascii="Times New Roman" w:hAnsi="Times New Roman" w:cs="Times New Roman"/>
        </w:rPr>
      </w:pPr>
      <w:r w:rsidRPr="00C1029A">
        <w:rPr>
          <w:rFonts w:ascii="Times New Roman" w:hAnsi="Times New Roman" w:cs="Times New Roman"/>
          <w:noProof/>
        </w:rPr>
        <w:drawing>
          <wp:inline distT="0" distB="0" distL="0" distR="0">
            <wp:extent cx="3989070" cy="2217420"/>
            <wp:effectExtent l="19050" t="0" r="11430" b="0"/>
            <wp:docPr id="16"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845FBE" w:rsidRPr="008201E9" w:rsidRDefault="003E7B02" w:rsidP="008201E9">
      <w:pPr>
        <w:spacing w:before="100" w:beforeAutospacing="1" w:after="100" w:afterAutospacing="1"/>
        <w:ind w:left="360"/>
        <w:jc w:val="center"/>
        <w:rPr>
          <w:rFonts w:ascii="Times New Roman" w:hAnsi="Times New Roman" w:cs="Times New Roman"/>
          <w:b/>
          <w:sz w:val="20"/>
        </w:rPr>
      </w:pPr>
      <w:r>
        <w:rPr>
          <w:rFonts w:ascii="Times New Roman" w:hAnsi="Times New Roman" w:cs="Times New Roman"/>
          <w:b/>
          <w:sz w:val="20"/>
        </w:rPr>
        <w:t>Figure-</w:t>
      </w:r>
      <w:r w:rsidR="00845FBE" w:rsidRPr="004420E9">
        <w:rPr>
          <w:rFonts w:ascii="Times New Roman" w:hAnsi="Times New Roman" w:cs="Times New Roman"/>
          <w:b/>
          <w:sz w:val="20"/>
        </w:rPr>
        <w:t xml:space="preserve"> 5 GDP % WTP Method</w:t>
      </w:r>
    </w:p>
    <w:p w:rsidR="00AF054B" w:rsidRDefault="00AF054B" w:rsidP="00845FBE">
      <w:pPr>
        <w:pStyle w:val="NormalWeb"/>
        <w:jc w:val="both"/>
        <w:rPr>
          <w:b/>
          <w:sz w:val="20"/>
          <w:szCs w:val="16"/>
        </w:rPr>
      </w:pPr>
    </w:p>
    <w:p w:rsidR="00AF054B" w:rsidRDefault="00AF054B" w:rsidP="00845FBE">
      <w:pPr>
        <w:pStyle w:val="NormalWeb"/>
        <w:jc w:val="both"/>
        <w:rPr>
          <w:b/>
          <w:sz w:val="20"/>
          <w:szCs w:val="16"/>
        </w:rPr>
      </w:pPr>
    </w:p>
    <w:p w:rsidR="00845FBE" w:rsidRPr="00BD0DDF" w:rsidRDefault="00845FBE" w:rsidP="00845FBE">
      <w:pPr>
        <w:pStyle w:val="NormalWeb"/>
        <w:jc w:val="both"/>
        <w:rPr>
          <w:b/>
          <w:sz w:val="20"/>
          <w:szCs w:val="16"/>
        </w:rPr>
      </w:pPr>
      <w:r>
        <w:rPr>
          <w:b/>
          <w:sz w:val="20"/>
          <w:szCs w:val="16"/>
        </w:rPr>
        <w:t>4</w:t>
      </w:r>
      <w:r w:rsidRPr="00BD0DDF">
        <w:rPr>
          <w:b/>
          <w:sz w:val="20"/>
          <w:szCs w:val="16"/>
        </w:rPr>
        <w:t xml:space="preserve">.4 </w:t>
      </w:r>
      <w:r w:rsidRPr="00BD0DDF">
        <w:rPr>
          <w:b/>
          <w:iCs/>
          <w:sz w:val="22"/>
          <w:szCs w:val="20"/>
        </w:rPr>
        <w:t>Critical Analysis</w:t>
      </w:r>
    </w:p>
    <w:p w:rsidR="00845FBE" w:rsidRPr="00931E8E" w:rsidRDefault="00845FBE" w:rsidP="004C2E17">
      <w:pPr>
        <w:pStyle w:val="NormalWeb"/>
        <w:spacing w:line="480" w:lineRule="auto"/>
        <w:jc w:val="both"/>
        <w:rPr>
          <w:color w:val="00B050"/>
          <w:sz w:val="20"/>
          <w:szCs w:val="20"/>
        </w:rPr>
      </w:pPr>
      <w:r w:rsidRPr="00931E8E">
        <w:rPr>
          <w:color w:val="00B050"/>
          <w:sz w:val="20"/>
          <w:szCs w:val="20"/>
        </w:rPr>
        <w:t>Table 2 presents the total costs by cost component and severity level. The total cost of road crashes was estimated at 8.5 billion in 2023, equivalent to 3.3% of the GDP. Human costs accounted for a significant portion, estimated at 80.1% of the total costs. Property damage, primarily to vehicles, was the second-largest component, representing 12.3% of total costs, while production losses made up 6.5%. Administrative and medical costs were smaller components, accounting for 1.5% and 0.6% of the total, respectively.</w:t>
      </w:r>
    </w:p>
    <w:p w:rsidR="008201E9" w:rsidRPr="00931E8E" w:rsidRDefault="00845FBE" w:rsidP="004C2E17">
      <w:pPr>
        <w:pStyle w:val="NormalWeb"/>
        <w:spacing w:line="480" w:lineRule="auto"/>
        <w:jc w:val="both"/>
        <w:rPr>
          <w:color w:val="00B050"/>
          <w:sz w:val="20"/>
          <w:szCs w:val="20"/>
        </w:rPr>
      </w:pPr>
      <w:r w:rsidRPr="00931E8E">
        <w:rPr>
          <w:color w:val="00B050"/>
          <w:sz w:val="20"/>
          <w:szCs w:val="20"/>
        </w:rPr>
        <w:t>In terms of distribution by severity, more than half of the costs (3.9 billion) were related to injuries. The cost distribution across severity levels varied by component: fatalities represented a large portion (70%) of production loss costs, while serious injuries constituted the majority (75%) of medical costs.</w:t>
      </w:r>
    </w:p>
    <w:p w:rsidR="00845FBE" w:rsidRPr="004420E9" w:rsidRDefault="0022486A" w:rsidP="00845FBE">
      <w:pPr>
        <w:pStyle w:val="ListParagraph"/>
        <w:spacing w:line="360" w:lineRule="auto"/>
        <w:jc w:val="both"/>
        <w:rPr>
          <w:rFonts w:ascii="Times New Roman" w:hAnsi="Times New Roman" w:cs="Times New Roman"/>
          <w:b/>
          <w:sz w:val="20"/>
          <w:szCs w:val="20"/>
        </w:rPr>
      </w:pPr>
      <w:r>
        <w:rPr>
          <w:rFonts w:ascii="Times New Roman" w:hAnsi="Times New Roman" w:cs="Times New Roman"/>
          <w:b/>
          <w:sz w:val="20"/>
          <w:szCs w:val="20"/>
        </w:rPr>
        <w:t>Table-3</w:t>
      </w:r>
    </w:p>
    <w:p w:rsidR="00845FBE" w:rsidRPr="004420E9" w:rsidRDefault="00845FBE" w:rsidP="00845FBE">
      <w:pPr>
        <w:pStyle w:val="ListParagraph"/>
        <w:spacing w:line="360" w:lineRule="auto"/>
        <w:jc w:val="both"/>
        <w:rPr>
          <w:rFonts w:ascii="Times New Roman" w:hAnsi="Times New Roman" w:cs="Times New Roman"/>
          <w:b/>
          <w:sz w:val="20"/>
          <w:szCs w:val="20"/>
        </w:rPr>
      </w:pPr>
      <w:proofErr w:type="gramStart"/>
      <w:r w:rsidRPr="004420E9">
        <w:rPr>
          <w:rFonts w:ascii="Times New Roman" w:hAnsi="Times New Roman" w:cs="Times New Roman"/>
          <w:b/>
          <w:sz w:val="20"/>
          <w:szCs w:val="20"/>
        </w:rPr>
        <w:t>Police time spent by severity of crash.</w:t>
      </w:r>
      <w:proofErr w:type="gramEnd"/>
    </w:p>
    <w:tbl>
      <w:tblPr>
        <w:tblW w:w="5692" w:type="dxa"/>
        <w:jc w:val="center"/>
        <w:tblInd w:w="96" w:type="dxa"/>
        <w:tblLook w:val="04A0"/>
      </w:tblPr>
      <w:tblGrid>
        <w:gridCol w:w="1680"/>
        <w:gridCol w:w="1439"/>
        <w:gridCol w:w="1296"/>
        <w:gridCol w:w="1277"/>
      </w:tblGrid>
      <w:tr w:rsidR="00845FBE" w:rsidRPr="00CC7EBE" w:rsidTr="008201E9">
        <w:trPr>
          <w:trHeight w:val="1104"/>
          <w:jc w:val="center"/>
        </w:trPr>
        <w:tc>
          <w:tcPr>
            <w:tcW w:w="16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 </w:t>
            </w:r>
          </w:p>
        </w:tc>
        <w:tc>
          <w:tcPr>
            <w:tcW w:w="1439" w:type="dxa"/>
            <w:tcBorders>
              <w:top w:val="single" w:sz="4" w:space="0" w:color="auto"/>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b/>
                <w:bCs/>
                <w:color w:val="000000"/>
              </w:rPr>
            </w:pPr>
            <w:r w:rsidRPr="00CC7EBE">
              <w:rPr>
                <w:rFonts w:ascii="Times New Roman" w:eastAsia="Times New Roman" w:hAnsi="Times New Roman" w:cs="Times New Roman"/>
                <w:b/>
                <w:bCs/>
                <w:color w:val="000000"/>
              </w:rPr>
              <w:t>Hours/Crash</w:t>
            </w:r>
          </w:p>
        </w:tc>
        <w:tc>
          <w:tcPr>
            <w:tcW w:w="1296" w:type="dxa"/>
            <w:tcBorders>
              <w:top w:val="single" w:sz="4" w:space="0" w:color="auto"/>
              <w:left w:val="nil"/>
              <w:bottom w:val="single" w:sz="4" w:space="0" w:color="auto"/>
              <w:right w:val="single" w:sz="4" w:space="0" w:color="auto"/>
            </w:tcBorders>
            <w:shd w:val="clear" w:color="auto" w:fill="auto"/>
            <w:vAlign w:val="center"/>
            <w:hideMark/>
          </w:tcPr>
          <w:p w:rsidR="00845FBE" w:rsidRPr="00CC7EBE" w:rsidRDefault="00845FBE" w:rsidP="008201E9">
            <w:pPr>
              <w:spacing w:after="0" w:line="240" w:lineRule="auto"/>
              <w:jc w:val="center"/>
              <w:rPr>
                <w:rFonts w:ascii="Times New Roman" w:eastAsia="Times New Roman" w:hAnsi="Times New Roman" w:cs="Times New Roman"/>
                <w:b/>
                <w:bCs/>
                <w:color w:val="000000"/>
              </w:rPr>
            </w:pPr>
            <w:r w:rsidRPr="00CC7EBE">
              <w:rPr>
                <w:rFonts w:ascii="Times New Roman" w:eastAsia="Times New Roman" w:hAnsi="Times New Roman" w:cs="Times New Roman"/>
                <w:b/>
                <w:bCs/>
                <w:color w:val="000000"/>
              </w:rPr>
              <w:t>Nos. of Policeman attending a crash</w:t>
            </w:r>
          </w:p>
        </w:tc>
        <w:tc>
          <w:tcPr>
            <w:tcW w:w="1277" w:type="dxa"/>
            <w:tcBorders>
              <w:top w:val="single" w:sz="4" w:space="0" w:color="auto"/>
              <w:left w:val="nil"/>
              <w:bottom w:val="single" w:sz="4" w:space="0" w:color="auto"/>
              <w:right w:val="single" w:sz="4" w:space="0" w:color="auto"/>
            </w:tcBorders>
            <w:shd w:val="clear" w:color="auto" w:fill="auto"/>
            <w:vAlign w:val="center"/>
            <w:hideMark/>
          </w:tcPr>
          <w:p w:rsidR="00845FBE" w:rsidRPr="00CC7EBE" w:rsidRDefault="00845FBE" w:rsidP="008201E9">
            <w:pPr>
              <w:spacing w:after="0" w:line="240" w:lineRule="auto"/>
              <w:jc w:val="center"/>
              <w:rPr>
                <w:rFonts w:ascii="Times New Roman" w:eastAsia="Times New Roman" w:hAnsi="Times New Roman" w:cs="Times New Roman"/>
                <w:b/>
                <w:bCs/>
                <w:color w:val="000000"/>
              </w:rPr>
            </w:pPr>
            <w:r w:rsidRPr="00CC7EBE">
              <w:rPr>
                <w:rFonts w:ascii="Times New Roman" w:eastAsia="Times New Roman" w:hAnsi="Times New Roman" w:cs="Times New Roman"/>
                <w:b/>
                <w:bCs/>
                <w:color w:val="000000"/>
              </w:rPr>
              <w:t>Total Time Spent</w:t>
            </w:r>
            <w:r>
              <w:rPr>
                <w:rFonts w:ascii="Times New Roman" w:eastAsia="Times New Roman" w:hAnsi="Times New Roman" w:cs="Times New Roman"/>
                <w:b/>
                <w:bCs/>
                <w:color w:val="000000"/>
              </w:rPr>
              <w:t xml:space="preserve"> </w:t>
            </w:r>
            <w:r w:rsidRPr="00CC7EBE">
              <w:rPr>
                <w:rFonts w:ascii="Times New Roman" w:eastAsia="Times New Roman" w:hAnsi="Times New Roman" w:cs="Times New Roman"/>
                <w:b/>
                <w:bCs/>
                <w:color w:val="000000"/>
              </w:rPr>
              <w:t>(hrs.)</w:t>
            </w:r>
          </w:p>
        </w:tc>
      </w:tr>
      <w:tr w:rsidR="00845FBE" w:rsidRPr="00CC7EBE" w:rsidTr="008201E9">
        <w:trPr>
          <w:trHeight w:val="288"/>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Fetal</w:t>
            </w:r>
          </w:p>
        </w:tc>
        <w:tc>
          <w:tcPr>
            <w:tcW w:w="1439"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5</w:t>
            </w:r>
          </w:p>
        </w:tc>
        <w:tc>
          <w:tcPr>
            <w:tcW w:w="1296"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7</w:t>
            </w:r>
          </w:p>
        </w:tc>
        <w:tc>
          <w:tcPr>
            <w:tcW w:w="1277"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24</w:t>
            </w:r>
          </w:p>
        </w:tc>
      </w:tr>
      <w:tr w:rsidR="00845FBE" w:rsidRPr="00CC7EBE" w:rsidTr="008201E9">
        <w:trPr>
          <w:trHeight w:val="288"/>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Major Injuries</w:t>
            </w:r>
          </w:p>
        </w:tc>
        <w:tc>
          <w:tcPr>
            <w:tcW w:w="1439"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4</w:t>
            </w:r>
          </w:p>
        </w:tc>
        <w:tc>
          <w:tcPr>
            <w:tcW w:w="1296"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5</w:t>
            </w:r>
          </w:p>
        </w:tc>
        <w:tc>
          <w:tcPr>
            <w:tcW w:w="1277"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12</w:t>
            </w:r>
          </w:p>
        </w:tc>
      </w:tr>
      <w:tr w:rsidR="00845FBE" w:rsidRPr="00CC7EBE" w:rsidTr="008201E9">
        <w:trPr>
          <w:trHeight w:val="288"/>
          <w:jc w:val="center"/>
        </w:trPr>
        <w:tc>
          <w:tcPr>
            <w:tcW w:w="1680" w:type="dxa"/>
            <w:tcBorders>
              <w:top w:val="nil"/>
              <w:left w:val="single" w:sz="4" w:space="0" w:color="auto"/>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Minor Injuries</w:t>
            </w:r>
          </w:p>
        </w:tc>
        <w:tc>
          <w:tcPr>
            <w:tcW w:w="1439"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3</w:t>
            </w:r>
          </w:p>
        </w:tc>
        <w:tc>
          <w:tcPr>
            <w:tcW w:w="1296"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4</w:t>
            </w:r>
          </w:p>
        </w:tc>
        <w:tc>
          <w:tcPr>
            <w:tcW w:w="1277" w:type="dxa"/>
            <w:tcBorders>
              <w:top w:val="nil"/>
              <w:left w:val="nil"/>
              <w:bottom w:val="single" w:sz="4" w:space="0" w:color="auto"/>
              <w:right w:val="single" w:sz="4" w:space="0" w:color="auto"/>
            </w:tcBorders>
            <w:shd w:val="clear" w:color="auto" w:fill="auto"/>
            <w:noWrap/>
            <w:vAlign w:val="center"/>
            <w:hideMark/>
          </w:tcPr>
          <w:p w:rsidR="00845FBE" w:rsidRPr="00CC7EBE" w:rsidRDefault="00845FBE" w:rsidP="008201E9">
            <w:pPr>
              <w:spacing w:after="0" w:line="240" w:lineRule="auto"/>
              <w:jc w:val="center"/>
              <w:rPr>
                <w:rFonts w:ascii="Times New Roman" w:eastAsia="Times New Roman" w:hAnsi="Times New Roman" w:cs="Times New Roman"/>
                <w:color w:val="000000"/>
              </w:rPr>
            </w:pPr>
            <w:r w:rsidRPr="00CC7EBE">
              <w:rPr>
                <w:rFonts w:ascii="Times New Roman" w:eastAsia="Times New Roman" w:hAnsi="Times New Roman" w:cs="Times New Roman"/>
                <w:color w:val="000000"/>
              </w:rPr>
              <w:t>6</w:t>
            </w:r>
          </w:p>
        </w:tc>
      </w:tr>
    </w:tbl>
    <w:p w:rsidR="00845FBE" w:rsidRDefault="00845FBE" w:rsidP="00845FBE">
      <w:pPr>
        <w:spacing w:before="100" w:beforeAutospacing="1" w:after="100" w:afterAutospacing="1"/>
        <w:jc w:val="center"/>
        <w:rPr>
          <w:rFonts w:ascii="Times New Roman" w:eastAsia="Times New Roman" w:hAnsi="Times New Roman" w:cs="Times New Roman"/>
          <w:b/>
          <w:szCs w:val="20"/>
        </w:rPr>
      </w:pPr>
      <w:r w:rsidRPr="00EA0D2D">
        <w:rPr>
          <w:rFonts w:ascii="Times New Roman" w:eastAsia="Times New Roman" w:hAnsi="Times New Roman" w:cs="Times New Roman"/>
          <w:b/>
          <w:noProof/>
          <w:szCs w:val="20"/>
        </w:rPr>
        <w:drawing>
          <wp:inline distT="0" distB="0" distL="0" distR="0">
            <wp:extent cx="4031273" cy="1623646"/>
            <wp:effectExtent l="19050" t="0" r="26377" b="0"/>
            <wp:docPr id="1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45FBE" w:rsidRPr="00327BB7" w:rsidRDefault="003E7B02" w:rsidP="00845FBE">
      <w:pPr>
        <w:spacing w:before="100" w:beforeAutospacing="1" w:after="100" w:afterAutospacing="1"/>
        <w:ind w:left="360"/>
        <w:jc w:val="center"/>
        <w:rPr>
          <w:rFonts w:ascii="Times New Roman" w:hAnsi="Times New Roman" w:cs="Times New Roman"/>
          <w:b/>
          <w:sz w:val="20"/>
        </w:rPr>
      </w:pPr>
      <w:r>
        <w:rPr>
          <w:rFonts w:ascii="Times New Roman" w:hAnsi="Times New Roman" w:cs="Times New Roman"/>
          <w:b/>
          <w:sz w:val="20"/>
        </w:rPr>
        <w:t>Figure-</w:t>
      </w:r>
      <w:r w:rsidR="00845FBE" w:rsidRPr="00B94F26">
        <w:rPr>
          <w:rFonts w:ascii="Times New Roman" w:hAnsi="Times New Roman" w:cs="Times New Roman"/>
          <w:b/>
          <w:sz w:val="20"/>
        </w:rPr>
        <w:t xml:space="preserve"> 6  Severity of Crash</w:t>
      </w:r>
    </w:p>
    <w:p w:rsidR="00845FBE" w:rsidRDefault="00845FBE" w:rsidP="00845FBE">
      <w:pPr>
        <w:pStyle w:val="ListParagraph"/>
        <w:jc w:val="both"/>
        <w:rPr>
          <w:rFonts w:ascii="Times New Roman" w:hAnsi="Times New Roman" w:cs="Times New Roman"/>
          <w:b/>
          <w:sz w:val="20"/>
        </w:rPr>
      </w:pPr>
    </w:p>
    <w:p w:rsidR="00AF054B" w:rsidRDefault="00AF054B" w:rsidP="00845FBE">
      <w:pPr>
        <w:pStyle w:val="ListParagraph"/>
        <w:jc w:val="both"/>
        <w:rPr>
          <w:rFonts w:ascii="Times New Roman" w:hAnsi="Times New Roman" w:cs="Times New Roman"/>
          <w:b/>
          <w:sz w:val="20"/>
        </w:rPr>
      </w:pPr>
    </w:p>
    <w:p w:rsidR="00AF054B" w:rsidRDefault="00AF054B" w:rsidP="00845FBE">
      <w:pPr>
        <w:pStyle w:val="ListParagraph"/>
        <w:jc w:val="both"/>
        <w:rPr>
          <w:rFonts w:ascii="Times New Roman" w:hAnsi="Times New Roman" w:cs="Times New Roman"/>
          <w:b/>
          <w:sz w:val="20"/>
        </w:rPr>
      </w:pPr>
    </w:p>
    <w:p w:rsidR="00AF054B" w:rsidRDefault="00AF054B" w:rsidP="00845FBE">
      <w:pPr>
        <w:pStyle w:val="ListParagraph"/>
        <w:jc w:val="both"/>
        <w:rPr>
          <w:rFonts w:ascii="Times New Roman" w:hAnsi="Times New Roman" w:cs="Times New Roman"/>
          <w:b/>
          <w:sz w:val="20"/>
        </w:rPr>
      </w:pPr>
    </w:p>
    <w:p w:rsidR="00AF054B" w:rsidRDefault="00AF054B" w:rsidP="00845FBE">
      <w:pPr>
        <w:pStyle w:val="ListParagraph"/>
        <w:jc w:val="both"/>
        <w:rPr>
          <w:rFonts w:ascii="Times New Roman" w:hAnsi="Times New Roman" w:cs="Times New Roman"/>
          <w:b/>
          <w:sz w:val="20"/>
        </w:rPr>
      </w:pPr>
    </w:p>
    <w:p w:rsidR="00AF054B" w:rsidRDefault="00AF054B" w:rsidP="00845FBE">
      <w:pPr>
        <w:pStyle w:val="ListParagraph"/>
        <w:jc w:val="both"/>
        <w:rPr>
          <w:rFonts w:ascii="Times New Roman" w:hAnsi="Times New Roman" w:cs="Times New Roman"/>
          <w:b/>
          <w:sz w:val="20"/>
        </w:rPr>
      </w:pPr>
    </w:p>
    <w:p w:rsidR="00845FBE" w:rsidRPr="003941CA" w:rsidRDefault="0022486A" w:rsidP="00845FBE">
      <w:pPr>
        <w:pStyle w:val="ListParagraph"/>
        <w:spacing w:line="360" w:lineRule="auto"/>
        <w:jc w:val="both"/>
        <w:rPr>
          <w:rFonts w:ascii="Times New Roman" w:hAnsi="Times New Roman" w:cs="Times New Roman"/>
          <w:b/>
          <w:sz w:val="20"/>
        </w:rPr>
      </w:pPr>
      <w:r>
        <w:rPr>
          <w:rFonts w:ascii="Times New Roman" w:hAnsi="Times New Roman" w:cs="Times New Roman"/>
          <w:b/>
          <w:sz w:val="20"/>
        </w:rPr>
        <w:t>Table-4</w:t>
      </w:r>
    </w:p>
    <w:p w:rsidR="00845FBE" w:rsidRPr="003941CA" w:rsidRDefault="00845FBE" w:rsidP="00845FBE">
      <w:pPr>
        <w:pStyle w:val="ListParagraph"/>
        <w:spacing w:line="360" w:lineRule="auto"/>
        <w:jc w:val="both"/>
        <w:rPr>
          <w:rFonts w:ascii="Times New Roman" w:hAnsi="Times New Roman" w:cs="Times New Roman"/>
          <w:b/>
          <w:sz w:val="20"/>
        </w:rPr>
      </w:pPr>
      <w:r w:rsidRPr="003941CA">
        <w:rPr>
          <w:rFonts w:ascii="Times New Roman" w:hAnsi="Times New Roman" w:cs="Times New Roman"/>
          <w:b/>
          <w:sz w:val="20"/>
        </w:rPr>
        <w:t>Cost of Road crash in India 2023.</w:t>
      </w:r>
    </w:p>
    <w:tbl>
      <w:tblPr>
        <w:tblW w:w="8473" w:type="dxa"/>
        <w:jc w:val="center"/>
        <w:tblInd w:w="96" w:type="dxa"/>
        <w:tblLook w:val="04A0"/>
      </w:tblPr>
      <w:tblGrid>
        <w:gridCol w:w="1847"/>
        <w:gridCol w:w="2711"/>
        <w:gridCol w:w="1023"/>
        <w:gridCol w:w="1071"/>
        <w:gridCol w:w="991"/>
        <w:gridCol w:w="830"/>
      </w:tblGrid>
      <w:tr w:rsidR="00845FBE" w:rsidRPr="008D5642" w:rsidTr="008201E9">
        <w:trPr>
          <w:trHeight w:val="288"/>
          <w:jc w:val="center"/>
        </w:trPr>
        <w:tc>
          <w:tcPr>
            <w:tcW w:w="18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Table-</w:t>
            </w:r>
            <w:r w:rsidR="00F13C8D">
              <w:rPr>
                <w:rFonts w:ascii="Times New Roman" w:eastAsia="Times New Roman" w:hAnsi="Times New Roman" w:cs="Times New Roman"/>
                <w:b/>
                <w:bCs/>
                <w:color w:val="000000"/>
              </w:rPr>
              <w:t>4</w:t>
            </w:r>
          </w:p>
        </w:tc>
        <w:tc>
          <w:tcPr>
            <w:tcW w:w="6626" w:type="dxa"/>
            <w:gridSpan w:val="5"/>
            <w:tcBorders>
              <w:top w:val="single" w:sz="4" w:space="0" w:color="auto"/>
              <w:left w:val="nil"/>
              <w:bottom w:val="single" w:sz="4" w:space="0" w:color="auto"/>
              <w:right w:val="single" w:sz="4" w:space="0" w:color="000000"/>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xml:space="preserve">Cost of </w:t>
            </w:r>
            <w:r w:rsidRPr="00BD0DDF">
              <w:rPr>
                <w:rFonts w:ascii="Times New Roman" w:eastAsia="Times New Roman" w:hAnsi="Times New Roman" w:cs="Times New Roman"/>
                <w:b/>
                <w:bCs/>
                <w:color w:val="000000"/>
              </w:rPr>
              <w:t>road</w:t>
            </w:r>
            <w:r w:rsidRPr="008D5642">
              <w:rPr>
                <w:rFonts w:ascii="Times New Roman" w:eastAsia="Times New Roman" w:hAnsi="Times New Roman" w:cs="Times New Roman"/>
                <w:b/>
                <w:bCs/>
                <w:color w:val="000000"/>
              </w:rPr>
              <w:t xml:space="preserve"> crashes i</w:t>
            </w:r>
            <w:r w:rsidRPr="00BD0DDF">
              <w:rPr>
                <w:rFonts w:ascii="Times New Roman" w:eastAsia="Times New Roman" w:hAnsi="Times New Roman" w:cs="Times New Roman"/>
                <w:b/>
                <w:bCs/>
                <w:color w:val="000000"/>
              </w:rPr>
              <w:t>n India in 2023 (3-5% of GDP</w:t>
            </w:r>
            <w:r w:rsidRPr="008D5642">
              <w:rPr>
                <w:rFonts w:ascii="Times New Roman" w:eastAsia="Times New Roman" w:hAnsi="Times New Roman" w:cs="Times New Roman"/>
                <w:b/>
                <w:bCs/>
                <w:color w:val="000000"/>
              </w:rPr>
              <w:t>)</w:t>
            </w:r>
          </w:p>
        </w:tc>
      </w:tr>
      <w:tr w:rsidR="00845FBE" w:rsidRPr="008D5642" w:rsidTr="008201E9">
        <w:trPr>
          <w:trHeight w:val="576"/>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 </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Fatalities</w:t>
            </w:r>
          </w:p>
        </w:tc>
        <w:tc>
          <w:tcPr>
            <w:tcW w:w="1071" w:type="dxa"/>
            <w:tcBorders>
              <w:top w:val="nil"/>
              <w:left w:val="nil"/>
              <w:bottom w:val="single" w:sz="4" w:space="0" w:color="auto"/>
              <w:right w:val="single" w:sz="4" w:space="0" w:color="auto"/>
            </w:tcBorders>
            <w:shd w:val="clear" w:color="auto" w:fill="auto"/>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Major Injuries</w:t>
            </w:r>
          </w:p>
        </w:tc>
        <w:tc>
          <w:tcPr>
            <w:tcW w:w="991" w:type="dxa"/>
            <w:tcBorders>
              <w:top w:val="nil"/>
              <w:left w:val="nil"/>
              <w:bottom w:val="single" w:sz="4" w:space="0" w:color="auto"/>
              <w:right w:val="single" w:sz="4" w:space="0" w:color="auto"/>
            </w:tcBorders>
            <w:shd w:val="clear" w:color="auto" w:fill="auto"/>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Minor Injuries</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Total</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Medical Cost</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Transportation Cost</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1.2</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1.2</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2.4</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Hospital Cost in Patient</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0.2</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21</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21.2</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Hospital Cost out Patient</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0.9</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0.9</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Funeral Cost</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6.4</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22.5</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1.9</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30.8</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Total Medical Cost</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6.6</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44.7</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4</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55.3</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Production Loss</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 </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310</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98</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25</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433</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Human Cost</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 </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3258</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2508</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1550</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7316</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Vehicle Damage</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 </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135</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545</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645</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1325</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Administration Cost</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Police</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1.8</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1.8</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5.6</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Others Emergency Service</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0.5</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0.9</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1.2</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2.6</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Insurance Cost</w:t>
            </w:r>
          </w:p>
        </w:tc>
        <w:tc>
          <w:tcPr>
            <w:tcW w:w="1023"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0.8</w:t>
            </w:r>
          </w:p>
        </w:tc>
        <w:tc>
          <w:tcPr>
            <w:tcW w:w="107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right"/>
              <w:rPr>
                <w:rFonts w:ascii="Times New Roman" w:eastAsia="Times New Roman" w:hAnsi="Times New Roman" w:cs="Times New Roman"/>
                <w:color w:val="000000"/>
              </w:rPr>
            </w:pPr>
            <w:r w:rsidRPr="008D5642">
              <w:rPr>
                <w:rFonts w:ascii="Times New Roman" w:eastAsia="Times New Roman" w:hAnsi="Times New Roman" w:cs="Times New Roman"/>
                <w:color w:val="000000"/>
              </w:rPr>
              <w:t>5.2</w:t>
            </w:r>
          </w:p>
        </w:tc>
        <w:tc>
          <w:tcPr>
            <w:tcW w:w="99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right"/>
              <w:rPr>
                <w:rFonts w:ascii="Times New Roman" w:eastAsia="Times New Roman" w:hAnsi="Times New Roman" w:cs="Times New Roman"/>
                <w:color w:val="000000"/>
              </w:rPr>
            </w:pPr>
            <w:r w:rsidRPr="008D5642">
              <w:rPr>
                <w:rFonts w:ascii="Times New Roman" w:eastAsia="Times New Roman" w:hAnsi="Times New Roman" w:cs="Times New Roman"/>
                <w:color w:val="000000"/>
              </w:rPr>
              <w:t>16.2</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22.2</w:t>
            </w:r>
          </w:p>
        </w:tc>
      </w:tr>
      <w:tr w:rsidR="00845FBE" w:rsidRPr="008D5642" w:rsidTr="008201E9">
        <w:trPr>
          <w:trHeight w:val="288"/>
          <w:jc w:val="center"/>
        </w:trPr>
        <w:tc>
          <w:tcPr>
            <w:tcW w:w="1847" w:type="dxa"/>
            <w:tcBorders>
              <w:top w:val="nil"/>
              <w:left w:val="single" w:sz="4" w:space="0" w:color="auto"/>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 </w:t>
            </w:r>
          </w:p>
        </w:tc>
        <w:tc>
          <w:tcPr>
            <w:tcW w:w="271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Total Administration Cost</w:t>
            </w:r>
          </w:p>
        </w:tc>
        <w:tc>
          <w:tcPr>
            <w:tcW w:w="1023"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0.9</w:t>
            </w:r>
          </w:p>
        </w:tc>
        <w:tc>
          <w:tcPr>
            <w:tcW w:w="107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right"/>
              <w:rPr>
                <w:rFonts w:ascii="Times New Roman" w:eastAsia="Times New Roman" w:hAnsi="Times New Roman" w:cs="Times New Roman"/>
                <w:color w:val="000000"/>
              </w:rPr>
            </w:pPr>
            <w:r w:rsidRPr="008D5642">
              <w:rPr>
                <w:rFonts w:ascii="Times New Roman" w:eastAsia="Times New Roman" w:hAnsi="Times New Roman" w:cs="Times New Roman"/>
                <w:color w:val="000000"/>
              </w:rPr>
              <w:t>10.5</w:t>
            </w:r>
          </w:p>
        </w:tc>
        <w:tc>
          <w:tcPr>
            <w:tcW w:w="991" w:type="dxa"/>
            <w:tcBorders>
              <w:top w:val="nil"/>
              <w:left w:val="nil"/>
              <w:bottom w:val="single" w:sz="4" w:space="0" w:color="auto"/>
              <w:right w:val="single" w:sz="4" w:space="0" w:color="auto"/>
            </w:tcBorders>
            <w:shd w:val="clear" w:color="auto" w:fill="auto"/>
            <w:noWrap/>
            <w:vAlign w:val="bottom"/>
            <w:hideMark/>
          </w:tcPr>
          <w:p w:rsidR="00845FBE" w:rsidRPr="008D5642" w:rsidRDefault="00845FBE" w:rsidP="008201E9">
            <w:pPr>
              <w:spacing w:after="0" w:line="240" w:lineRule="auto"/>
              <w:jc w:val="right"/>
              <w:rPr>
                <w:rFonts w:ascii="Times New Roman" w:eastAsia="Times New Roman" w:hAnsi="Times New Roman" w:cs="Times New Roman"/>
                <w:color w:val="000000"/>
              </w:rPr>
            </w:pPr>
            <w:r w:rsidRPr="008D5642">
              <w:rPr>
                <w:rFonts w:ascii="Times New Roman" w:eastAsia="Times New Roman" w:hAnsi="Times New Roman" w:cs="Times New Roman"/>
                <w:color w:val="000000"/>
              </w:rPr>
              <w:t>28.6</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40</w:t>
            </w:r>
          </w:p>
        </w:tc>
      </w:tr>
      <w:tr w:rsidR="00845FBE" w:rsidRPr="008D5642" w:rsidTr="008201E9">
        <w:trPr>
          <w:trHeight w:val="288"/>
          <w:jc w:val="center"/>
        </w:trPr>
        <w:tc>
          <w:tcPr>
            <w:tcW w:w="455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b/>
                <w:bCs/>
                <w:color w:val="000000"/>
              </w:rPr>
            </w:pPr>
            <w:r w:rsidRPr="008D5642">
              <w:rPr>
                <w:rFonts w:ascii="Times New Roman" w:eastAsia="Times New Roman" w:hAnsi="Times New Roman" w:cs="Times New Roman"/>
                <w:b/>
                <w:bCs/>
                <w:color w:val="000000"/>
              </w:rPr>
              <w:t>Total</w:t>
            </w:r>
          </w:p>
        </w:tc>
        <w:tc>
          <w:tcPr>
            <w:tcW w:w="1023"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3707</w:t>
            </w:r>
          </w:p>
        </w:tc>
        <w:tc>
          <w:tcPr>
            <w:tcW w:w="107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3169.6</w:t>
            </w:r>
          </w:p>
        </w:tc>
        <w:tc>
          <w:tcPr>
            <w:tcW w:w="991"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2267.8</w:t>
            </w:r>
          </w:p>
        </w:tc>
        <w:tc>
          <w:tcPr>
            <w:tcW w:w="830" w:type="dxa"/>
            <w:tcBorders>
              <w:top w:val="nil"/>
              <w:left w:val="nil"/>
              <w:bottom w:val="single" w:sz="4" w:space="0" w:color="auto"/>
              <w:right w:val="single" w:sz="4" w:space="0" w:color="auto"/>
            </w:tcBorders>
            <w:shd w:val="clear" w:color="auto" w:fill="auto"/>
            <w:noWrap/>
            <w:vAlign w:val="center"/>
            <w:hideMark/>
          </w:tcPr>
          <w:p w:rsidR="00845FBE" w:rsidRPr="008D5642" w:rsidRDefault="00845FBE" w:rsidP="008201E9">
            <w:pPr>
              <w:spacing w:after="0" w:line="240" w:lineRule="auto"/>
              <w:jc w:val="center"/>
              <w:rPr>
                <w:rFonts w:ascii="Times New Roman" w:eastAsia="Times New Roman" w:hAnsi="Times New Roman" w:cs="Times New Roman"/>
                <w:color w:val="000000"/>
              </w:rPr>
            </w:pPr>
            <w:r w:rsidRPr="008D5642">
              <w:rPr>
                <w:rFonts w:ascii="Times New Roman" w:eastAsia="Times New Roman" w:hAnsi="Times New Roman" w:cs="Times New Roman"/>
                <w:color w:val="000000"/>
              </w:rPr>
              <w:t>9144.4</w:t>
            </w:r>
          </w:p>
        </w:tc>
      </w:tr>
    </w:tbl>
    <w:p w:rsidR="00845FBE" w:rsidRDefault="00845FBE" w:rsidP="00845FBE">
      <w:pPr>
        <w:spacing w:before="100" w:beforeAutospacing="1" w:after="100" w:afterAutospacing="1"/>
        <w:jc w:val="center"/>
        <w:rPr>
          <w:rFonts w:ascii="Times New Roman" w:eastAsia="Times New Roman" w:hAnsi="Times New Roman" w:cs="Times New Roman"/>
          <w:b/>
          <w:szCs w:val="20"/>
        </w:rPr>
      </w:pPr>
      <w:r w:rsidRPr="00EA0D2D">
        <w:rPr>
          <w:rFonts w:ascii="Times New Roman" w:eastAsia="Times New Roman" w:hAnsi="Times New Roman" w:cs="Times New Roman"/>
          <w:b/>
          <w:noProof/>
          <w:szCs w:val="20"/>
        </w:rPr>
        <w:drawing>
          <wp:inline distT="0" distB="0" distL="0" distR="0">
            <wp:extent cx="3960935" cy="1688123"/>
            <wp:effectExtent l="19050" t="0" r="20515" b="7327"/>
            <wp:docPr id="1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45FBE" w:rsidRPr="004420E9" w:rsidRDefault="00845FBE" w:rsidP="00845FBE">
      <w:pPr>
        <w:spacing w:before="100" w:beforeAutospacing="1" w:after="100" w:afterAutospacing="1"/>
        <w:ind w:left="360"/>
        <w:jc w:val="center"/>
        <w:rPr>
          <w:rFonts w:ascii="Times New Roman" w:hAnsi="Times New Roman" w:cs="Times New Roman"/>
          <w:b/>
          <w:sz w:val="20"/>
        </w:rPr>
      </w:pPr>
      <w:r w:rsidRPr="00B94F26">
        <w:rPr>
          <w:rFonts w:ascii="Times New Roman" w:hAnsi="Times New Roman" w:cs="Times New Roman"/>
          <w:b/>
          <w:sz w:val="20"/>
        </w:rPr>
        <w:t>Fig. 7  Cost of Road Crash</w:t>
      </w:r>
    </w:p>
    <w:p w:rsidR="00845FBE" w:rsidRPr="00D674FB" w:rsidRDefault="00845FBE" w:rsidP="004C2E17">
      <w:pPr>
        <w:pStyle w:val="ListParagraph"/>
        <w:numPr>
          <w:ilvl w:val="0"/>
          <w:numId w:val="27"/>
        </w:numPr>
        <w:spacing w:before="100" w:beforeAutospacing="1" w:after="100" w:afterAutospacing="1" w:line="480" w:lineRule="auto"/>
        <w:outlineLvl w:val="2"/>
        <w:rPr>
          <w:rFonts w:ascii="Times New Roman" w:eastAsia="Times New Roman" w:hAnsi="Times New Roman" w:cs="Times New Roman"/>
          <w:b/>
          <w:bCs/>
          <w:sz w:val="24"/>
          <w:szCs w:val="27"/>
        </w:rPr>
      </w:pPr>
      <w:r w:rsidRPr="00D674FB">
        <w:rPr>
          <w:rFonts w:ascii="Times New Roman" w:eastAsia="Times New Roman" w:hAnsi="Times New Roman" w:cs="Times New Roman"/>
          <w:b/>
          <w:bCs/>
          <w:sz w:val="24"/>
          <w:szCs w:val="27"/>
        </w:rPr>
        <w:t>Analysis for Developing Countries</w:t>
      </w:r>
    </w:p>
    <w:p w:rsidR="00845FBE" w:rsidRPr="00BD0DDF" w:rsidRDefault="00845FBE" w:rsidP="004C2E17">
      <w:pPr>
        <w:spacing w:before="100" w:beforeAutospacing="1" w:after="100" w:afterAutospacing="1" w:line="480" w:lineRule="auto"/>
        <w:jc w:val="both"/>
        <w:rPr>
          <w:rFonts w:ascii="Times New Roman" w:eastAsia="Times New Roman" w:hAnsi="Times New Roman" w:cs="Times New Roman"/>
          <w:sz w:val="20"/>
          <w:szCs w:val="24"/>
        </w:rPr>
      </w:pPr>
      <w:r w:rsidRPr="00BD0DDF">
        <w:rPr>
          <w:rFonts w:ascii="Times New Roman" w:eastAsia="Times New Roman" w:hAnsi="Times New Roman" w:cs="Times New Roman"/>
          <w:sz w:val="20"/>
          <w:szCs w:val="24"/>
        </w:rPr>
        <w:t>The existing literature offers limited insights into the costs of road traffic crashes in low- and middle-income countries (LMICs). Findings from research on high-income countries (HICs) cannot be directly applied to LMICs, as highlighted by significant contextual differences noted in both the literature and in prior analyses.</w:t>
      </w:r>
      <w:r>
        <w:rPr>
          <w:rFonts w:ascii="Times New Roman" w:eastAsia="Times New Roman" w:hAnsi="Times New Roman" w:cs="Times New Roman"/>
          <w:sz w:val="20"/>
          <w:szCs w:val="24"/>
        </w:rPr>
        <w:t xml:space="preserve"> </w:t>
      </w:r>
      <w:proofErr w:type="spellStart"/>
      <w:r w:rsidRPr="00BD0DDF">
        <w:rPr>
          <w:rFonts w:ascii="Times New Roman" w:eastAsia="Times New Roman" w:hAnsi="Times New Roman" w:cs="Times New Roman"/>
          <w:sz w:val="20"/>
          <w:szCs w:val="24"/>
        </w:rPr>
        <w:t>Wijnen</w:t>
      </w:r>
      <w:proofErr w:type="spellEnd"/>
      <w:r w:rsidRPr="00BD0DDF">
        <w:rPr>
          <w:rFonts w:ascii="Times New Roman" w:eastAsia="Times New Roman" w:hAnsi="Times New Roman" w:cs="Times New Roman"/>
          <w:sz w:val="20"/>
          <w:szCs w:val="24"/>
        </w:rPr>
        <w:t xml:space="preserve"> and </w:t>
      </w:r>
      <w:proofErr w:type="spellStart"/>
      <w:r w:rsidRPr="00BD0DDF">
        <w:rPr>
          <w:rFonts w:ascii="Times New Roman" w:eastAsia="Times New Roman" w:hAnsi="Times New Roman" w:cs="Times New Roman"/>
          <w:sz w:val="20"/>
          <w:szCs w:val="24"/>
        </w:rPr>
        <w:t>Stipdonk</w:t>
      </w:r>
      <w:proofErr w:type="spellEnd"/>
      <w:r w:rsidRPr="00BD0DDF">
        <w:rPr>
          <w:rFonts w:ascii="Times New Roman" w:eastAsia="Times New Roman" w:hAnsi="Times New Roman" w:cs="Times New Roman"/>
          <w:sz w:val="20"/>
          <w:szCs w:val="24"/>
        </w:rPr>
        <w:t xml:space="preserve"> (2016) reviewed studies on the national costs of road crashes across 17 countries, ten of which were high-income and seven of which were low- and middle-income. Their analysis showed that the socio-economic costs of ro</w:t>
      </w:r>
      <w:r>
        <w:rPr>
          <w:rFonts w:ascii="Times New Roman" w:eastAsia="Times New Roman" w:hAnsi="Times New Roman" w:cs="Times New Roman"/>
          <w:sz w:val="20"/>
          <w:szCs w:val="24"/>
        </w:rPr>
        <w:t>ad crashes in HICs vary from 0.8% to 4</w:t>
      </w:r>
      <w:r w:rsidRPr="00BD0DDF">
        <w:rPr>
          <w:rFonts w:ascii="Times New Roman" w:eastAsia="Times New Roman" w:hAnsi="Times New Roman" w:cs="Times New Roman"/>
          <w:sz w:val="20"/>
          <w:szCs w:val="24"/>
        </w:rPr>
        <w:t>.0</w:t>
      </w:r>
      <w:r>
        <w:rPr>
          <w:rFonts w:ascii="Times New Roman" w:eastAsia="Times New Roman" w:hAnsi="Times New Roman" w:cs="Times New Roman"/>
          <w:sz w:val="20"/>
          <w:szCs w:val="24"/>
        </w:rPr>
        <w:t>% of GDP, with an average of 2.5</w:t>
      </w:r>
      <w:r w:rsidRPr="00BD0DDF">
        <w:rPr>
          <w:rFonts w:ascii="Times New Roman" w:eastAsia="Times New Roman" w:hAnsi="Times New Roman" w:cs="Times New Roman"/>
          <w:sz w:val="20"/>
          <w:szCs w:val="24"/>
        </w:rPr>
        <w:t>%. When excluding countries that do not use the willingness-to-pay (WTP) method for valuing human costs and those that do not account for underreporting, t</w:t>
      </w:r>
      <w:r>
        <w:rPr>
          <w:rFonts w:ascii="Times New Roman" w:eastAsia="Times New Roman" w:hAnsi="Times New Roman" w:cs="Times New Roman"/>
          <w:sz w:val="20"/>
          <w:szCs w:val="24"/>
        </w:rPr>
        <w:t>he average cost increases to 3.0</w:t>
      </w:r>
      <w:r w:rsidRPr="00BD0DDF">
        <w:rPr>
          <w:rFonts w:ascii="Times New Roman" w:eastAsia="Times New Roman" w:hAnsi="Times New Roman" w:cs="Times New Roman"/>
          <w:sz w:val="20"/>
          <w:szCs w:val="24"/>
        </w:rPr>
        <w:t>% of GDP.</w:t>
      </w:r>
    </w:p>
    <w:p w:rsidR="00845FBE" w:rsidRPr="00BD0DDF" w:rsidRDefault="00845FBE" w:rsidP="004C2E17">
      <w:pPr>
        <w:spacing w:before="100" w:beforeAutospacing="1" w:after="100" w:afterAutospacing="1" w:line="480" w:lineRule="auto"/>
        <w:jc w:val="both"/>
        <w:rPr>
          <w:rFonts w:ascii="Times New Roman" w:eastAsia="Times New Roman" w:hAnsi="Times New Roman" w:cs="Times New Roman"/>
          <w:sz w:val="20"/>
          <w:szCs w:val="24"/>
        </w:rPr>
      </w:pPr>
      <w:r w:rsidRPr="00BD0DDF">
        <w:rPr>
          <w:rFonts w:ascii="Times New Roman" w:eastAsia="Times New Roman" w:hAnsi="Times New Roman" w:cs="Times New Roman"/>
          <w:sz w:val="20"/>
          <w:szCs w:val="24"/>
        </w:rPr>
        <w:t>For LMICs that account for underreporting, th</w:t>
      </w:r>
      <w:r>
        <w:rPr>
          <w:rFonts w:ascii="Times New Roman" w:eastAsia="Times New Roman" w:hAnsi="Times New Roman" w:cs="Times New Roman"/>
          <w:sz w:val="20"/>
          <w:szCs w:val="24"/>
        </w:rPr>
        <w:t>e estimated costs range from 1.0% to 2.8</w:t>
      </w:r>
      <w:r w:rsidRPr="00BD0DDF">
        <w:rPr>
          <w:rFonts w:ascii="Times New Roman" w:eastAsia="Times New Roman" w:hAnsi="Times New Roman" w:cs="Times New Roman"/>
          <w:sz w:val="20"/>
          <w:szCs w:val="24"/>
        </w:rPr>
        <w:t>% of GDP. However, none of the LMICs in the study had conducted a WTP study to estimate human costs. This gap underscores the need for more region-specific research to accurately assess the socio-economic impact of road traffic crashes in LMICs, as the absence of WTP-based studies limits comparability and may under</w:t>
      </w:r>
      <w:r>
        <w:rPr>
          <w:rFonts w:ascii="Times New Roman" w:eastAsia="Times New Roman" w:hAnsi="Times New Roman" w:cs="Times New Roman"/>
          <w:sz w:val="20"/>
          <w:szCs w:val="24"/>
        </w:rPr>
        <w:t xml:space="preserve"> </w:t>
      </w:r>
      <w:r w:rsidRPr="00BD0DDF">
        <w:rPr>
          <w:rFonts w:ascii="Times New Roman" w:eastAsia="Times New Roman" w:hAnsi="Times New Roman" w:cs="Times New Roman"/>
          <w:sz w:val="20"/>
          <w:szCs w:val="24"/>
        </w:rPr>
        <w:t>represent the true costs.</w:t>
      </w:r>
    </w:p>
    <w:p w:rsidR="00845FBE" w:rsidRPr="004C2E17" w:rsidRDefault="00845FBE" w:rsidP="00845FBE">
      <w:pPr>
        <w:pStyle w:val="ListParagraph"/>
        <w:numPr>
          <w:ilvl w:val="1"/>
          <w:numId w:val="14"/>
        </w:numPr>
        <w:spacing w:before="100" w:beforeAutospacing="1" w:after="100" w:afterAutospacing="1"/>
        <w:jc w:val="both"/>
        <w:rPr>
          <w:rFonts w:ascii="Times New Roman" w:eastAsia="Times New Roman" w:hAnsi="Times New Roman" w:cs="Times New Roman"/>
          <w:b/>
          <w:sz w:val="18"/>
          <w:szCs w:val="24"/>
        </w:rPr>
      </w:pPr>
      <w:r w:rsidRPr="004C2E17">
        <w:rPr>
          <w:rFonts w:ascii="Times New Roman" w:hAnsi="Times New Roman" w:cs="Times New Roman"/>
          <w:b/>
          <w:sz w:val="20"/>
        </w:rPr>
        <w:t>Conclusion</w:t>
      </w:r>
    </w:p>
    <w:p w:rsidR="00845FBE" w:rsidRPr="00AD6B5D" w:rsidRDefault="00845FBE" w:rsidP="004C2E17">
      <w:pPr>
        <w:spacing w:before="100" w:beforeAutospacing="1" w:after="100" w:afterAutospacing="1" w:line="480" w:lineRule="auto"/>
        <w:jc w:val="both"/>
        <w:rPr>
          <w:rFonts w:ascii="Times New Roman" w:eastAsia="Times New Roman" w:hAnsi="Times New Roman" w:cs="Times New Roman"/>
          <w:sz w:val="18"/>
          <w:szCs w:val="24"/>
        </w:rPr>
      </w:pPr>
      <w:r w:rsidRPr="00AD6B5D">
        <w:rPr>
          <w:rFonts w:ascii="Times New Roman" w:hAnsi="Times New Roman" w:cs="Times New Roman"/>
          <w:sz w:val="20"/>
        </w:rPr>
        <w:t>Globally, road safety is experiencing a sh</w:t>
      </w:r>
      <w:r w:rsidR="00A77FAF">
        <w:rPr>
          <w:rFonts w:ascii="Times New Roman" w:hAnsi="Times New Roman" w:cs="Times New Roman"/>
          <w:sz w:val="20"/>
        </w:rPr>
        <w:t xml:space="preserve">ift from a traditional approach </w:t>
      </w:r>
      <w:r w:rsidRPr="00AD6B5D">
        <w:rPr>
          <w:rFonts w:ascii="Times New Roman" w:hAnsi="Times New Roman" w:cs="Times New Roman"/>
          <w:sz w:val="20"/>
        </w:rPr>
        <w:t>where road traffic crashes (RTCs) were mainly attributed to higher-risk groups like young and elderly drivers, impaired or distracted drivers, and no</w:t>
      </w:r>
      <w:r w:rsidR="00A77FAF">
        <w:rPr>
          <w:rFonts w:ascii="Times New Roman" w:hAnsi="Times New Roman" w:cs="Times New Roman"/>
          <w:sz w:val="20"/>
        </w:rPr>
        <w:t xml:space="preserve">n-users of seatbelts or helmets </w:t>
      </w:r>
      <w:r w:rsidRPr="00AD6B5D">
        <w:rPr>
          <w:rFonts w:ascii="Times New Roman" w:hAnsi="Times New Roman" w:cs="Times New Roman"/>
          <w:sz w:val="20"/>
        </w:rPr>
        <w:t>to a broader perspective that recognizes all vehicle travel as inherently risky. This new paradigm acknowledges that most drivers take small risks that can cumulatively lead to crashes (2023). The evidence from studies analyzed in this paper underscores the severe economic impact of RTCs, especially in low- and middle-income countries, which often lack sufficient data and research capacity to assess these costs effectively. This analysis not only highlights the existing gaps in road crash socio-economic cost analysis but also emphasizes the need for policymakers to develop integrated data systems. It calls on local road safety institutions to collect high-quality data to enable accurate cost calculations.</w:t>
      </w:r>
    </w:p>
    <w:p w:rsidR="00AF054B" w:rsidRPr="00B7577F" w:rsidRDefault="00845FBE" w:rsidP="004C2E17">
      <w:pPr>
        <w:spacing w:before="100" w:beforeAutospacing="1" w:after="100" w:afterAutospacing="1" w:line="480" w:lineRule="auto"/>
        <w:jc w:val="both"/>
        <w:rPr>
          <w:rFonts w:ascii="Times New Roman" w:hAnsi="Times New Roman" w:cs="Times New Roman"/>
          <w:sz w:val="20"/>
        </w:rPr>
      </w:pPr>
      <w:r w:rsidRPr="00AD6B5D">
        <w:rPr>
          <w:rFonts w:ascii="Times New Roman" w:hAnsi="Times New Roman" w:cs="Times New Roman"/>
          <w:sz w:val="20"/>
        </w:rPr>
        <w:t>This paper conducted a quantitative analysis of studies estimating the socio-economic costs of road traffic crashes, using both descriptive and formal econometric analyses. Our literature review included both working papers and articles from peer-reviewed journals. The primary goal of our research was to offer researchers and policymakers a comprehensive review of the existing literature on the socio-economic costs of road crashes, as well as an identification of the critical gaps in current research. With this objective, the paper foc</w:t>
      </w:r>
      <w:r w:rsidR="00A77FAF">
        <w:rPr>
          <w:rFonts w:ascii="Times New Roman" w:hAnsi="Times New Roman" w:cs="Times New Roman"/>
          <w:sz w:val="20"/>
        </w:rPr>
        <w:t xml:space="preserve">used on the two main approaches </w:t>
      </w:r>
      <w:r w:rsidRPr="00AD6B5D">
        <w:rPr>
          <w:rFonts w:ascii="Times New Roman" w:hAnsi="Times New Roman" w:cs="Times New Roman"/>
          <w:sz w:val="20"/>
        </w:rPr>
        <w:t>willingness-to-pay (WTP) and human capital and examined how results from these methods correlate with countries' socio-economic costs, measured as a percentage of GDP and in total economic value.</w:t>
      </w:r>
    </w:p>
    <w:p w:rsidR="00B7577F" w:rsidRDefault="00845FBE" w:rsidP="00B7577F">
      <w:pPr>
        <w:spacing w:before="100" w:beforeAutospacing="1" w:after="100" w:afterAutospacing="1" w:line="480" w:lineRule="auto"/>
        <w:jc w:val="both"/>
        <w:rPr>
          <w:rFonts w:ascii="Times New Roman" w:hAnsi="Times New Roman" w:cs="Times New Roman"/>
          <w:sz w:val="20"/>
        </w:rPr>
      </w:pPr>
      <w:r w:rsidRPr="00AD6B5D">
        <w:rPr>
          <w:rFonts w:ascii="Times New Roman" w:hAnsi="Times New Roman" w:cs="Times New Roman"/>
          <w:sz w:val="20"/>
        </w:rPr>
        <w:t>The paper highlights the value of comparing or combining methodologies when estimating the socio-economic costs of road traffic crashes. Currently, countries use different approaches, with the willingness-to-pay (WTP) method predominantly applied in high-income countries, while the human capital approach is more common in low- and middle-income countries. However, research in lower-income countries remains sparse, representing only 5% of the studies analyzed. Given the financial and technical challenges associated with implementing the WTP method in these regions, the paper emphasizes the potential benefits of a hybrid approach that combines WTP, human capital, and other valuation methods to improve accuracy and adaptability in various contexts.</w:t>
      </w:r>
      <w:r w:rsidR="00B7577F">
        <w:rPr>
          <w:rFonts w:ascii="Times New Roman" w:hAnsi="Times New Roman" w:cs="Times New Roman"/>
          <w:sz w:val="20"/>
        </w:rPr>
        <w:t xml:space="preserve"> </w:t>
      </w:r>
    </w:p>
    <w:p w:rsidR="00B7577F" w:rsidRPr="008F4563" w:rsidRDefault="00B7577F" w:rsidP="004C2E17">
      <w:pPr>
        <w:spacing w:before="100" w:beforeAutospacing="1" w:after="100" w:afterAutospacing="1" w:line="480" w:lineRule="auto"/>
        <w:jc w:val="both"/>
        <w:rPr>
          <w:rFonts w:ascii="Times New Roman" w:hAnsi="Times New Roman" w:cs="Times New Roman"/>
          <w:sz w:val="20"/>
        </w:rPr>
      </w:pPr>
      <w:r w:rsidRPr="008F4563">
        <w:rPr>
          <w:rFonts w:ascii="Times New Roman" w:hAnsi="Times New Roman" w:cs="Times New Roman"/>
          <w:sz w:val="20"/>
        </w:rPr>
        <w:t xml:space="preserve">Poor pavement conditions are significantly correlated with increased crash frequency and severity and the impact of pavement quality is </w:t>
      </w:r>
      <w:r w:rsidRPr="008F4563">
        <w:rPr>
          <w:rStyle w:val="Strong"/>
          <w:rFonts w:ascii="Times New Roman" w:hAnsi="Times New Roman" w:cs="Times New Roman"/>
          <w:b w:val="0"/>
          <w:sz w:val="20"/>
        </w:rPr>
        <w:t>not uniform</w:t>
      </w:r>
      <w:r w:rsidRPr="008F4563">
        <w:rPr>
          <w:rFonts w:ascii="Times New Roman" w:hAnsi="Times New Roman" w:cs="Times New Roman"/>
          <w:sz w:val="20"/>
        </w:rPr>
        <w:t xml:space="preserve">; it is more pronounced for </w:t>
      </w:r>
      <w:r w:rsidRPr="008F4563">
        <w:rPr>
          <w:rStyle w:val="Strong"/>
          <w:rFonts w:ascii="Times New Roman" w:hAnsi="Times New Roman" w:cs="Times New Roman"/>
          <w:b w:val="0"/>
          <w:sz w:val="20"/>
        </w:rPr>
        <w:t>fatal and severe crashes</w:t>
      </w:r>
      <w:r w:rsidRPr="008F4563">
        <w:rPr>
          <w:rFonts w:ascii="Times New Roman" w:hAnsi="Times New Roman" w:cs="Times New Roman"/>
          <w:sz w:val="20"/>
        </w:rPr>
        <w:t xml:space="preserve">, as shown in higher quantiles.                       Quantile regression reveals that traditional OLS methods may </w:t>
      </w:r>
      <w:r w:rsidRPr="008F4563">
        <w:rPr>
          <w:rStyle w:val="Strong"/>
          <w:rFonts w:ascii="Times New Roman" w:hAnsi="Times New Roman" w:cs="Times New Roman"/>
          <w:b w:val="0"/>
          <w:sz w:val="20"/>
        </w:rPr>
        <w:t>underestimate</w:t>
      </w:r>
      <w:r w:rsidRPr="008F4563">
        <w:rPr>
          <w:rFonts w:ascii="Times New Roman" w:hAnsi="Times New Roman" w:cs="Times New Roman"/>
          <w:sz w:val="20"/>
        </w:rPr>
        <w:t xml:space="preserve"> the risk posed by poor pavement for the most serious outcomes. These findings highlight the need for </w:t>
      </w:r>
      <w:r w:rsidRPr="008F4563">
        <w:rPr>
          <w:rStyle w:val="Strong"/>
          <w:rFonts w:ascii="Times New Roman" w:hAnsi="Times New Roman" w:cs="Times New Roman"/>
          <w:b w:val="0"/>
          <w:sz w:val="20"/>
        </w:rPr>
        <w:t>targeted pavement maintenance and rehabilitation</w:t>
      </w:r>
      <w:r w:rsidRPr="008F4563">
        <w:rPr>
          <w:rFonts w:ascii="Times New Roman" w:hAnsi="Times New Roman" w:cs="Times New Roman"/>
          <w:sz w:val="20"/>
        </w:rPr>
        <w:t>, especially in high-risk corridors, to reduce crash severity and save lives.</w:t>
      </w:r>
    </w:p>
    <w:p w:rsidR="00C7160D" w:rsidRPr="00AD287F" w:rsidRDefault="00AD287F" w:rsidP="00663A83">
      <w:pPr>
        <w:pStyle w:val="NormalWeb"/>
        <w:numPr>
          <w:ilvl w:val="1"/>
          <w:numId w:val="15"/>
        </w:numPr>
        <w:spacing w:line="276" w:lineRule="auto"/>
        <w:rPr>
          <w:sz w:val="14"/>
          <w:szCs w:val="20"/>
        </w:rPr>
      </w:pPr>
      <w:r w:rsidRPr="00AD287F">
        <w:rPr>
          <w:b/>
          <w:bCs/>
          <w:sz w:val="22"/>
          <w:szCs w:val="16"/>
        </w:rPr>
        <w:t>References</w:t>
      </w:r>
    </w:p>
    <w:p w:rsidR="00AD287F"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Abdallah</w:t>
      </w:r>
      <w:proofErr w:type="spellEnd"/>
      <w:r w:rsidRPr="00845FBE">
        <w:rPr>
          <w:sz w:val="20"/>
          <w:szCs w:val="20"/>
        </w:rPr>
        <w:t xml:space="preserve">, N.M., Hakim, </w:t>
      </w:r>
      <w:proofErr w:type="spellStart"/>
      <w:r w:rsidRPr="00845FBE">
        <w:rPr>
          <w:sz w:val="20"/>
          <w:szCs w:val="20"/>
        </w:rPr>
        <w:t>A.S.El</w:t>
      </w:r>
      <w:proofErr w:type="spellEnd"/>
      <w:r w:rsidRPr="00845FBE">
        <w:rPr>
          <w:sz w:val="20"/>
          <w:szCs w:val="20"/>
        </w:rPr>
        <w:t xml:space="preserve">, </w:t>
      </w:r>
      <w:proofErr w:type="spellStart"/>
      <w:r w:rsidRPr="00845FBE">
        <w:rPr>
          <w:sz w:val="20"/>
          <w:szCs w:val="20"/>
        </w:rPr>
        <w:t>Wahdan</w:t>
      </w:r>
      <w:proofErr w:type="spellEnd"/>
      <w:r w:rsidRPr="00845FBE">
        <w:rPr>
          <w:sz w:val="20"/>
          <w:szCs w:val="20"/>
        </w:rPr>
        <w:t xml:space="preserve">, A.H., </w:t>
      </w:r>
      <w:proofErr w:type="spellStart"/>
      <w:r w:rsidRPr="00845FBE">
        <w:rPr>
          <w:sz w:val="20"/>
          <w:szCs w:val="20"/>
        </w:rPr>
        <w:t>Refaeye</w:t>
      </w:r>
      <w:proofErr w:type="spellEnd"/>
      <w:r w:rsidRPr="00845FBE">
        <w:rPr>
          <w:sz w:val="20"/>
          <w:szCs w:val="20"/>
        </w:rPr>
        <w:t xml:space="preserve">, </w:t>
      </w:r>
      <w:proofErr w:type="spellStart"/>
      <w:r w:rsidRPr="00845FBE">
        <w:rPr>
          <w:sz w:val="20"/>
          <w:szCs w:val="20"/>
        </w:rPr>
        <w:t>M.A.El</w:t>
      </w:r>
      <w:proofErr w:type="spellEnd"/>
      <w:r w:rsidRPr="00845FBE">
        <w:rPr>
          <w:sz w:val="20"/>
          <w:szCs w:val="20"/>
        </w:rPr>
        <w:t xml:space="preserve">, 2016. Analysis of accidents cost in Egypt using the willingness-to-pay method. International Journal of Traffic and Transportation Engineering 5 (1), 10–18. </w:t>
      </w:r>
      <w:hyperlink r:id="rId11" w:history="1">
        <w:r w:rsidRPr="00845FBE">
          <w:rPr>
            <w:rStyle w:val="Hyperlink"/>
            <w:color w:val="auto"/>
            <w:sz w:val="20"/>
            <w:szCs w:val="20"/>
            <w:u w:val="none"/>
          </w:rPr>
          <w:t>https://doi.org/10.5923/j. ijtte.20160501.02</w:t>
        </w:r>
      </w:hyperlink>
      <w:r w:rsidRPr="00845FBE">
        <w:rPr>
          <w:sz w:val="20"/>
          <w:szCs w:val="20"/>
        </w:rPr>
        <w:t>.</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Abelson, P. 2008. Establishing a monetary value for lives saved: issues and controversies. </w:t>
      </w:r>
      <w:proofErr w:type="gramStart"/>
      <w:r w:rsidRPr="00845FBE">
        <w:rPr>
          <w:sz w:val="20"/>
          <w:szCs w:val="20"/>
        </w:rPr>
        <w:t>office</w:t>
      </w:r>
      <w:proofErr w:type="gramEnd"/>
      <w:r w:rsidRPr="00845FBE">
        <w:rPr>
          <w:sz w:val="20"/>
          <w:szCs w:val="20"/>
        </w:rPr>
        <w:t xml:space="preserve"> of Best Practices Regulation, Department of Finance and Deregulation, Canberra. </w:t>
      </w:r>
      <w:proofErr w:type="spellStart"/>
      <w:r w:rsidRPr="00845FBE">
        <w:rPr>
          <w:sz w:val="20"/>
          <w:szCs w:val="20"/>
        </w:rPr>
        <w:t>Ainy</w:t>
      </w:r>
      <w:proofErr w:type="spellEnd"/>
      <w:r w:rsidRPr="00845FBE">
        <w:rPr>
          <w:sz w:val="20"/>
          <w:szCs w:val="20"/>
        </w:rPr>
        <w:t xml:space="preserve">, E., </w:t>
      </w:r>
      <w:proofErr w:type="spellStart"/>
      <w:r w:rsidRPr="00845FBE">
        <w:rPr>
          <w:sz w:val="20"/>
          <w:szCs w:val="20"/>
        </w:rPr>
        <w:t>Soori</w:t>
      </w:r>
      <w:proofErr w:type="spellEnd"/>
      <w:r w:rsidRPr="00845FBE">
        <w:rPr>
          <w:sz w:val="20"/>
          <w:szCs w:val="20"/>
        </w:rPr>
        <w:t xml:space="preserve">, H., </w:t>
      </w:r>
      <w:proofErr w:type="spellStart"/>
      <w:r w:rsidRPr="00845FBE">
        <w:rPr>
          <w:sz w:val="20"/>
          <w:szCs w:val="20"/>
        </w:rPr>
        <w:t>Ganjali</w:t>
      </w:r>
      <w:proofErr w:type="spellEnd"/>
      <w:r w:rsidRPr="00845FBE">
        <w:rPr>
          <w:sz w:val="20"/>
          <w:szCs w:val="20"/>
        </w:rPr>
        <w:t xml:space="preserve">, M., Le, H., </w:t>
      </w:r>
      <w:proofErr w:type="spellStart"/>
      <w:r w:rsidRPr="00845FBE">
        <w:rPr>
          <w:sz w:val="20"/>
          <w:szCs w:val="20"/>
        </w:rPr>
        <w:t>Baghfalaki</w:t>
      </w:r>
      <w:proofErr w:type="spellEnd"/>
      <w:r w:rsidRPr="00845FBE">
        <w:rPr>
          <w:sz w:val="20"/>
          <w:szCs w:val="20"/>
        </w:rPr>
        <w:t xml:space="preserve">, T., 2014. </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Estimating Cost of Road Traffic Injuries in Iran Using Willingness to Pay (WTP) Method. </w:t>
      </w:r>
      <w:proofErr w:type="spellStart"/>
      <w:r w:rsidRPr="00845FBE">
        <w:rPr>
          <w:sz w:val="20"/>
          <w:szCs w:val="20"/>
        </w:rPr>
        <w:t>PLoS</w:t>
      </w:r>
      <w:proofErr w:type="spellEnd"/>
      <w:r w:rsidRPr="00845FBE">
        <w:rPr>
          <w:sz w:val="20"/>
          <w:szCs w:val="20"/>
        </w:rPr>
        <w:t xml:space="preserve"> One 9 (12), e112721. </w:t>
      </w:r>
      <w:hyperlink r:id="rId12" w:history="1">
        <w:r w:rsidRPr="00845FBE">
          <w:rPr>
            <w:rStyle w:val="Hyperlink"/>
            <w:color w:val="auto"/>
            <w:sz w:val="20"/>
            <w:szCs w:val="20"/>
            <w:u w:val="none"/>
          </w:rPr>
          <w:t>https://doi.org/10.1371/journal. pone.0112721</w:t>
        </w:r>
      </w:hyperlink>
      <w:r w:rsidRPr="00845FBE">
        <w:rPr>
          <w:sz w:val="20"/>
          <w:szCs w:val="20"/>
        </w:rPr>
        <w:t xml:space="preserve">. </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Alfaro, J.L., Fabre, F., </w:t>
      </w:r>
      <w:proofErr w:type="spellStart"/>
      <w:r w:rsidRPr="00845FBE">
        <w:rPr>
          <w:sz w:val="20"/>
          <w:szCs w:val="20"/>
        </w:rPr>
        <w:t>chapuis</w:t>
      </w:r>
      <w:proofErr w:type="spellEnd"/>
      <w:r w:rsidRPr="00845FBE">
        <w:rPr>
          <w:sz w:val="20"/>
          <w:szCs w:val="20"/>
        </w:rPr>
        <w:t xml:space="preserve">, M., 1994. </w:t>
      </w:r>
      <w:proofErr w:type="spellStart"/>
      <w:r w:rsidRPr="00845FBE">
        <w:rPr>
          <w:sz w:val="20"/>
          <w:szCs w:val="20"/>
        </w:rPr>
        <w:t>Cour</w:t>
      </w:r>
      <w:proofErr w:type="spellEnd"/>
      <w:r w:rsidRPr="00845FBE">
        <w:rPr>
          <w:sz w:val="20"/>
          <w:szCs w:val="20"/>
        </w:rPr>
        <w:t xml:space="preserve"> socio </w:t>
      </w:r>
      <w:proofErr w:type="spellStart"/>
      <w:r w:rsidRPr="00845FBE">
        <w:rPr>
          <w:sz w:val="20"/>
          <w:szCs w:val="20"/>
        </w:rPr>
        <w:t>economique</w:t>
      </w:r>
      <w:proofErr w:type="spellEnd"/>
      <w:r w:rsidRPr="00845FBE">
        <w:rPr>
          <w:sz w:val="20"/>
          <w:szCs w:val="20"/>
        </w:rPr>
        <w:t xml:space="preserve"> des accidents de la route. </w:t>
      </w:r>
      <w:proofErr w:type="spellStart"/>
      <w:r w:rsidRPr="00845FBE">
        <w:rPr>
          <w:sz w:val="20"/>
          <w:szCs w:val="20"/>
        </w:rPr>
        <w:t>Comission</w:t>
      </w:r>
      <w:proofErr w:type="spellEnd"/>
      <w:r w:rsidRPr="00845FBE">
        <w:rPr>
          <w:sz w:val="20"/>
          <w:szCs w:val="20"/>
        </w:rPr>
        <w:t xml:space="preserve"> des </w:t>
      </w:r>
      <w:proofErr w:type="spellStart"/>
      <w:r w:rsidRPr="00845FBE">
        <w:rPr>
          <w:sz w:val="20"/>
          <w:szCs w:val="20"/>
        </w:rPr>
        <w:t>communautes</w:t>
      </w:r>
      <w:proofErr w:type="spellEnd"/>
      <w:r w:rsidRPr="00845FBE">
        <w:rPr>
          <w:sz w:val="20"/>
          <w:szCs w:val="20"/>
        </w:rPr>
        <w:t xml:space="preserve"> </w:t>
      </w:r>
      <w:proofErr w:type="spellStart"/>
      <w:r w:rsidRPr="00845FBE">
        <w:rPr>
          <w:sz w:val="20"/>
          <w:szCs w:val="20"/>
        </w:rPr>
        <w:t>europeennes</w:t>
      </w:r>
      <w:proofErr w:type="spellEnd"/>
      <w:r w:rsidRPr="00845FBE">
        <w:rPr>
          <w:sz w:val="20"/>
          <w:szCs w:val="20"/>
        </w:rPr>
        <w:t xml:space="preserve">, LUXEMBOURG. </w:t>
      </w:r>
      <w:proofErr w:type="spellStart"/>
      <w:r w:rsidRPr="00845FBE">
        <w:rPr>
          <w:sz w:val="20"/>
          <w:szCs w:val="20"/>
        </w:rPr>
        <w:t>Ameratunga</w:t>
      </w:r>
      <w:proofErr w:type="spellEnd"/>
      <w:r w:rsidRPr="00845FBE">
        <w:rPr>
          <w:sz w:val="20"/>
          <w:szCs w:val="20"/>
        </w:rPr>
        <w:t xml:space="preserve">, S., </w:t>
      </w:r>
      <w:proofErr w:type="spellStart"/>
      <w:r w:rsidRPr="00845FBE">
        <w:rPr>
          <w:sz w:val="20"/>
          <w:szCs w:val="20"/>
        </w:rPr>
        <w:t>Hijar</w:t>
      </w:r>
      <w:proofErr w:type="spellEnd"/>
      <w:r w:rsidRPr="00845FBE">
        <w:rPr>
          <w:sz w:val="20"/>
          <w:szCs w:val="20"/>
        </w:rPr>
        <w:t xml:space="preserve">, M., Norton, R., 2006. Road traffic injuries: confronting disparities to address a global-health problem. Lancet 367, 1533–1540. </w:t>
      </w:r>
    </w:p>
    <w:p w:rsidR="00AD287F"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Anti´c</w:t>
      </w:r>
      <w:proofErr w:type="spellEnd"/>
      <w:r w:rsidRPr="00845FBE">
        <w:rPr>
          <w:sz w:val="20"/>
          <w:szCs w:val="20"/>
        </w:rPr>
        <w:t xml:space="preserve">, B., </w:t>
      </w:r>
      <w:proofErr w:type="spellStart"/>
      <w:r w:rsidRPr="00845FBE">
        <w:rPr>
          <w:sz w:val="20"/>
          <w:szCs w:val="20"/>
        </w:rPr>
        <w:t>Vujani´c</w:t>
      </w:r>
      <w:proofErr w:type="spellEnd"/>
      <w:r w:rsidRPr="00845FBE">
        <w:rPr>
          <w:sz w:val="20"/>
          <w:szCs w:val="20"/>
        </w:rPr>
        <w:t xml:space="preserve">, M., </w:t>
      </w:r>
      <w:proofErr w:type="spellStart"/>
      <w:r w:rsidRPr="00845FBE">
        <w:rPr>
          <w:sz w:val="20"/>
          <w:szCs w:val="20"/>
        </w:rPr>
        <w:t>Lipovac</w:t>
      </w:r>
      <w:proofErr w:type="spellEnd"/>
      <w:r w:rsidRPr="00845FBE">
        <w:rPr>
          <w:sz w:val="20"/>
          <w:szCs w:val="20"/>
        </w:rPr>
        <w:t xml:space="preserve">, K., </w:t>
      </w:r>
      <w:proofErr w:type="spellStart"/>
      <w:r w:rsidRPr="00845FBE">
        <w:rPr>
          <w:sz w:val="20"/>
          <w:szCs w:val="20"/>
        </w:rPr>
        <w:t>Pe´si´c</w:t>
      </w:r>
      <w:proofErr w:type="spellEnd"/>
      <w:r w:rsidRPr="00845FBE">
        <w:rPr>
          <w:sz w:val="20"/>
          <w:szCs w:val="20"/>
        </w:rPr>
        <w:t xml:space="preserve">, D., 2011. Estimation of the traffic accidents costs in Serbia by using dominant costs model. Transport 26 (4), 433–440. https:// doi.org/10.3846/16484142.2011.635425. </w:t>
      </w:r>
    </w:p>
    <w:p w:rsidR="00AD287F"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Athanasios</w:t>
      </w:r>
      <w:proofErr w:type="spellEnd"/>
      <w:r w:rsidRPr="00845FBE">
        <w:rPr>
          <w:sz w:val="20"/>
          <w:szCs w:val="20"/>
        </w:rPr>
        <w:t xml:space="preserve">, T., </w:t>
      </w:r>
      <w:proofErr w:type="spellStart"/>
      <w:r w:rsidRPr="00845FBE">
        <w:rPr>
          <w:sz w:val="20"/>
          <w:szCs w:val="20"/>
        </w:rPr>
        <w:t>Apostolos</w:t>
      </w:r>
      <w:proofErr w:type="spellEnd"/>
      <w:r w:rsidRPr="00845FBE">
        <w:rPr>
          <w:sz w:val="20"/>
          <w:szCs w:val="20"/>
        </w:rPr>
        <w:t xml:space="preserve">, Z., </w:t>
      </w:r>
      <w:proofErr w:type="spellStart"/>
      <w:r w:rsidRPr="00845FBE">
        <w:rPr>
          <w:sz w:val="20"/>
          <w:szCs w:val="20"/>
        </w:rPr>
        <w:t>Eleonora</w:t>
      </w:r>
      <w:proofErr w:type="spellEnd"/>
      <w:r w:rsidRPr="00845FBE">
        <w:rPr>
          <w:sz w:val="20"/>
          <w:szCs w:val="20"/>
        </w:rPr>
        <w:t xml:space="preserve">, P., George, Y., 2017. Paper on Meta-analysis of the effect of road work zones on crash occurrence. </w:t>
      </w:r>
      <w:proofErr w:type="spellStart"/>
      <w:r w:rsidRPr="00845FBE">
        <w:rPr>
          <w:sz w:val="20"/>
          <w:szCs w:val="20"/>
        </w:rPr>
        <w:t>Accid</w:t>
      </w:r>
      <w:proofErr w:type="spellEnd"/>
      <w:r w:rsidRPr="00845FBE">
        <w:rPr>
          <w:sz w:val="20"/>
          <w:szCs w:val="20"/>
        </w:rPr>
        <w:t xml:space="preserve">. Anal. Prevent. 108 (4), 1–8. </w:t>
      </w:r>
    </w:p>
    <w:p w:rsidR="00AD287F"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Bahamonde-Birke</w:t>
      </w:r>
      <w:proofErr w:type="spellEnd"/>
      <w:r w:rsidRPr="00845FBE">
        <w:rPr>
          <w:sz w:val="20"/>
          <w:szCs w:val="20"/>
        </w:rPr>
        <w:t xml:space="preserve">, F.J., </w:t>
      </w:r>
      <w:proofErr w:type="spellStart"/>
      <w:r w:rsidRPr="00845FBE">
        <w:rPr>
          <w:sz w:val="20"/>
          <w:szCs w:val="20"/>
        </w:rPr>
        <w:t>Kunert</w:t>
      </w:r>
      <w:proofErr w:type="spellEnd"/>
      <w:r w:rsidRPr="00845FBE">
        <w:rPr>
          <w:sz w:val="20"/>
          <w:szCs w:val="20"/>
        </w:rPr>
        <w:t xml:space="preserve">, U., Link, H., 2015. The Value of a Statistical Life in a Road Safety Context — A Review of the Current Literature. Transp. Rev. 35 (4), 488–511. </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BTCE, 1996. Valuing Transport Safety in Australia. Bureau of Transport and Communications Economics, Australia.</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BTS, B. o. 1990. Africa Road Safety Review Final Report. Economic cost of Road Crashes in Africa (Chapter 6). </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Case, A., Menendez, A., 2011. Requiescat in Pace? The Consequences of High Priced Funerals in South Africa. Chapter 11 in Explorations of Aging. University of Chicago Press, Chicago. </w:t>
      </w:r>
    </w:p>
    <w:p w:rsidR="00AD287F" w:rsidRPr="00845FBE" w:rsidRDefault="00AD287F" w:rsidP="004C2E17">
      <w:pPr>
        <w:pStyle w:val="NormalWeb"/>
        <w:numPr>
          <w:ilvl w:val="0"/>
          <w:numId w:val="16"/>
        </w:numPr>
        <w:spacing w:line="480" w:lineRule="auto"/>
        <w:jc w:val="both"/>
        <w:rPr>
          <w:sz w:val="20"/>
          <w:szCs w:val="20"/>
        </w:rPr>
      </w:pPr>
      <w:r w:rsidRPr="00845FBE">
        <w:rPr>
          <w:sz w:val="20"/>
          <w:szCs w:val="20"/>
        </w:rPr>
        <w:t xml:space="preserve">De </w:t>
      </w:r>
      <w:proofErr w:type="spellStart"/>
      <w:r w:rsidRPr="00845FBE">
        <w:rPr>
          <w:sz w:val="20"/>
          <w:szCs w:val="20"/>
        </w:rPr>
        <w:t>Blaeij</w:t>
      </w:r>
      <w:proofErr w:type="spellEnd"/>
      <w:r w:rsidRPr="00845FBE">
        <w:rPr>
          <w:sz w:val="20"/>
          <w:szCs w:val="20"/>
        </w:rPr>
        <w:t xml:space="preserve">, A., </w:t>
      </w:r>
      <w:proofErr w:type="spellStart"/>
      <w:r w:rsidRPr="00845FBE">
        <w:rPr>
          <w:sz w:val="20"/>
          <w:szCs w:val="20"/>
        </w:rPr>
        <w:t>Florax</w:t>
      </w:r>
      <w:proofErr w:type="spellEnd"/>
      <w:r w:rsidRPr="00845FBE">
        <w:rPr>
          <w:sz w:val="20"/>
          <w:szCs w:val="20"/>
        </w:rPr>
        <w:t xml:space="preserve">, R.J.G.M., </w:t>
      </w:r>
      <w:proofErr w:type="spellStart"/>
      <w:r w:rsidRPr="00845FBE">
        <w:rPr>
          <w:sz w:val="20"/>
          <w:szCs w:val="20"/>
        </w:rPr>
        <w:t>Rietveld</w:t>
      </w:r>
      <w:proofErr w:type="spellEnd"/>
      <w:r w:rsidRPr="00845FBE">
        <w:rPr>
          <w:sz w:val="20"/>
          <w:szCs w:val="20"/>
        </w:rPr>
        <w:t xml:space="preserve">, P., and </w:t>
      </w:r>
      <w:proofErr w:type="spellStart"/>
      <w:r w:rsidRPr="00845FBE">
        <w:rPr>
          <w:sz w:val="20"/>
          <w:szCs w:val="20"/>
        </w:rPr>
        <w:t>Verhoef</w:t>
      </w:r>
      <w:proofErr w:type="spellEnd"/>
      <w:r w:rsidRPr="00845FBE">
        <w:rPr>
          <w:sz w:val="20"/>
          <w:szCs w:val="20"/>
        </w:rPr>
        <w:t xml:space="preserve">, E. 2003, November. The value of statistical life in road safety: A meta-analysis. Accident Analysis and Prevention. </w:t>
      </w:r>
      <w:hyperlink r:id="rId13" w:history="1">
        <w:r w:rsidRPr="00845FBE">
          <w:rPr>
            <w:rStyle w:val="Hyperlink"/>
            <w:color w:val="auto"/>
            <w:sz w:val="20"/>
            <w:szCs w:val="20"/>
            <w:u w:val="none"/>
          </w:rPr>
          <w:t>https://doi.org/10.1016/S0001–4575(02)00105–7</w:t>
        </w:r>
      </w:hyperlink>
      <w:r w:rsidRPr="00845FBE">
        <w:rPr>
          <w:sz w:val="20"/>
          <w:szCs w:val="20"/>
        </w:rPr>
        <w:t xml:space="preserve">. </w:t>
      </w:r>
    </w:p>
    <w:p w:rsidR="00AD287F"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Dandona</w:t>
      </w:r>
      <w:proofErr w:type="spellEnd"/>
      <w:r w:rsidRPr="00845FBE">
        <w:rPr>
          <w:sz w:val="20"/>
          <w:szCs w:val="20"/>
        </w:rPr>
        <w:t xml:space="preserve">, R., Kumar, G.A., </w:t>
      </w:r>
      <w:proofErr w:type="spellStart"/>
      <w:r w:rsidRPr="00845FBE">
        <w:rPr>
          <w:sz w:val="20"/>
          <w:szCs w:val="20"/>
        </w:rPr>
        <w:t>Ameer</w:t>
      </w:r>
      <w:proofErr w:type="spellEnd"/>
      <w:r w:rsidRPr="00845FBE">
        <w:rPr>
          <w:sz w:val="20"/>
          <w:szCs w:val="20"/>
        </w:rPr>
        <w:t xml:space="preserve">, M.A., Reddy, G.B., </w:t>
      </w:r>
      <w:proofErr w:type="spellStart"/>
      <w:r w:rsidRPr="00845FBE">
        <w:rPr>
          <w:sz w:val="20"/>
          <w:szCs w:val="20"/>
        </w:rPr>
        <w:t>Dandona</w:t>
      </w:r>
      <w:proofErr w:type="spellEnd"/>
      <w:r w:rsidRPr="00845FBE">
        <w:rPr>
          <w:sz w:val="20"/>
          <w:szCs w:val="20"/>
        </w:rPr>
        <w:t xml:space="preserve">, L., 2008. Under-reporting of road traffic injuries to the police: results from two data sources in urban India. Injury Prevention: Journal of the International Society for Child and Adolescent Injury Prevention 14 (6), 360–365. </w:t>
      </w:r>
      <w:hyperlink r:id="rId14" w:history="1">
        <w:r w:rsidRPr="00845FBE">
          <w:rPr>
            <w:rStyle w:val="Hyperlink"/>
            <w:color w:val="auto"/>
            <w:sz w:val="20"/>
            <w:szCs w:val="20"/>
            <w:u w:val="none"/>
          </w:rPr>
          <w:t>https://doi.org/10.1136/ip.2008.0 19638</w:t>
        </w:r>
      </w:hyperlink>
      <w:r w:rsidRPr="00845FBE">
        <w:rPr>
          <w:sz w:val="20"/>
          <w:szCs w:val="20"/>
        </w:rPr>
        <w:t xml:space="preserve">. </w:t>
      </w:r>
    </w:p>
    <w:p w:rsidR="00F72700"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Derriks</w:t>
      </w:r>
      <w:proofErr w:type="spellEnd"/>
      <w:r w:rsidRPr="00845FBE">
        <w:rPr>
          <w:sz w:val="20"/>
          <w:szCs w:val="20"/>
        </w:rPr>
        <w:t xml:space="preserve">, H., </w:t>
      </w:r>
      <w:proofErr w:type="spellStart"/>
      <w:r w:rsidRPr="00845FBE">
        <w:rPr>
          <w:sz w:val="20"/>
          <w:szCs w:val="20"/>
        </w:rPr>
        <w:t>Mak</w:t>
      </w:r>
      <w:proofErr w:type="spellEnd"/>
      <w:r w:rsidRPr="00845FBE">
        <w:rPr>
          <w:sz w:val="20"/>
          <w:szCs w:val="20"/>
        </w:rPr>
        <w:t xml:space="preserve">, P., 2007. Underreporting of road traffic casualties. IRTAD Special report. OECD/ International Transport Forum, Paris. DOT, U.S.D. of T. 2016. Guidance on Treatment of the Economic Value of a Statistical Life (VSL) in </w:t>
      </w:r>
      <w:proofErr w:type="spellStart"/>
      <w:proofErr w:type="gramStart"/>
      <w:r w:rsidRPr="00845FBE">
        <w:rPr>
          <w:sz w:val="20"/>
          <w:szCs w:val="20"/>
        </w:rPr>
        <w:t>u.s</w:t>
      </w:r>
      <w:proofErr w:type="spellEnd"/>
      <w:proofErr w:type="gramEnd"/>
      <w:r w:rsidRPr="00845FBE">
        <w:rPr>
          <w:sz w:val="20"/>
          <w:szCs w:val="20"/>
        </w:rPr>
        <w:t xml:space="preserve">. Department of Transportation Analyses – 2016 Adjustment, 13. Retrieved from https://www.transportation.gov/sites/dot.gov/files/docs/2016 Revised Value of a Statistical Life Guidance.pdf. </w:t>
      </w:r>
    </w:p>
    <w:p w:rsidR="00F72700"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Elvik</w:t>
      </w:r>
      <w:proofErr w:type="spellEnd"/>
      <w:r w:rsidRPr="00845FBE">
        <w:rPr>
          <w:sz w:val="20"/>
          <w:szCs w:val="20"/>
        </w:rPr>
        <w:t>, R. 1995. An analysis of official economic valuations of traffic accident fatalities in 20 motorized countries Accident Analysis and Prevention, 27 (1995), pp. 237–247.</w:t>
      </w:r>
    </w:p>
    <w:p w:rsidR="00F72700" w:rsidRPr="00845FBE" w:rsidRDefault="00AD287F" w:rsidP="004C2E17">
      <w:pPr>
        <w:pStyle w:val="NormalWeb"/>
        <w:numPr>
          <w:ilvl w:val="0"/>
          <w:numId w:val="16"/>
        </w:numPr>
        <w:spacing w:line="480" w:lineRule="auto"/>
        <w:jc w:val="both"/>
        <w:rPr>
          <w:sz w:val="20"/>
          <w:szCs w:val="20"/>
        </w:rPr>
      </w:pPr>
      <w:r w:rsidRPr="00845FBE">
        <w:rPr>
          <w:sz w:val="20"/>
          <w:szCs w:val="20"/>
        </w:rPr>
        <w:t xml:space="preserve"> </w:t>
      </w:r>
      <w:proofErr w:type="spellStart"/>
      <w:r w:rsidRPr="00845FBE">
        <w:rPr>
          <w:sz w:val="20"/>
          <w:szCs w:val="20"/>
        </w:rPr>
        <w:t>Elvik</w:t>
      </w:r>
      <w:proofErr w:type="spellEnd"/>
      <w:r w:rsidRPr="00845FBE">
        <w:rPr>
          <w:sz w:val="20"/>
          <w:szCs w:val="20"/>
        </w:rPr>
        <w:t xml:space="preserve">, R., 2000. How much do road accidents cost the national economy? </w:t>
      </w:r>
      <w:proofErr w:type="spellStart"/>
      <w:r w:rsidRPr="00845FBE">
        <w:rPr>
          <w:sz w:val="20"/>
          <w:szCs w:val="20"/>
        </w:rPr>
        <w:t>Accid</w:t>
      </w:r>
      <w:proofErr w:type="spellEnd"/>
      <w:r w:rsidRPr="00845FBE">
        <w:rPr>
          <w:sz w:val="20"/>
          <w:szCs w:val="20"/>
        </w:rPr>
        <w:t xml:space="preserve">. Anal. Prev. 32 (6), 849–851. </w:t>
      </w:r>
      <w:hyperlink r:id="rId15" w:history="1">
        <w:r w:rsidR="00F72700" w:rsidRPr="00845FBE">
          <w:rPr>
            <w:rStyle w:val="Hyperlink"/>
            <w:color w:val="auto"/>
            <w:sz w:val="20"/>
            <w:szCs w:val="20"/>
            <w:u w:val="none"/>
          </w:rPr>
          <w:t>https://doi.org/10.1016/S0001-4575(00)00015-4</w:t>
        </w:r>
      </w:hyperlink>
      <w:r w:rsidRPr="00845FBE">
        <w:rPr>
          <w:sz w:val="20"/>
          <w:szCs w:val="20"/>
        </w:rPr>
        <w:t xml:space="preserve">. </w:t>
      </w:r>
    </w:p>
    <w:p w:rsidR="00F72700"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Elvik</w:t>
      </w:r>
      <w:proofErr w:type="spellEnd"/>
      <w:r w:rsidRPr="00845FBE">
        <w:rPr>
          <w:sz w:val="20"/>
          <w:szCs w:val="20"/>
        </w:rPr>
        <w:t xml:space="preserve">, R. 2001. Cost-Benefit Analysis of Police Enforcement. Analysis, (March 2001), 1–78. </w:t>
      </w:r>
    </w:p>
    <w:p w:rsidR="00F72700" w:rsidRPr="00845FBE" w:rsidRDefault="00AD287F" w:rsidP="004C2E17">
      <w:pPr>
        <w:pStyle w:val="NormalWeb"/>
        <w:numPr>
          <w:ilvl w:val="0"/>
          <w:numId w:val="16"/>
        </w:numPr>
        <w:spacing w:line="480" w:lineRule="auto"/>
        <w:jc w:val="both"/>
        <w:rPr>
          <w:sz w:val="20"/>
          <w:szCs w:val="20"/>
        </w:rPr>
      </w:pPr>
      <w:proofErr w:type="spellStart"/>
      <w:r w:rsidRPr="00845FBE">
        <w:rPr>
          <w:sz w:val="20"/>
          <w:szCs w:val="20"/>
        </w:rPr>
        <w:t>Elvik</w:t>
      </w:r>
      <w:proofErr w:type="spellEnd"/>
      <w:r w:rsidRPr="00845FBE">
        <w:rPr>
          <w:sz w:val="20"/>
          <w:szCs w:val="20"/>
        </w:rPr>
        <w:t xml:space="preserve">, R., 2016. Association between increase in fixed penalties and road safety outcomes: A meta-analysis. </w:t>
      </w:r>
      <w:proofErr w:type="spellStart"/>
      <w:r w:rsidRPr="00845FBE">
        <w:rPr>
          <w:sz w:val="20"/>
          <w:szCs w:val="20"/>
        </w:rPr>
        <w:t>Accid</w:t>
      </w:r>
      <w:proofErr w:type="spellEnd"/>
      <w:r w:rsidRPr="00845FBE">
        <w:rPr>
          <w:sz w:val="20"/>
          <w:szCs w:val="20"/>
        </w:rPr>
        <w:t xml:space="preserve">. Anal. Prevent. 92 (1), 202–210. </w:t>
      </w:r>
    </w:p>
    <w:p w:rsidR="0001144A" w:rsidRDefault="00AD287F" w:rsidP="004C2E17">
      <w:pPr>
        <w:pStyle w:val="NormalWeb"/>
        <w:numPr>
          <w:ilvl w:val="0"/>
          <w:numId w:val="16"/>
        </w:numPr>
        <w:spacing w:line="480" w:lineRule="auto"/>
        <w:jc w:val="both"/>
        <w:rPr>
          <w:sz w:val="20"/>
          <w:szCs w:val="20"/>
        </w:rPr>
      </w:pPr>
      <w:proofErr w:type="spellStart"/>
      <w:r w:rsidRPr="00845FBE">
        <w:rPr>
          <w:sz w:val="20"/>
          <w:szCs w:val="20"/>
        </w:rPr>
        <w:t>Elvik</w:t>
      </w:r>
      <w:proofErr w:type="spellEnd"/>
      <w:r w:rsidRPr="00845FBE">
        <w:rPr>
          <w:sz w:val="20"/>
          <w:szCs w:val="20"/>
        </w:rPr>
        <w:t xml:space="preserve">, R., </w:t>
      </w:r>
      <w:proofErr w:type="spellStart"/>
      <w:r w:rsidRPr="00845FBE">
        <w:rPr>
          <w:sz w:val="20"/>
          <w:szCs w:val="20"/>
        </w:rPr>
        <w:t>Bjørnskau</w:t>
      </w:r>
      <w:proofErr w:type="spellEnd"/>
      <w:r w:rsidRPr="00845FBE">
        <w:rPr>
          <w:sz w:val="20"/>
          <w:szCs w:val="20"/>
        </w:rPr>
        <w:t xml:space="preserve">, T., 2017. Safety-in-numbers: A systematic review and meta-analysis of evidence. </w:t>
      </w:r>
      <w:proofErr w:type="spellStart"/>
      <w:r w:rsidRPr="00845FBE">
        <w:rPr>
          <w:sz w:val="20"/>
          <w:szCs w:val="20"/>
        </w:rPr>
        <w:t>Saf</w:t>
      </w:r>
      <w:proofErr w:type="spellEnd"/>
      <w:r w:rsidRPr="00845FBE">
        <w:rPr>
          <w:sz w:val="20"/>
          <w:szCs w:val="20"/>
        </w:rPr>
        <w:t xml:space="preserve">. Sci. 92, 274–282. </w:t>
      </w:r>
      <w:hyperlink r:id="rId16" w:history="1">
        <w:r w:rsidR="00F72700" w:rsidRPr="00845FBE">
          <w:rPr>
            <w:rStyle w:val="Hyperlink"/>
            <w:color w:val="auto"/>
            <w:sz w:val="20"/>
            <w:szCs w:val="20"/>
            <w:u w:val="none"/>
          </w:rPr>
          <w:t>https://doi.org/10.1016/j.ssci.2015.07.017</w:t>
        </w:r>
      </w:hyperlink>
      <w:r w:rsidRPr="00845FBE">
        <w:rPr>
          <w:sz w:val="20"/>
          <w:szCs w:val="20"/>
        </w:rPr>
        <w:t>.</w:t>
      </w:r>
    </w:p>
    <w:p w:rsidR="00931E8E" w:rsidRPr="00931E8E" w:rsidRDefault="00931E8E" w:rsidP="004C2E17">
      <w:pPr>
        <w:pStyle w:val="NormalWeb"/>
        <w:numPr>
          <w:ilvl w:val="0"/>
          <w:numId w:val="16"/>
        </w:numPr>
        <w:spacing w:line="480" w:lineRule="auto"/>
        <w:jc w:val="both"/>
        <w:rPr>
          <w:color w:val="00B050"/>
          <w:sz w:val="16"/>
          <w:szCs w:val="20"/>
        </w:rPr>
      </w:pPr>
      <w:r w:rsidRPr="00931E8E">
        <w:rPr>
          <w:color w:val="00B050"/>
          <w:sz w:val="20"/>
        </w:rPr>
        <w:t>Gupta et al. (2023) found that inadequate surface friction was a statistically significant predictor of fatal crashes in urban corridors, aligning with findings from international literature</w:t>
      </w:r>
    </w:p>
    <w:p w:rsidR="00F72700" w:rsidRPr="00845FBE" w:rsidRDefault="00F72700" w:rsidP="004C2E17">
      <w:pPr>
        <w:pStyle w:val="NormalWeb"/>
        <w:numPr>
          <w:ilvl w:val="0"/>
          <w:numId w:val="16"/>
        </w:numPr>
        <w:spacing w:line="480" w:lineRule="auto"/>
        <w:jc w:val="both"/>
        <w:rPr>
          <w:sz w:val="20"/>
          <w:szCs w:val="20"/>
        </w:rPr>
      </w:pPr>
      <w:proofErr w:type="spellStart"/>
      <w:r w:rsidRPr="00845FBE">
        <w:rPr>
          <w:sz w:val="20"/>
          <w:szCs w:val="20"/>
        </w:rPr>
        <w:t>Kasnatscheew</w:t>
      </w:r>
      <w:proofErr w:type="spellEnd"/>
      <w:r w:rsidRPr="00845FBE">
        <w:rPr>
          <w:sz w:val="20"/>
          <w:szCs w:val="20"/>
        </w:rPr>
        <w:t xml:space="preserve">, A., Felix, H., </w:t>
      </w:r>
      <w:proofErr w:type="spellStart"/>
      <w:r w:rsidRPr="00845FBE">
        <w:rPr>
          <w:sz w:val="20"/>
          <w:szCs w:val="20"/>
        </w:rPr>
        <w:t>Schoenebeck</w:t>
      </w:r>
      <w:proofErr w:type="spellEnd"/>
      <w:r w:rsidRPr="00845FBE">
        <w:rPr>
          <w:sz w:val="20"/>
          <w:szCs w:val="20"/>
        </w:rPr>
        <w:t xml:space="preserve">, S., Markus, L., and </w:t>
      </w:r>
      <w:proofErr w:type="spellStart"/>
      <w:r w:rsidRPr="00845FBE">
        <w:rPr>
          <w:sz w:val="20"/>
          <w:szCs w:val="20"/>
        </w:rPr>
        <w:t>Hosta</w:t>
      </w:r>
      <w:proofErr w:type="spellEnd"/>
      <w:r w:rsidRPr="00845FBE">
        <w:rPr>
          <w:sz w:val="20"/>
          <w:szCs w:val="20"/>
        </w:rPr>
        <w:t xml:space="preserve">, P. 2016. Review of European Accident Cost Calculation Methods- With Regard to Vulnerable Road Users. Germany: In-Depth understanding of accident causation for </w:t>
      </w:r>
      <w:proofErr w:type="gramStart"/>
      <w:r w:rsidRPr="00845FBE">
        <w:rPr>
          <w:sz w:val="20"/>
          <w:szCs w:val="20"/>
        </w:rPr>
        <w:t>Vulnerable</w:t>
      </w:r>
      <w:proofErr w:type="gramEnd"/>
      <w:r w:rsidRPr="00845FBE">
        <w:rPr>
          <w:sz w:val="20"/>
          <w:szCs w:val="20"/>
        </w:rPr>
        <w:t xml:space="preserve"> road users (</w:t>
      </w:r>
      <w:proofErr w:type="spellStart"/>
      <w:r w:rsidRPr="00845FBE">
        <w:rPr>
          <w:sz w:val="20"/>
          <w:szCs w:val="20"/>
        </w:rPr>
        <w:t>InDeV</w:t>
      </w:r>
      <w:proofErr w:type="spellEnd"/>
      <w:r w:rsidRPr="00845FBE">
        <w:rPr>
          <w:sz w:val="20"/>
          <w:szCs w:val="20"/>
        </w:rPr>
        <w:t xml:space="preserve">).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Le H., Van </w:t>
      </w:r>
      <w:proofErr w:type="spellStart"/>
      <w:r w:rsidRPr="00845FBE">
        <w:rPr>
          <w:sz w:val="20"/>
          <w:szCs w:val="20"/>
        </w:rPr>
        <w:t>Geldermalsen</w:t>
      </w:r>
      <w:proofErr w:type="spellEnd"/>
      <w:r w:rsidRPr="00845FBE">
        <w:rPr>
          <w:sz w:val="20"/>
          <w:szCs w:val="20"/>
        </w:rPr>
        <w:t xml:space="preserve"> T., Lim W.L., Murphy P. 2011. Deriving Accident Costs using Willingness-to-Pay Approaches-A Case Study for Singapore. 34th Australasian Transport Research Forum (ATRF), Adelaide, </w:t>
      </w:r>
      <w:proofErr w:type="spellStart"/>
      <w:r w:rsidRPr="00845FBE">
        <w:rPr>
          <w:sz w:val="20"/>
          <w:szCs w:val="20"/>
        </w:rPr>
        <w:t>Citeseer</w:t>
      </w:r>
      <w:proofErr w:type="spellEnd"/>
      <w:r w:rsidRPr="00845FBE">
        <w:rPr>
          <w:sz w:val="20"/>
          <w:szCs w:val="20"/>
        </w:rPr>
        <w:t xml:space="preserve">.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Lindberg, G. 1999. Calculating transport accident costs. Sweden: Final report of the expert advisors to the high level group on infrastructure charging (</w:t>
      </w:r>
      <w:proofErr w:type="spellStart"/>
      <w:r w:rsidRPr="00845FBE">
        <w:rPr>
          <w:sz w:val="20"/>
          <w:szCs w:val="20"/>
        </w:rPr>
        <w:t>WorkGroup</w:t>
      </w:r>
      <w:proofErr w:type="spellEnd"/>
      <w:r w:rsidRPr="00845FBE">
        <w:rPr>
          <w:sz w:val="20"/>
          <w:szCs w:val="20"/>
        </w:rPr>
        <w:t xml:space="preserve"> 3). </w:t>
      </w:r>
      <w:proofErr w:type="spellStart"/>
      <w:r w:rsidRPr="00845FBE">
        <w:rPr>
          <w:sz w:val="20"/>
          <w:szCs w:val="20"/>
        </w:rPr>
        <w:t>Masniak</w:t>
      </w:r>
      <w:proofErr w:type="spellEnd"/>
      <w:r w:rsidRPr="00845FBE">
        <w:rPr>
          <w:sz w:val="20"/>
          <w:szCs w:val="20"/>
        </w:rPr>
        <w:t xml:space="preserve">, D. 2008.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Social and Economic Costs of Road Accidents in Europe. Days of Law, 1–11.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Retrieved from http://www.law.muni.cz/sborniky/dp08/files/pdf/fina </w:t>
      </w:r>
      <w:proofErr w:type="spellStart"/>
      <w:r w:rsidRPr="00845FBE">
        <w:rPr>
          <w:sz w:val="20"/>
          <w:szCs w:val="20"/>
        </w:rPr>
        <w:t>nc</w:t>
      </w:r>
      <w:proofErr w:type="spellEnd"/>
      <w:r w:rsidRPr="00845FBE">
        <w:rPr>
          <w:sz w:val="20"/>
          <w:szCs w:val="20"/>
        </w:rPr>
        <w:t xml:space="preserve">/masniak.pdf. </w:t>
      </w:r>
      <w:proofErr w:type="spellStart"/>
      <w:r w:rsidRPr="00845FBE">
        <w:rPr>
          <w:sz w:val="20"/>
          <w:szCs w:val="20"/>
        </w:rPr>
        <w:t>Lindhjem</w:t>
      </w:r>
      <w:proofErr w:type="spellEnd"/>
      <w:r w:rsidRPr="00845FBE">
        <w:rPr>
          <w:sz w:val="20"/>
          <w:szCs w:val="20"/>
        </w:rPr>
        <w:t xml:space="preserve">, H., </w:t>
      </w:r>
      <w:proofErr w:type="spellStart"/>
      <w:r w:rsidRPr="00845FBE">
        <w:rPr>
          <w:sz w:val="20"/>
          <w:szCs w:val="20"/>
        </w:rPr>
        <w:t>Navrud</w:t>
      </w:r>
      <w:proofErr w:type="spellEnd"/>
      <w:r w:rsidRPr="00845FBE">
        <w:rPr>
          <w:sz w:val="20"/>
          <w:szCs w:val="20"/>
        </w:rPr>
        <w:t xml:space="preserve">, S., </w:t>
      </w:r>
      <w:proofErr w:type="spellStart"/>
      <w:r w:rsidRPr="00845FBE">
        <w:rPr>
          <w:sz w:val="20"/>
          <w:szCs w:val="20"/>
        </w:rPr>
        <w:t>Braathen</w:t>
      </w:r>
      <w:proofErr w:type="spellEnd"/>
      <w:r w:rsidRPr="00845FBE">
        <w:rPr>
          <w:sz w:val="20"/>
          <w:szCs w:val="20"/>
        </w:rPr>
        <w:t xml:space="preserve">, N.A., </w:t>
      </w:r>
      <w:proofErr w:type="spellStart"/>
      <w:r w:rsidRPr="00845FBE">
        <w:rPr>
          <w:sz w:val="20"/>
          <w:szCs w:val="20"/>
        </w:rPr>
        <w:t>Biausque</w:t>
      </w:r>
      <w:proofErr w:type="spellEnd"/>
      <w:r w:rsidRPr="00845FBE">
        <w:rPr>
          <w:sz w:val="20"/>
          <w:szCs w:val="20"/>
        </w:rPr>
        <w:t xml:space="preserve">, V., 2011.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Valuing mortality risk reductions from environmental, transport, and health policies: A global meta-analysis of stated preference studies. Risk Anal. 31 (9), 1381–1407. https://doi.org/ 10.1111/j.1539-6924.2011.01694.x.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McMahon, K., </w:t>
      </w:r>
      <w:proofErr w:type="spellStart"/>
      <w:r w:rsidRPr="00845FBE">
        <w:rPr>
          <w:sz w:val="20"/>
          <w:szCs w:val="20"/>
        </w:rPr>
        <w:t>Dahdah</w:t>
      </w:r>
      <w:proofErr w:type="spellEnd"/>
      <w:r w:rsidRPr="00845FBE">
        <w:rPr>
          <w:sz w:val="20"/>
          <w:szCs w:val="20"/>
        </w:rPr>
        <w:t xml:space="preserve">, S., 2008. The True Cost of Road Crashes: Valuing Life and the Cost of a Serious Injury. International Road Assessment </w:t>
      </w:r>
      <w:proofErr w:type="spellStart"/>
      <w:r w:rsidRPr="00845FBE">
        <w:rPr>
          <w:sz w:val="20"/>
          <w:szCs w:val="20"/>
        </w:rPr>
        <w:t>Programme</w:t>
      </w:r>
      <w:proofErr w:type="spellEnd"/>
      <w:r w:rsidRPr="00845FBE">
        <w:rPr>
          <w:sz w:val="20"/>
          <w:szCs w:val="20"/>
        </w:rPr>
        <w:t>. Miller, T.R., 2000. Variations between countries in values of statistical life. J. Transp. Econ. Pol. 34 (2), 169–188.</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 Miller, T.R., Bhattacharya, S., </w:t>
      </w:r>
      <w:proofErr w:type="spellStart"/>
      <w:r w:rsidRPr="00845FBE">
        <w:rPr>
          <w:sz w:val="20"/>
          <w:szCs w:val="20"/>
        </w:rPr>
        <w:t>Zaloshnja</w:t>
      </w:r>
      <w:proofErr w:type="spellEnd"/>
      <w:r w:rsidRPr="00845FBE">
        <w:rPr>
          <w:sz w:val="20"/>
          <w:szCs w:val="20"/>
        </w:rPr>
        <w:t xml:space="preserve">, E., Taylor, D., </w:t>
      </w:r>
      <w:proofErr w:type="spellStart"/>
      <w:r w:rsidRPr="00845FBE">
        <w:rPr>
          <w:sz w:val="20"/>
          <w:szCs w:val="20"/>
        </w:rPr>
        <w:t>Bahar</w:t>
      </w:r>
      <w:proofErr w:type="spellEnd"/>
      <w:r w:rsidRPr="00845FBE">
        <w:rPr>
          <w:sz w:val="20"/>
          <w:szCs w:val="20"/>
        </w:rPr>
        <w:t xml:space="preserve">, G., David, I., 2011. Costs of Crashes to Government, United States, 2008. Ann. Adv. </w:t>
      </w:r>
      <w:proofErr w:type="spellStart"/>
      <w:r w:rsidRPr="00845FBE">
        <w:rPr>
          <w:sz w:val="20"/>
          <w:szCs w:val="20"/>
        </w:rPr>
        <w:t>Autom</w:t>
      </w:r>
      <w:proofErr w:type="spellEnd"/>
      <w:r w:rsidRPr="00845FBE">
        <w:rPr>
          <w:sz w:val="20"/>
          <w:szCs w:val="20"/>
        </w:rPr>
        <w:t xml:space="preserve">. Med. </w:t>
      </w:r>
      <w:proofErr w:type="spellStart"/>
      <w:r w:rsidRPr="00845FBE">
        <w:rPr>
          <w:sz w:val="20"/>
          <w:szCs w:val="20"/>
        </w:rPr>
        <w:t>Annu</w:t>
      </w:r>
      <w:proofErr w:type="spellEnd"/>
      <w:r w:rsidRPr="00845FBE">
        <w:rPr>
          <w:sz w:val="20"/>
          <w:szCs w:val="20"/>
        </w:rPr>
        <w:t xml:space="preserve">. Sci. Conf. 55, 347–355.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Milligan, C., Kopp, A., </w:t>
      </w:r>
      <w:proofErr w:type="spellStart"/>
      <w:r w:rsidRPr="00845FBE">
        <w:rPr>
          <w:sz w:val="20"/>
          <w:szCs w:val="20"/>
        </w:rPr>
        <w:t>Dahdah</w:t>
      </w:r>
      <w:proofErr w:type="spellEnd"/>
      <w:r w:rsidRPr="00845FBE">
        <w:rPr>
          <w:sz w:val="20"/>
          <w:szCs w:val="20"/>
        </w:rPr>
        <w:t xml:space="preserve">, S., </w:t>
      </w:r>
      <w:proofErr w:type="spellStart"/>
      <w:r w:rsidRPr="00845FBE">
        <w:rPr>
          <w:sz w:val="20"/>
          <w:szCs w:val="20"/>
        </w:rPr>
        <w:t>Montufar</w:t>
      </w:r>
      <w:proofErr w:type="spellEnd"/>
      <w:r w:rsidRPr="00845FBE">
        <w:rPr>
          <w:sz w:val="20"/>
          <w:szCs w:val="20"/>
        </w:rPr>
        <w:t xml:space="preserve">, J., 2014. Value of a statistical life in road safety: A benefit-transfer </w:t>
      </w:r>
      <w:proofErr w:type="gramStart"/>
      <w:r w:rsidRPr="00845FBE">
        <w:rPr>
          <w:sz w:val="20"/>
          <w:szCs w:val="20"/>
        </w:rPr>
        <w:t>function</w:t>
      </w:r>
      <w:proofErr w:type="gramEnd"/>
      <w:r w:rsidRPr="00845FBE">
        <w:rPr>
          <w:sz w:val="20"/>
          <w:szCs w:val="20"/>
        </w:rPr>
        <w:t xml:space="preserve"> with risk-analysis guidance based on developing country data. </w:t>
      </w:r>
      <w:proofErr w:type="spellStart"/>
      <w:r w:rsidRPr="00845FBE">
        <w:rPr>
          <w:sz w:val="20"/>
          <w:szCs w:val="20"/>
        </w:rPr>
        <w:t>Accid</w:t>
      </w:r>
      <w:proofErr w:type="spellEnd"/>
      <w:r w:rsidRPr="00845FBE">
        <w:rPr>
          <w:sz w:val="20"/>
          <w:szCs w:val="20"/>
        </w:rPr>
        <w:t xml:space="preserve">. Anal. Prev. 71, 236–247. </w:t>
      </w:r>
      <w:hyperlink r:id="rId17" w:history="1">
        <w:r w:rsidRPr="00845FBE">
          <w:rPr>
            <w:rStyle w:val="Hyperlink"/>
            <w:color w:val="auto"/>
            <w:sz w:val="20"/>
            <w:szCs w:val="20"/>
            <w:u w:val="none"/>
          </w:rPr>
          <w:t>https://doi.org/10.1016/j. aap.2014.05.026</w:t>
        </w:r>
      </w:hyperlink>
      <w:r w:rsidRPr="00845FBE">
        <w:rPr>
          <w:sz w:val="20"/>
          <w:szCs w:val="20"/>
        </w:rPr>
        <w:t xml:space="preserve">.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Ministry of Transport, New Zealand. 2015. Social cost of road crashes and injuries 2015 update. </w:t>
      </w:r>
      <w:proofErr w:type="spellStart"/>
      <w:r w:rsidRPr="00845FBE">
        <w:rPr>
          <w:sz w:val="20"/>
          <w:szCs w:val="20"/>
        </w:rPr>
        <w:t>Mofadal</w:t>
      </w:r>
      <w:proofErr w:type="spellEnd"/>
      <w:r w:rsidRPr="00845FBE">
        <w:rPr>
          <w:sz w:val="20"/>
          <w:szCs w:val="20"/>
        </w:rPr>
        <w:t xml:space="preserve">, A.I.A., </w:t>
      </w:r>
      <w:proofErr w:type="spellStart"/>
      <w:r w:rsidRPr="00845FBE">
        <w:rPr>
          <w:sz w:val="20"/>
          <w:szCs w:val="20"/>
        </w:rPr>
        <w:t>Kanitpong</w:t>
      </w:r>
      <w:proofErr w:type="spellEnd"/>
      <w:r w:rsidRPr="00845FBE">
        <w:rPr>
          <w:sz w:val="20"/>
          <w:szCs w:val="20"/>
        </w:rPr>
        <w:t xml:space="preserve">, K., 2016. Analysis of road traffic accident costs in </w:t>
      </w:r>
      <w:proofErr w:type="spellStart"/>
      <w:proofErr w:type="gramStart"/>
      <w:r w:rsidRPr="00845FBE">
        <w:rPr>
          <w:sz w:val="20"/>
          <w:szCs w:val="20"/>
        </w:rPr>
        <w:t>sudan</w:t>
      </w:r>
      <w:proofErr w:type="spellEnd"/>
      <w:proofErr w:type="gramEnd"/>
      <w:r w:rsidRPr="00845FBE">
        <w:rPr>
          <w:sz w:val="20"/>
          <w:szCs w:val="20"/>
        </w:rPr>
        <w:t xml:space="preserve"> using the human capital method. Transportation Engineering Program. Asian Institute of Technology (AIT), </w:t>
      </w:r>
      <w:proofErr w:type="spellStart"/>
      <w:r w:rsidRPr="00845FBE">
        <w:rPr>
          <w:sz w:val="20"/>
          <w:szCs w:val="20"/>
        </w:rPr>
        <w:t>Klong</w:t>
      </w:r>
      <w:proofErr w:type="spellEnd"/>
      <w:r w:rsidRPr="00845FBE">
        <w:rPr>
          <w:sz w:val="20"/>
          <w:szCs w:val="20"/>
        </w:rPr>
        <w:t xml:space="preserve"> </w:t>
      </w:r>
      <w:proofErr w:type="spellStart"/>
      <w:r w:rsidRPr="00845FBE">
        <w:rPr>
          <w:sz w:val="20"/>
          <w:szCs w:val="20"/>
        </w:rPr>
        <w:t>Luang</w:t>
      </w:r>
      <w:proofErr w:type="spellEnd"/>
      <w:r w:rsidRPr="00845FBE">
        <w:rPr>
          <w:sz w:val="20"/>
          <w:szCs w:val="20"/>
        </w:rPr>
        <w:t xml:space="preserve">, </w:t>
      </w:r>
      <w:proofErr w:type="spellStart"/>
      <w:r w:rsidRPr="00845FBE">
        <w:rPr>
          <w:sz w:val="20"/>
          <w:szCs w:val="20"/>
        </w:rPr>
        <w:t>Bathumthani</w:t>
      </w:r>
      <w:proofErr w:type="spellEnd"/>
      <w:r w:rsidRPr="00845FBE">
        <w:rPr>
          <w:sz w:val="20"/>
          <w:szCs w:val="20"/>
        </w:rPr>
        <w:t xml:space="preserve">, Thailand.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Mohan, D., 2001. Social cost of Road Traffic Crashes in India. </w:t>
      </w:r>
      <w:proofErr w:type="spellStart"/>
      <w:r w:rsidRPr="00845FBE">
        <w:rPr>
          <w:sz w:val="20"/>
          <w:szCs w:val="20"/>
        </w:rPr>
        <w:t>Tranportation</w:t>
      </w:r>
      <w:proofErr w:type="spellEnd"/>
      <w:r w:rsidRPr="00845FBE">
        <w:rPr>
          <w:sz w:val="20"/>
          <w:szCs w:val="20"/>
        </w:rPr>
        <w:t xml:space="preserve"> Research and Injury Prevention </w:t>
      </w:r>
      <w:proofErr w:type="spellStart"/>
      <w:r w:rsidRPr="00845FBE">
        <w:rPr>
          <w:sz w:val="20"/>
          <w:szCs w:val="20"/>
        </w:rPr>
        <w:t>Programme</w:t>
      </w:r>
      <w:proofErr w:type="spellEnd"/>
      <w:r w:rsidRPr="00845FBE">
        <w:rPr>
          <w:sz w:val="20"/>
          <w:szCs w:val="20"/>
        </w:rPr>
        <w:t xml:space="preserve"> Indian Institute of Technology, New Delhi. </w:t>
      </w:r>
    </w:p>
    <w:p w:rsidR="00F72700" w:rsidRPr="00845FBE" w:rsidRDefault="00F72700" w:rsidP="004C2E17">
      <w:pPr>
        <w:pStyle w:val="NormalWeb"/>
        <w:numPr>
          <w:ilvl w:val="0"/>
          <w:numId w:val="16"/>
        </w:numPr>
        <w:spacing w:line="480" w:lineRule="auto"/>
        <w:jc w:val="both"/>
        <w:rPr>
          <w:sz w:val="20"/>
          <w:szCs w:val="20"/>
        </w:rPr>
      </w:pPr>
      <w:proofErr w:type="spellStart"/>
      <w:r w:rsidRPr="00845FBE">
        <w:rPr>
          <w:sz w:val="20"/>
          <w:szCs w:val="20"/>
        </w:rPr>
        <w:t>Odero</w:t>
      </w:r>
      <w:proofErr w:type="spellEnd"/>
      <w:r w:rsidRPr="00845FBE">
        <w:rPr>
          <w:sz w:val="20"/>
          <w:szCs w:val="20"/>
        </w:rPr>
        <w:t xml:space="preserve">, W., </w:t>
      </w:r>
      <w:proofErr w:type="spellStart"/>
      <w:r w:rsidRPr="00845FBE">
        <w:rPr>
          <w:sz w:val="20"/>
          <w:szCs w:val="20"/>
        </w:rPr>
        <w:t>Khayesi</w:t>
      </w:r>
      <w:proofErr w:type="spellEnd"/>
      <w:r w:rsidRPr="00845FBE">
        <w:rPr>
          <w:sz w:val="20"/>
          <w:szCs w:val="20"/>
        </w:rPr>
        <w:t xml:space="preserve">, M., </w:t>
      </w:r>
      <w:proofErr w:type="spellStart"/>
      <w:r w:rsidRPr="00845FBE">
        <w:rPr>
          <w:sz w:val="20"/>
          <w:szCs w:val="20"/>
        </w:rPr>
        <w:t>Heda</w:t>
      </w:r>
      <w:proofErr w:type="spellEnd"/>
      <w:r w:rsidRPr="00845FBE">
        <w:rPr>
          <w:sz w:val="20"/>
          <w:szCs w:val="20"/>
        </w:rPr>
        <w:t xml:space="preserve">, P.M., 2003. Road traffic injuries in Kenya: Magnitude, causes and status of intervention. Injury Control </w:t>
      </w:r>
      <w:proofErr w:type="spellStart"/>
      <w:r w:rsidRPr="00845FBE">
        <w:rPr>
          <w:sz w:val="20"/>
          <w:szCs w:val="20"/>
        </w:rPr>
        <w:t>Saf</w:t>
      </w:r>
      <w:proofErr w:type="spellEnd"/>
      <w:r w:rsidRPr="00845FBE">
        <w:rPr>
          <w:sz w:val="20"/>
          <w:szCs w:val="20"/>
        </w:rPr>
        <w:t xml:space="preserve">. </w:t>
      </w:r>
      <w:proofErr w:type="spellStart"/>
      <w:r w:rsidRPr="00845FBE">
        <w:rPr>
          <w:sz w:val="20"/>
          <w:szCs w:val="20"/>
        </w:rPr>
        <w:t>Promot</w:t>
      </w:r>
      <w:proofErr w:type="spellEnd"/>
      <w:r w:rsidRPr="00845FBE">
        <w:rPr>
          <w:sz w:val="20"/>
          <w:szCs w:val="20"/>
        </w:rPr>
        <w:t xml:space="preserve">. 10 (1–2), 53–61. </w:t>
      </w:r>
      <w:hyperlink r:id="rId18" w:history="1">
        <w:r w:rsidRPr="00845FBE">
          <w:rPr>
            <w:rStyle w:val="Hyperlink"/>
            <w:color w:val="auto"/>
            <w:sz w:val="20"/>
            <w:szCs w:val="20"/>
            <w:u w:val="none"/>
          </w:rPr>
          <w:t>https://doi.org/10.1076/icsp.10.1.53.14103</w:t>
        </w:r>
      </w:hyperlink>
      <w:r w:rsidRPr="00845FBE">
        <w:rPr>
          <w:sz w:val="20"/>
          <w:szCs w:val="20"/>
        </w:rPr>
        <w:t xml:space="preserve">. </w:t>
      </w:r>
    </w:p>
    <w:p w:rsidR="00F72700" w:rsidRPr="00845FBE" w:rsidRDefault="00F72700" w:rsidP="004C2E17">
      <w:pPr>
        <w:pStyle w:val="NormalWeb"/>
        <w:numPr>
          <w:ilvl w:val="0"/>
          <w:numId w:val="16"/>
        </w:numPr>
        <w:spacing w:line="480" w:lineRule="auto"/>
        <w:jc w:val="both"/>
        <w:rPr>
          <w:sz w:val="20"/>
          <w:szCs w:val="20"/>
        </w:rPr>
      </w:pPr>
      <w:proofErr w:type="spellStart"/>
      <w:r w:rsidRPr="00845FBE">
        <w:rPr>
          <w:sz w:val="20"/>
          <w:szCs w:val="20"/>
        </w:rPr>
        <w:t>Olukoga</w:t>
      </w:r>
      <w:proofErr w:type="spellEnd"/>
      <w:r w:rsidRPr="00845FBE">
        <w:rPr>
          <w:sz w:val="20"/>
          <w:szCs w:val="20"/>
        </w:rPr>
        <w:t xml:space="preserve">, A., Harris, G., 2006. Field data: Distributions and costs of road-traffic fatalities in South Africa. Traffic Injury Prevent. 7 (4), 400–402. https://doi.org/10.1080/ 15389580600847560.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Pan American Health Organization, 2010. (</w:t>
      </w:r>
      <w:proofErr w:type="spellStart"/>
      <w:r w:rsidRPr="00845FBE">
        <w:rPr>
          <w:sz w:val="20"/>
          <w:szCs w:val="20"/>
        </w:rPr>
        <w:t>n.d</w:t>
      </w:r>
      <w:proofErr w:type="spellEnd"/>
      <w:r w:rsidRPr="00845FBE">
        <w:rPr>
          <w:sz w:val="20"/>
          <w:szCs w:val="20"/>
        </w:rPr>
        <w:t xml:space="preserve">.). </w:t>
      </w:r>
      <w:proofErr w:type="spellStart"/>
      <w:r w:rsidRPr="00845FBE">
        <w:rPr>
          <w:sz w:val="20"/>
          <w:szCs w:val="20"/>
        </w:rPr>
        <w:t>Eastimation</w:t>
      </w:r>
      <w:proofErr w:type="spellEnd"/>
      <w:r w:rsidRPr="00845FBE">
        <w:rPr>
          <w:sz w:val="20"/>
          <w:szCs w:val="20"/>
        </w:rPr>
        <w:t xml:space="preserve"> of the Impact of Road Traffic Injuries in Belize. </w:t>
      </w:r>
      <w:proofErr w:type="spellStart"/>
      <w:r w:rsidRPr="00845FBE">
        <w:rPr>
          <w:sz w:val="20"/>
          <w:szCs w:val="20"/>
        </w:rPr>
        <w:t>Peden</w:t>
      </w:r>
      <w:proofErr w:type="spellEnd"/>
      <w:r w:rsidRPr="00845FBE">
        <w:rPr>
          <w:sz w:val="20"/>
          <w:szCs w:val="20"/>
        </w:rPr>
        <w:t xml:space="preserve">, M., </w:t>
      </w:r>
      <w:proofErr w:type="spellStart"/>
      <w:r w:rsidRPr="00845FBE">
        <w:rPr>
          <w:sz w:val="20"/>
          <w:szCs w:val="20"/>
        </w:rPr>
        <w:t>Scurfield</w:t>
      </w:r>
      <w:proofErr w:type="spellEnd"/>
      <w:r w:rsidRPr="00845FBE">
        <w:rPr>
          <w:sz w:val="20"/>
          <w:szCs w:val="20"/>
        </w:rPr>
        <w:t xml:space="preserve">, R., Sleet, D., Mohan, D., </w:t>
      </w:r>
      <w:proofErr w:type="spellStart"/>
      <w:r w:rsidRPr="00845FBE">
        <w:rPr>
          <w:sz w:val="20"/>
          <w:szCs w:val="20"/>
        </w:rPr>
        <w:t>Hyder</w:t>
      </w:r>
      <w:proofErr w:type="spellEnd"/>
      <w:r w:rsidRPr="00845FBE">
        <w:rPr>
          <w:sz w:val="20"/>
          <w:szCs w:val="20"/>
        </w:rPr>
        <w:t xml:space="preserve">, A.A., </w:t>
      </w:r>
      <w:proofErr w:type="spellStart"/>
      <w:r w:rsidRPr="00845FBE">
        <w:rPr>
          <w:sz w:val="20"/>
          <w:szCs w:val="20"/>
        </w:rPr>
        <w:t>Jarawan</w:t>
      </w:r>
      <w:proofErr w:type="spellEnd"/>
      <w:r w:rsidRPr="00845FBE">
        <w:rPr>
          <w:sz w:val="20"/>
          <w:szCs w:val="20"/>
        </w:rPr>
        <w:t xml:space="preserve">, E., et al., 2004. World report on road traffic injury prevention: summary. World Health Organization, Geneva. </w:t>
      </w:r>
    </w:p>
    <w:p w:rsidR="007544C5" w:rsidRDefault="00F72700" w:rsidP="004C2E17">
      <w:pPr>
        <w:pStyle w:val="NormalWeb"/>
        <w:numPr>
          <w:ilvl w:val="0"/>
          <w:numId w:val="16"/>
        </w:numPr>
        <w:spacing w:line="480" w:lineRule="auto"/>
        <w:jc w:val="both"/>
        <w:rPr>
          <w:sz w:val="20"/>
          <w:szCs w:val="20"/>
        </w:rPr>
      </w:pPr>
      <w:r w:rsidRPr="00845FBE">
        <w:rPr>
          <w:sz w:val="20"/>
          <w:szCs w:val="20"/>
        </w:rPr>
        <w:t xml:space="preserve">Performance of Latin America and the Caribbean during the first years of the Decade of Action for Road Safety. 2015. Julie, </w:t>
      </w:r>
      <w:proofErr w:type="spellStart"/>
      <w:r w:rsidRPr="00845FBE">
        <w:rPr>
          <w:sz w:val="20"/>
          <w:szCs w:val="20"/>
        </w:rPr>
        <w:t>Perovic</w:t>
      </w:r>
      <w:proofErr w:type="spellEnd"/>
      <w:r w:rsidRPr="00845FBE">
        <w:rPr>
          <w:sz w:val="20"/>
          <w:szCs w:val="20"/>
        </w:rPr>
        <w:t xml:space="preserve">, and </w:t>
      </w:r>
      <w:proofErr w:type="spellStart"/>
      <w:r w:rsidRPr="00845FBE">
        <w:rPr>
          <w:sz w:val="20"/>
          <w:szCs w:val="20"/>
        </w:rPr>
        <w:t>Dimitris</w:t>
      </w:r>
      <w:proofErr w:type="spellEnd"/>
      <w:r w:rsidRPr="00845FBE">
        <w:rPr>
          <w:sz w:val="20"/>
          <w:szCs w:val="20"/>
        </w:rPr>
        <w:t xml:space="preserve">, </w:t>
      </w:r>
      <w:proofErr w:type="spellStart"/>
      <w:r w:rsidRPr="00845FBE">
        <w:rPr>
          <w:sz w:val="20"/>
          <w:szCs w:val="20"/>
        </w:rPr>
        <w:t>Tsolakis</w:t>
      </w:r>
      <w:proofErr w:type="spellEnd"/>
      <w:r w:rsidRPr="00845FBE">
        <w:rPr>
          <w:sz w:val="20"/>
          <w:szCs w:val="20"/>
        </w:rPr>
        <w:t xml:space="preserve">. 2008. </w:t>
      </w:r>
    </w:p>
    <w:p w:rsidR="00931E8E" w:rsidRPr="00931E8E" w:rsidRDefault="00931E8E" w:rsidP="004C2E17">
      <w:pPr>
        <w:pStyle w:val="NormalWeb"/>
        <w:numPr>
          <w:ilvl w:val="0"/>
          <w:numId w:val="16"/>
        </w:numPr>
        <w:spacing w:line="480" w:lineRule="auto"/>
        <w:jc w:val="both"/>
        <w:rPr>
          <w:sz w:val="16"/>
          <w:szCs w:val="20"/>
        </w:rPr>
      </w:pPr>
      <w:r w:rsidRPr="00931E8E">
        <w:rPr>
          <w:color w:val="00B050"/>
          <w:sz w:val="20"/>
        </w:rPr>
        <w:t xml:space="preserve">Sharma and Jain (2022) in </w:t>
      </w:r>
      <w:r w:rsidRPr="00931E8E">
        <w:rPr>
          <w:rStyle w:val="Emphasis"/>
          <w:color w:val="00B050"/>
          <w:sz w:val="20"/>
        </w:rPr>
        <w:t>IJPRT</w:t>
      </w:r>
      <w:r w:rsidRPr="00931E8E">
        <w:rPr>
          <w:color w:val="00B050"/>
          <w:sz w:val="20"/>
        </w:rPr>
        <w:t xml:space="preserve"> analyzed crash patterns across Indian National Highways and concluded that pavement distress significantly contributes to rear-end and run-off-road crashes, especially on curves and transition zones</w:t>
      </w:r>
      <w:r w:rsidRPr="00931E8E">
        <w:rPr>
          <w:sz w:val="20"/>
        </w:rPr>
        <w:t>.</w:t>
      </w:r>
    </w:p>
    <w:p w:rsidR="007544C5" w:rsidRPr="00845FBE" w:rsidRDefault="00F72700" w:rsidP="004C2E17">
      <w:pPr>
        <w:pStyle w:val="NormalWeb"/>
        <w:numPr>
          <w:ilvl w:val="0"/>
          <w:numId w:val="16"/>
        </w:numPr>
        <w:spacing w:line="480" w:lineRule="auto"/>
        <w:jc w:val="both"/>
        <w:rPr>
          <w:sz w:val="20"/>
          <w:szCs w:val="20"/>
        </w:rPr>
      </w:pPr>
      <w:r w:rsidRPr="00845FBE">
        <w:rPr>
          <w:sz w:val="20"/>
          <w:szCs w:val="20"/>
        </w:rPr>
        <w:t xml:space="preserve">Valuing the social cost of crashes: is community’s willingness to pay to avoid death or injury being reflected? Adelaide, South Australia: Australasian Road Safety Research, Policing and Education Conference. </w:t>
      </w:r>
      <w:proofErr w:type="spellStart"/>
      <w:r w:rsidRPr="00845FBE">
        <w:rPr>
          <w:sz w:val="20"/>
          <w:szCs w:val="20"/>
        </w:rPr>
        <w:t>Pipat</w:t>
      </w:r>
      <w:proofErr w:type="spellEnd"/>
      <w:r w:rsidRPr="00845FBE">
        <w:rPr>
          <w:sz w:val="20"/>
          <w:szCs w:val="20"/>
        </w:rPr>
        <w:t xml:space="preserve">, </w:t>
      </w:r>
      <w:proofErr w:type="spellStart"/>
      <w:r w:rsidRPr="00845FBE">
        <w:rPr>
          <w:sz w:val="20"/>
          <w:szCs w:val="20"/>
        </w:rPr>
        <w:t>Thongchim</w:t>
      </w:r>
      <w:proofErr w:type="spellEnd"/>
      <w:r w:rsidRPr="00845FBE">
        <w:rPr>
          <w:sz w:val="20"/>
          <w:szCs w:val="20"/>
        </w:rPr>
        <w:t xml:space="preserve">, </w:t>
      </w:r>
      <w:proofErr w:type="spellStart"/>
      <w:r w:rsidRPr="00845FBE">
        <w:rPr>
          <w:sz w:val="20"/>
          <w:szCs w:val="20"/>
        </w:rPr>
        <w:t>Pichai</w:t>
      </w:r>
      <w:proofErr w:type="spellEnd"/>
      <w:r w:rsidRPr="00845FBE">
        <w:rPr>
          <w:sz w:val="20"/>
          <w:szCs w:val="20"/>
        </w:rPr>
        <w:t xml:space="preserve">, </w:t>
      </w:r>
      <w:proofErr w:type="spellStart"/>
      <w:r w:rsidRPr="00845FBE">
        <w:rPr>
          <w:sz w:val="20"/>
          <w:szCs w:val="20"/>
        </w:rPr>
        <w:t>Taneerananon</w:t>
      </w:r>
      <w:proofErr w:type="spellEnd"/>
      <w:r w:rsidRPr="00845FBE">
        <w:rPr>
          <w:sz w:val="20"/>
          <w:szCs w:val="20"/>
        </w:rPr>
        <w:t xml:space="preserve">, </w:t>
      </w:r>
      <w:proofErr w:type="spellStart"/>
      <w:r w:rsidRPr="00845FBE">
        <w:rPr>
          <w:sz w:val="20"/>
          <w:szCs w:val="20"/>
        </w:rPr>
        <w:t>Paramet</w:t>
      </w:r>
      <w:proofErr w:type="spellEnd"/>
      <w:r w:rsidRPr="00845FBE">
        <w:rPr>
          <w:sz w:val="20"/>
          <w:szCs w:val="20"/>
        </w:rPr>
        <w:t xml:space="preserve">, </w:t>
      </w:r>
      <w:proofErr w:type="spellStart"/>
      <w:r w:rsidRPr="00845FBE">
        <w:rPr>
          <w:sz w:val="20"/>
          <w:szCs w:val="20"/>
        </w:rPr>
        <w:t>Luathep</w:t>
      </w:r>
      <w:proofErr w:type="spellEnd"/>
      <w:r w:rsidRPr="00845FBE">
        <w:rPr>
          <w:sz w:val="20"/>
          <w:szCs w:val="20"/>
        </w:rPr>
        <w:t xml:space="preserve">, </w:t>
      </w:r>
      <w:proofErr w:type="spellStart"/>
      <w:r w:rsidRPr="00845FBE">
        <w:rPr>
          <w:sz w:val="20"/>
          <w:szCs w:val="20"/>
        </w:rPr>
        <w:t>Phayada</w:t>
      </w:r>
      <w:proofErr w:type="spellEnd"/>
      <w:r w:rsidRPr="00845FBE">
        <w:rPr>
          <w:sz w:val="20"/>
          <w:szCs w:val="20"/>
        </w:rPr>
        <w:t xml:space="preserve">, </w:t>
      </w:r>
      <w:proofErr w:type="spellStart"/>
      <w:r w:rsidRPr="00845FBE">
        <w:rPr>
          <w:sz w:val="20"/>
          <w:szCs w:val="20"/>
        </w:rPr>
        <w:t>Prapongsena</w:t>
      </w:r>
      <w:proofErr w:type="spellEnd"/>
      <w:r w:rsidRPr="00845FBE">
        <w:rPr>
          <w:sz w:val="20"/>
          <w:szCs w:val="20"/>
        </w:rPr>
        <w:t xml:space="preserve">, 2007. </w:t>
      </w:r>
    </w:p>
    <w:p w:rsidR="00F72700" w:rsidRPr="00845FBE" w:rsidRDefault="00F72700" w:rsidP="004C2E17">
      <w:pPr>
        <w:pStyle w:val="NormalWeb"/>
        <w:numPr>
          <w:ilvl w:val="0"/>
          <w:numId w:val="16"/>
        </w:numPr>
        <w:spacing w:line="480" w:lineRule="auto"/>
        <w:jc w:val="both"/>
        <w:rPr>
          <w:sz w:val="20"/>
          <w:szCs w:val="20"/>
        </w:rPr>
      </w:pPr>
      <w:r w:rsidRPr="00845FBE">
        <w:rPr>
          <w:sz w:val="20"/>
          <w:szCs w:val="20"/>
        </w:rPr>
        <w:t xml:space="preserve">Traffic accident costing for Thailand. J. Eastern Asia Soc. Transp. Stud. 7, 2891–2906. </w:t>
      </w:r>
      <w:proofErr w:type="spellStart"/>
      <w:r w:rsidRPr="00845FBE">
        <w:rPr>
          <w:sz w:val="20"/>
          <w:szCs w:val="20"/>
        </w:rPr>
        <w:t>Risbey</w:t>
      </w:r>
      <w:proofErr w:type="spellEnd"/>
      <w:r w:rsidRPr="00845FBE">
        <w:rPr>
          <w:sz w:val="20"/>
          <w:szCs w:val="20"/>
        </w:rPr>
        <w:t xml:space="preserve">, T., </w:t>
      </w:r>
      <w:proofErr w:type="spellStart"/>
      <w:r w:rsidRPr="00845FBE">
        <w:rPr>
          <w:sz w:val="20"/>
          <w:szCs w:val="20"/>
        </w:rPr>
        <w:t>Cregan</w:t>
      </w:r>
      <w:proofErr w:type="spellEnd"/>
      <w:r w:rsidRPr="00845FBE">
        <w:rPr>
          <w:sz w:val="20"/>
          <w:szCs w:val="20"/>
        </w:rPr>
        <w:t xml:space="preserve">, M., De Silva, H., 2010. Social Cost of Road Crashes. Australasian Transport Research Forum, 2010 (December 2009), 1–16. Retrieved from https:// www.bitre.gov.au/sites/default/files/sp_003_Risbey_Cregan_deSilva.pdf. Robinson, J. (1986). Philosophical origins of economic evaluation of life. </w:t>
      </w:r>
      <w:proofErr w:type="gramStart"/>
      <w:r w:rsidRPr="00845FBE">
        <w:rPr>
          <w:sz w:val="20"/>
          <w:szCs w:val="20"/>
        </w:rPr>
        <w:t>the</w:t>
      </w:r>
      <w:proofErr w:type="gramEnd"/>
      <w:r w:rsidRPr="00845FBE">
        <w:rPr>
          <w:sz w:val="20"/>
          <w:szCs w:val="20"/>
        </w:rPr>
        <w:t xml:space="preserve"> Milbank </w:t>
      </w:r>
      <w:proofErr w:type="spellStart"/>
      <w:r w:rsidRPr="00845FBE">
        <w:rPr>
          <w:sz w:val="20"/>
          <w:szCs w:val="20"/>
        </w:rPr>
        <w:t>Quaterly</w:t>
      </w:r>
      <w:proofErr w:type="spellEnd"/>
      <w:r w:rsidRPr="00845FBE">
        <w:rPr>
          <w:sz w:val="20"/>
          <w:szCs w:val="20"/>
        </w:rPr>
        <w:t>.</w:t>
      </w:r>
    </w:p>
    <w:sectPr w:rsidR="00F72700" w:rsidRPr="00845FBE" w:rsidSect="00547AF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74D55"/>
    <w:multiLevelType w:val="multilevel"/>
    <w:tmpl w:val="6DAE25E6"/>
    <w:lvl w:ilvl="0">
      <w:start w:val="1"/>
      <w:numFmt w:val="bullet"/>
      <w:lvlText w:val=""/>
      <w:lvlJc w:val="left"/>
      <w:pPr>
        <w:tabs>
          <w:tab w:val="num" w:pos="720"/>
        </w:tabs>
        <w:ind w:left="720" w:hanging="360"/>
      </w:pPr>
      <w:rPr>
        <w:rFonts w:ascii="Symbol" w:hAnsi="Symbol" w:hint="default"/>
        <w:sz w:val="20"/>
      </w:rPr>
    </w:lvl>
    <w:lvl w:ilvl="1">
      <w:start w:val="6"/>
      <w:numFmt w:val="decimal"/>
      <w:lvlText w:val="%2."/>
      <w:lvlJc w:val="left"/>
      <w:pPr>
        <w:ind w:left="1440" w:hanging="360"/>
      </w:pPr>
      <w:rPr>
        <w:rFonts w:hint="default"/>
        <w:b/>
        <w:sz w:val="22"/>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0E2F5E"/>
    <w:multiLevelType w:val="multilevel"/>
    <w:tmpl w:val="E30E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4160A9"/>
    <w:multiLevelType w:val="hybridMultilevel"/>
    <w:tmpl w:val="7FDA57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8056F5"/>
    <w:multiLevelType w:val="multilevel"/>
    <w:tmpl w:val="56AA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5B1FCB"/>
    <w:multiLevelType w:val="multilevel"/>
    <w:tmpl w:val="DA20B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E20303"/>
    <w:multiLevelType w:val="multilevel"/>
    <w:tmpl w:val="ED486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440C50"/>
    <w:multiLevelType w:val="multilevel"/>
    <w:tmpl w:val="136C82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6E44C4"/>
    <w:multiLevelType w:val="multilevel"/>
    <w:tmpl w:val="BB0C5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D173F16"/>
    <w:multiLevelType w:val="multilevel"/>
    <w:tmpl w:val="050E4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2E6B3D"/>
    <w:multiLevelType w:val="multilevel"/>
    <w:tmpl w:val="42FADC5E"/>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eastAsiaTheme="minorHAnsi" w:hint="default"/>
        <w:sz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51B0CD0"/>
    <w:multiLevelType w:val="multilevel"/>
    <w:tmpl w:val="54468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CB53F38"/>
    <w:multiLevelType w:val="multilevel"/>
    <w:tmpl w:val="ED486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297F64"/>
    <w:multiLevelType w:val="multilevel"/>
    <w:tmpl w:val="CEF05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120C01"/>
    <w:multiLevelType w:val="multilevel"/>
    <w:tmpl w:val="7E1C6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23E09F1"/>
    <w:multiLevelType w:val="multilevel"/>
    <w:tmpl w:val="EB5E1482"/>
    <w:lvl w:ilvl="0">
      <w:start w:val="1"/>
      <w:numFmt w:val="decimal"/>
      <w:lvlText w:val="%1."/>
      <w:lvlJc w:val="left"/>
      <w:pPr>
        <w:tabs>
          <w:tab w:val="num" w:pos="720"/>
        </w:tabs>
        <w:ind w:left="720" w:hanging="360"/>
      </w:pPr>
      <w:rPr>
        <w:sz w:val="22"/>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A81046F"/>
    <w:multiLevelType w:val="hybridMultilevel"/>
    <w:tmpl w:val="AF7A81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042CA2"/>
    <w:multiLevelType w:val="multilevel"/>
    <w:tmpl w:val="ED186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4BA2095"/>
    <w:multiLevelType w:val="hybridMultilevel"/>
    <w:tmpl w:val="5DFAA7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B1E5281"/>
    <w:multiLevelType w:val="hybridMultilevel"/>
    <w:tmpl w:val="8EA619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5F934452"/>
    <w:multiLevelType w:val="hybridMultilevel"/>
    <w:tmpl w:val="041264AA"/>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0">
    <w:nsid w:val="60B41C41"/>
    <w:multiLevelType w:val="hybridMultilevel"/>
    <w:tmpl w:val="625237F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7C787B"/>
    <w:multiLevelType w:val="multilevel"/>
    <w:tmpl w:val="D4C2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C30F8A"/>
    <w:multiLevelType w:val="hybridMultilevel"/>
    <w:tmpl w:val="7428B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DED73DD"/>
    <w:multiLevelType w:val="multilevel"/>
    <w:tmpl w:val="8FCE7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A437B2"/>
    <w:multiLevelType w:val="hybridMultilevel"/>
    <w:tmpl w:val="9A8EB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1BE4516"/>
    <w:multiLevelType w:val="multilevel"/>
    <w:tmpl w:val="3AA40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6D05933"/>
    <w:multiLevelType w:val="multilevel"/>
    <w:tmpl w:val="546E8E74"/>
    <w:lvl w:ilvl="0">
      <w:start w:val="1"/>
      <w:numFmt w:val="decimal"/>
      <w:lvlText w:val="%1."/>
      <w:lvlJc w:val="left"/>
      <w:pPr>
        <w:ind w:left="720" w:hanging="360"/>
      </w:pPr>
      <w:rPr>
        <w:rFonts w:hint="default"/>
        <w:sz w:val="24"/>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72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7">
    <w:nsid w:val="79242EFC"/>
    <w:multiLevelType w:val="multilevel"/>
    <w:tmpl w:val="ED486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AC114AB"/>
    <w:multiLevelType w:val="hybridMultilevel"/>
    <w:tmpl w:val="27DA4EDA"/>
    <w:lvl w:ilvl="0" w:tplc="04090009">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num w:numId="1">
    <w:abstractNumId w:val="26"/>
  </w:num>
  <w:num w:numId="2">
    <w:abstractNumId w:val="18"/>
  </w:num>
  <w:num w:numId="3">
    <w:abstractNumId w:val="2"/>
  </w:num>
  <w:num w:numId="4">
    <w:abstractNumId w:val="6"/>
  </w:num>
  <w:num w:numId="5">
    <w:abstractNumId w:val="14"/>
  </w:num>
  <w:num w:numId="6">
    <w:abstractNumId w:val="7"/>
  </w:num>
  <w:num w:numId="7">
    <w:abstractNumId w:val="3"/>
  </w:num>
  <w:num w:numId="8">
    <w:abstractNumId w:val="17"/>
  </w:num>
  <w:num w:numId="9">
    <w:abstractNumId w:val="13"/>
  </w:num>
  <w:num w:numId="10">
    <w:abstractNumId w:val="25"/>
  </w:num>
  <w:num w:numId="11">
    <w:abstractNumId w:val="23"/>
  </w:num>
  <w:num w:numId="12">
    <w:abstractNumId w:val="16"/>
  </w:num>
  <w:num w:numId="13">
    <w:abstractNumId w:val="10"/>
  </w:num>
  <w:num w:numId="14">
    <w:abstractNumId w:val="9"/>
  </w:num>
  <w:num w:numId="15">
    <w:abstractNumId w:val="0"/>
  </w:num>
  <w:num w:numId="16">
    <w:abstractNumId w:val="22"/>
  </w:num>
  <w:num w:numId="17">
    <w:abstractNumId w:val="21"/>
  </w:num>
  <w:num w:numId="18">
    <w:abstractNumId w:val="1"/>
  </w:num>
  <w:num w:numId="19">
    <w:abstractNumId w:val="4"/>
  </w:num>
  <w:num w:numId="20">
    <w:abstractNumId w:val="11"/>
  </w:num>
  <w:num w:numId="21">
    <w:abstractNumId w:val="28"/>
  </w:num>
  <w:num w:numId="22">
    <w:abstractNumId w:val="19"/>
  </w:num>
  <w:num w:numId="23">
    <w:abstractNumId w:val="15"/>
  </w:num>
  <w:num w:numId="24">
    <w:abstractNumId w:val="20"/>
  </w:num>
  <w:num w:numId="25">
    <w:abstractNumId w:val="27"/>
  </w:num>
  <w:num w:numId="26">
    <w:abstractNumId w:val="5"/>
  </w:num>
  <w:num w:numId="27">
    <w:abstractNumId w:val="24"/>
  </w:num>
  <w:num w:numId="28">
    <w:abstractNumId w:val="8"/>
  </w:num>
  <w:num w:numId="29">
    <w:abstractNumId w:val="12"/>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docVars>
    <w:docVar w:name="__Grammarly_42____i" w:val="H4sIAAAAAAAEAKtWckksSQxILCpxzi/NK1GyMqwFAAEhoTITAAAA"/>
    <w:docVar w:name="__Grammarly_42___1" w:val="H4sIAAAAAAAEAKtWcslP9kxRslIyNDY2szQws7SwMDQwNDYyNDFT0lEKTi0uzszPAykwMqgFABY502EtAAAA"/>
  </w:docVars>
  <w:rsids>
    <w:rsidRoot w:val="009D64A1"/>
    <w:rsid w:val="0001144A"/>
    <w:rsid w:val="000154F6"/>
    <w:rsid w:val="00015E2D"/>
    <w:rsid w:val="000315A5"/>
    <w:rsid w:val="0003443F"/>
    <w:rsid w:val="000822F4"/>
    <w:rsid w:val="000A71B2"/>
    <w:rsid w:val="00111EBA"/>
    <w:rsid w:val="00144A43"/>
    <w:rsid w:val="00160E5B"/>
    <w:rsid w:val="001A4ADD"/>
    <w:rsid w:val="001E7652"/>
    <w:rsid w:val="001F2003"/>
    <w:rsid w:val="00213B05"/>
    <w:rsid w:val="00222FD0"/>
    <w:rsid w:val="0022486A"/>
    <w:rsid w:val="002431F5"/>
    <w:rsid w:val="0027074C"/>
    <w:rsid w:val="002947DE"/>
    <w:rsid w:val="002A1CAC"/>
    <w:rsid w:val="002B790A"/>
    <w:rsid w:val="002B7A0F"/>
    <w:rsid w:val="002C76C5"/>
    <w:rsid w:val="002D4E39"/>
    <w:rsid w:val="002F24F6"/>
    <w:rsid w:val="003052AA"/>
    <w:rsid w:val="00327BB7"/>
    <w:rsid w:val="00335E6D"/>
    <w:rsid w:val="00341DB1"/>
    <w:rsid w:val="00353922"/>
    <w:rsid w:val="00354C71"/>
    <w:rsid w:val="00361FD4"/>
    <w:rsid w:val="00375706"/>
    <w:rsid w:val="003814DD"/>
    <w:rsid w:val="003941CA"/>
    <w:rsid w:val="003A6B17"/>
    <w:rsid w:val="003A7C54"/>
    <w:rsid w:val="003E2B98"/>
    <w:rsid w:val="003E40DF"/>
    <w:rsid w:val="003E7B02"/>
    <w:rsid w:val="003F0A31"/>
    <w:rsid w:val="003F73FB"/>
    <w:rsid w:val="0045247F"/>
    <w:rsid w:val="00456689"/>
    <w:rsid w:val="00477B67"/>
    <w:rsid w:val="004812BA"/>
    <w:rsid w:val="004C2E17"/>
    <w:rsid w:val="004E625D"/>
    <w:rsid w:val="00504661"/>
    <w:rsid w:val="005215F2"/>
    <w:rsid w:val="00524DE1"/>
    <w:rsid w:val="00547AFE"/>
    <w:rsid w:val="005560F9"/>
    <w:rsid w:val="005664F7"/>
    <w:rsid w:val="005703F4"/>
    <w:rsid w:val="00570B88"/>
    <w:rsid w:val="00587D5C"/>
    <w:rsid w:val="005B2C86"/>
    <w:rsid w:val="005C475F"/>
    <w:rsid w:val="005C5BB6"/>
    <w:rsid w:val="005E1854"/>
    <w:rsid w:val="00600F8B"/>
    <w:rsid w:val="00663A83"/>
    <w:rsid w:val="006804EE"/>
    <w:rsid w:val="00687ACE"/>
    <w:rsid w:val="006C3160"/>
    <w:rsid w:val="006C711F"/>
    <w:rsid w:val="006F489B"/>
    <w:rsid w:val="00737683"/>
    <w:rsid w:val="007471CC"/>
    <w:rsid w:val="007544C5"/>
    <w:rsid w:val="00763648"/>
    <w:rsid w:val="007E280B"/>
    <w:rsid w:val="00807D3D"/>
    <w:rsid w:val="008201E9"/>
    <w:rsid w:val="0082372F"/>
    <w:rsid w:val="00831FC4"/>
    <w:rsid w:val="00841041"/>
    <w:rsid w:val="0084512E"/>
    <w:rsid w:val="00845FBE"/>
    <w:rsid w:val="00850F4A"/>
    <w:rsid w:val="00882BD4"/>
    <w:rsid w:val="008843AE"/>
    <w:rsid w:val="00887A3B"/>
    <w:rsid w:val="008D5642"/>
    <w:rsid w:val="008E580F"/>
    <w:rsid w:val="008F4563"/>
    <w:rsid w:val="00931E8E"/>
    <w:rsid w:val="00942686"/>
    <w:rsid w:val="00950941"/>
    <w:rsid w:val="009819BD"/>
    <w:rsid w:val="00992284"/>
    <w:rsid w:val="009A4DA2"/>
    <w:rsid w:val="009C542B"/>
    <w:rsid w:val="009D64A1"/>
    <w:rsid w:val="009E4256"/>
    <w:rsid w:val="009E4D70"/>
    <w:rsid w:val="00A02D36"/>
    <w:rsid w:val="00A16ED6"/>
    <w:rsid w:val="00A77FAF"/>
    <w:rsid w:val="00A918DC"/>
    <w:rsid w:val="00A932DB"/>
    <w:rsid w:val="00AB2B87"/>
    <w:rsid w:val="00AD287F"/>
    <w:rsid w:val="00AE2ADE"/>
    <w:rsid w:val="00AE30A5"/>
    <w:rsid w:val="00AF054B"/>
    <w:rsid w:val="00AF2A7F"/>
    <w:rsid w:val="00B10F5F"/>
    <w:rsid w:val="00B476C4"/>
    <w:rsid w:val="00B71A95"/>
    <w:rsid w:val="00B73CF4"/>
    <w:rsid w:val="00B7577F"/>
    <w:rsid w:val="00B95B27"/>
    <w:rsid w:val="00BA59CD"/>
    <w:rsid w:val="00BB474F"/>
    <w:rsid w:val="00BB5118"/>
    <w:rsid w:val="00BD0DDF"/>
    <w:rsid w:val="00BE1A4E"/>
    <w:rsid w:val="00BE5A6A"/>
    <w:rsid w:val="00BF27C5"/>
    <w:rsid w:val="00BF6297"/>
    <w:rsid w:val="00C1029A"/>
    <w:rsid w:val="00C11B56"/>
    <w:rsid w:val="00C15699"/>
    <w:rsid w:val="00C33330"/>
    <w:rsid w:val="00C46AF3"/>
    <w:rsid w:val="00C47947"/>
    <w:rsid w:val="00C618A8"/>
    <w:rsid w:val="00C7160D"/>
    <w:rsid w:val="00C73511"/>
    <w:rsid w:val="00C952BA"/>
    <w:rsid w:val="00C97CBF"/>
    <w:rsid w:val="00CC032A"/>
    <w:rsid w:val="00CC40D7"/>
    <w:rsid w:val="00CC7EBE"/>
    <w:rsid w:val="00CD276F"/>
    <w:rsid w:val="00CE30D2"/>
    <w:rsid w:val="00CE3D60"/>
    <w:rsid w:val="00CF2171"/>
    <w:rsid w:val="00CF5E78"/>
    <w:rsid w:val="00CF7EA0"/>
    <w:rsid w:val="00D00F19"/>
    <w:rsid w:val="00D12B70"/>
    <w:rsid w:val="00D1776F"/>
    <w:rsid w:val="00D251FD"/>
    <w:rsid w:val="00D6054B"/>
    <w:rsid w:val="00D674FB"/>
    <w:rsid w:val="00D74333"/>
    <w:rsid w:val="00DB4EA1"/>
    <w:rsid w:val="00DB74D9"/>
    <w:rsid w:val="00DB79C5"/>
    <w:rsid w:val="00DD22E2"/>
    <w:rsid w:val="00DD2605"/>
    <w:rsid w:val="00DD6BDF"/>
    <w:rsid w:val="00E011DA"/>
    <w:rsid w:val="00E22B3A"/>
    <w:rsid w:val="00E927E5"/>
    <w:rsid w:val="00EA0D2D"/>
    <w:rsid w:val="00EB279B"/>
    <w:rsid w:val="00EB6FED"/>
    <w:rsid w:val="00F113FE"/>
    <w:rsid w:val="00F13C8D"/>
    <w:rsid w:val="00F34C09"/>
    <w:rsid w:val="00F72700"/>
    <w:rsid w:val="00F939A2"/>
    <w:rsid w:val="00F9438A"/>
    <w:rsid w:val="00FD7E49"/>
    <w:rsid w:val="00FE74A7"/>
    <w:rsid w:val="00FE7F2A"/>
    <w:rsid w:val="00FF54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rules v:ext="edit">
        <o:r id="V:Rule7" type="connector" idref="#_x0000_s1057"/>
        <o:r id="V:Rule8" type="connector" idref="#_x0000_s1063"/>
        <o:r id="V:Rule9" type="connector" idref="#_x0000_s1058"/>
        <o:r id="V:Rule10" type="connector" idref="#_x0000_s1065"/>
        <o:r id="V:Rule11" type="connector" idref="#_x0000_s1064"/>
        <o:r id="V:Rule12" type="connector" idref="#_x0000_s105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7AFE"/>
  </w:style>
  <w:style w:type="paragraph" w:styleId="Heading3">
    <w:name w:val="heading 3"/>
    <w:basedOn w:val="Normal"/>
    <w:link w:val="Heading3Char"/>
    <w:uiPriority w:val="9"/>
    <w:qFormat/>
    <w:rsid w:val="00B71A9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6C711F"/>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92284"/>
    <w:pPr>
      <w:ind w:left="720"/>
      <w:contextualSpacing/>
    </w:pPr>
  </w:style>
  <w:style w:type="paragraph" w:styleId="NormalWeb">
    <w:name w:val="Normal (Web)"/>
    <w:basedOn w:val="Normal"/>
    <w:uiPriority w:val="99"/>
    <w:unhideWhenUsed/>
    <w:rsid w:val="003E2B9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71A95"/>
    <w:rPr>
      <w:b/>
      <w:bCs/>
    </w:rPr>
  </w:style>
  <w:style w:type="character" w:customStyle="1" w:styleId="Heading3Char">
    <w:name w:val="Heading 3 Char"/>
    <w:basedOn w:val="DefaultParagraphFont"/>
    <w:link w:val="Heading3"/>
    <w:uiPriority w:val="9"/>
    <w:rsid w:val="00B71A95"/>
    <w:rPr>
      <w:rFonts w:ascii="Times New Roman" w:eastAsia="Times New Roman" w:hAnsi="Times New Roman" w:cs="Times New Roman"/>
      <w:b/>
      <w:bCs/>
      <w:sz w:val="27"/>
      <w:szCs w:val="27"/>
    </w:rPr>
  </w:style>
  <w:style w:type="paragraph" w:customStyle="1" w:styleId="Default">
    <w:name w:val="Default"/>
    <w:rsid w:val="00524DE1"/>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887A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katex-mathml">
    <w:name w:val="katex-mathml"/>
    <w:basedOn w:val="DefaultParagraphFont"/>
    <w:rsid w:val="00A932DB"/>
  </w:style>
  <w:style w:type="character" w:customStyle="1" w:styleId="mord">
    <w:name w:val="mord"/>
    <w:basedOn w:val="DefaultParagraphFont"/>
    <w:rsid w:val="00A932DB"/>
  </w:style>
  <w:style w:type="character" w:styleId="PlaceholderText">
    <w:name w:val="Placeholder Text"/>
    <w:basedOn w:val="DefaultParagraphFont"/>
    <w:uiPriority w:val="99"/>
    <w:semiHidden/>
    <w:rsid w:val="00A932DB"/>
    <w:rPr>
      <w:color w:val="808080"/>
    </w:rPr>
  </w:style>
  <w:style w:type="paragraph" w:styleId="BalloonText">
    <w:name w:val="Balloon Text"/>
    <w:basedOn w:val="Normal"/>
    <w:link w:val="BalloonTextChar"/>
    <w:uiPriority w:val="99"/>
    <w:semiHidden/>
    <w:unhideWhenUsed/>
    <w:rsid w:val="00A932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32DB"/>
    <w:rPr>
      <w:rFonts w:ascii="Tahoma" w:hAnsi="Tahoma" w:cs="Tahoma"/>
      <w:sz w:val="16"/>
      <w:szCs w:val="16"/>
    </w:rPr>
  </w:style>
  <w:style w:type="character" w:customStyle="1" w:styleId="vlist-s">
    <w:name w:val="vlist-s"/>
    <w:basedOn w:val="DefaultParagraphFont"/>
    <w:rsid w:val="00A932DB"/>
  </w:style>
  <w:style w:type="character" w:customStyle="1" w:styleId="mbin">
    <w:name w:val="mbin"/>
    <w:basedOn w:val="DefaultParagraphFont"/>
    <w:rsid w:val="00A932DB"/>
  </w:style>
  <w:style w:type="paragraph" w:styleId="NoSpacing">
    <w:name w:val="No Spacing"/>
    <w:uiPriority w:val="1"/>
    <w:qFormat/>
    <w:rsid w:val="00AF2A7F"/>
    <w:pPr>
      <w:spacing w:after="0" w:line="240" w:lineRule="auto"/>
    </w:pPr>
  </w:style>
  <w:style w:type="character" w:customStyle="1" w:styleId="mopen">
    <w:name w:val="mopen"/>
    <w:basedOn w:val="DefaultParagraphFont"/>
    <w:rsid w:val="00C7160D"/>
  </w:style>
  <w:style w:type="character" w:customStyle="1" w:styleId="mclose">
    <w:name w:val="mclose"/>
    <w:basedOn w:val="DefaultParagraphFont"/>
    <w:rsid w:val="00C7160D"/>
  </w:style>
  <w:style w:type="character" w:customStyle="1" w:styleId="Heading4Char">
    <w:name w:val="Heading 4 Char"/>
    <w:basedOn w:val="DefaultParagraphFont"/>
    <w:link w:val="Heading4"/>
    <w:uiPriority w:val="9"/>
    <w:semiHidden/>
    <w:rsid w:val="006C711F"/>
    <w:rPr>
      <w:rFonts w:asciiTheme="majorHAnsi" w:eastAsiaTheme="majorEastAsia" w:hAnsiTheme="majorHAnsi" w:cstheme="majorBidi"/>
      <w:b/>
      <w:bCs/>
      <w:i/>
      <w:iCs/>
      <w:color w:val="4F81BD" w:themeColor="accent1"/>
    </w:rPr>
  </w:style>
  <w:style w:type="character" w:customStyle="1" w:styleId="overflow-hidden">
    <w:name w:val="overflow-hidden"/>
    <w:basedOn w:val="DefaultParagraphFont"/>
    <w:rsid w:val="009C542B"/>
  </w:style>
  <w:style w:type="character" w:styleId="Hyperlink">
    <w:name w:val="Hyperlink"/>
    <w:basedOn w:val="DefaultParagraphFont"/>
    <w:uiPriority w:val="99"/>
    <w:unhideWhenUsed/>
    <w:rsid w:val="00CC40D7"/>
    <w:rPr>
      <w:color w:val="0000FF" w:themeColor="hyperlink"/>
      <w:u w:val="single"/>
    </w:rPr>
  </w:style>
  <w:style w:type="character" w:styleId="Emphasis">
    <w:name w:val="Emphasis"/>
    <w:basedOn w:val="DefaultParagraphFont"/>
    <w:uiPriority w:val="20"/>
    <w:qFormat/>
    <w:rsid w:val="00B476C4"/>
    <w:rPr>
      <w:i/>
      <w:iCs/>
    </w:rPr>
  </w:style>
  <w:style w:type="character" w:customStyle="1" w:styleId="mrel">
    <w:name w:val="mrel"/>
    <w:basedOn w:val="DefaultParagraphFont"/>
    <w:rsid w:val="001E7652"/>
  </w:style>
</w:styles>
</file>

<file path=word/webSettings.xml><?xml version="1.0" encoding="utf-8"?>
<w:webSettings xmlns:r="http://schemas.openxmlformats.org/officeDocument/2006/relationships" xmlns:w="http://schemas.openxmlformats.org/wordprocessingml/2006/main">
  <w:divs>
    <w:div w:id="191693105">
      <w:bodyDiv w:val="1"/>
      <w:marLeft w:val="0"/>
      <w:marRight w:val="0"/>
      <w:marTop w:val="0"/>
      <w:marBottom w:val="0"/>
      <w:divBdr>
        <w:top w:val="none" w:sz="0" w:space="0" w:color="auto"/>
        <w:left w:val="none" w:sz="0" w:space="0" w:color="auto"/>
        <w:bottom w:val="none" w:sz="0" w:space="0" w:color="auto"/>
        <w:right w:val="none" w:sz="0" w:space="0" w:color="auto"/>
      </w:divBdr>
    </w:div>
    <w:div w:id="242957991">
      <w:bodyDiv w:val="1"/>
      <w:marLeft w:val="0"/>
      <w:marRight w:val="0"/>
      <w:marTop w:val="0"/>
      <w:marBottom w:val="0"/>
      <w:divBdr>
        <w:top w:val="none" w:sz="0" w:space="0" w:color="auto"/>
        <w:left w:val="none" w:sz="0" w:space="0" w:color="auto"/>
        <w:bottom w:val="none" w:sz="0" w:space="0" w:color="auto"/>
        <w:right w:val="none" w:sz="0" w:space="0" w:color="auto"/>
      </w:divBdr>
    </w:div>
    <w:div w:id="287861070">
      <w:bodyDiv w:val="1"/>
      <w:marLeft w:val="0"/>
      <w:marRight w:val="0"/>
      <w:marTop w:val="0"/>
      <w:marBottom w:val="0"/>
      <w:divBdr>
        <w:top w:val="none" w:sz="0" w:space="0" w:color="auto"/>
        <w:left w:val="none" w:sz="0" w:space="0" w:color="auto"/>
        <w:bottom w:val="none" w:sz="0" w:space="0" w:color="auto"/>
        <w:right w:val="none" w:sz="0" w:space="0" w:color="auto"/>
      </w:divBdr>
    </w:div>
    <w:div w:id="378821500">
      <w:bodyDiv w:val="1"/>
      <w:marLeft w:val="0"/>
      <w:marRight w:val="0"/>
      <w:marTop w:val="0"/>
      <w:marBottom w:val="0"/>
      <w:divBdr>
        <w:top w:val="none" w:sz="0" w:space="0" w:color="auto"/>
        <w:left w:val="none" w:sz="0" w:space="0" w:color="auto"/>
        <w:bottom w:val="none" w:sz="0" w:space="0" w:color="auto"/>
        <w:right w:val="none" w:sz="0" w:space="0" w:color="auto"/>
      </w:divBdr>
      <w:divsChild>
        <w:div w:id="1392575045">
          <w:marLeft w:val="0"/>
          <w:marRight w:val="0"/>
          <w:marTop w:val="0"/>
          <w:marBottom w:val="0"/>
          <w:divBdr>
            <w:top w:val="none" w:sz="0" w:space="0" w:color="auto"/>
            <w:left w:val="none" w:sz="0" w:space="0" w:color="auto"/>
            <w:bottom w:val="none" w:sz="0" w:space="0" w:color="auto"/>
            <w:right w:val="none" w:sz="0" w:space="0" w:color="auto"/>
          </w:divBdr>
          <w:divsChild>
            <w:div w:id="1825120504">
              <w:marLeft w:val="0"/>
              <w:marRight w:val="0"/>
              <w:marTop w:val="0"/>
              <w:marBottom w:val="0"/>
              <w:divBdr>
                <w:top w:val="none" w:sz="0" w:space="0" w:color="auto"/>
                <w:left w:val="none" w:sz="0" w:space="0" w:color="auto"/>
                <w:bottom w:val="none" w:sz="0" w:space="0" w:color="auto"/>
                <w:right w:val="none" w:sz="0" w:space="0" w:color="auto"/>
              </w:divBdr>
              <w:divsChild>
                <w:div w:id="2118518791">
                  <w:marLeft w:val="0"/>
                  <w:marRight w:val="0"/>
                  <w:marTop w:val="0"/>
                  <w:marBottom w:val="0"/>
                  <w:divBdr>
                    <w:top w:val="none" w:sz="0" w:space="0" w:color="auto"/>
                    <w:left w:val="none" w:sz="0" w:space="0" w:color="auto"/>
                    <w:bottom w:val="none" w:sz="0" w:space="0" w:color="auto"/>
                    <w:right w:val="none" w:sz="0" w:space="0" w:color="auto"/>
                  </w:divBdr>
                  <w:divsChild>
                    <w:div w:id="64828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105134">
          <w:marLeft w:val="0"/>
          <w:marRight w:val="0"/>
          <w:marTop w:val="0"/>
          <w:marBottom w:val="0"/>
          <w:divBdr>
            <w:top w:val="none" w:sz="0" w:space="0" w:color="auto"/>
            <w:left w:val="none" w:sz="0" w:space="0" w:color="auto"/>
            <w:bottom w:val="none" w:sz="0" w:space="0" w:color="auto"/>
            <w:right w:val="none" w:sz="0" w:space="0" w:color="auto"/>
          </w:divBdr>
          <w:divsChild>
            <w:div w:id="760563096">
              <w:marLeft w:val="0"/>
              <w:marRight w:val="0"/>
              <w:marTop w:val="0"/>
              <w:marBottom w:val="0"/>
              <w:divBdr>
                <w:top w:val="none" w:sz="0" w:space="0" w:color="auto"/>
                <w:left w:val="none" w:sz="0" w:space="0" w:color="auto"/>
                <w:bottom w:val="none" w:sz="0" w:space="0" w:color="auto"/>
                <w:right w:val="none" w:sz="0" w:space="0" w:color="auto"/>
              </w:divBdr>
              <w:divsChild>
                <w:div w:id="1399863995">
                  <w:marLeft w:val="0"/>
                  <w:marRight w:val="0"/>
                  <w:marTop w:val="0"/>
                  <w:marBottom w:val="0"/>
                  <w:divBdr>
                    <w:top w:val="none" w:sz="0" w:space="0" w:color="auto"/>
                    <w:left w:val="none" w:sz="0" w:space="0" w:color="auto"/>
                    <w:bottom w:val="none" w:sz="0" w:space="0" w:color="auto"/>
                    <w:right w:val="none" w:sz="0" w:space="0" w:color="auto"/>
                  </w:divBdr>
                  <w:divsChild>
                    <w:div w:id="72202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832320">
      <w:bodyDiv w:val="1"/>
      <w:marLeft w:val="0"/>
      <w:marRight w:val="0"/>
      <w:marTop w:val="0"/>
      <w:marBottom w:val="0"/>
      <w:divBdr>
        <w:top w:val="none" w:sz="0" w:space="0" w:color="auto"/>
        <w:left w:val="none" w:sz="0" w:space="0" w:color="auto"/>
        <w:bottom w:val="none" w:sz="0" w:space="0" w:color="auto"/>
        <w:right w:val="none" w:sz="0" w:space="0" w:color="auto"/>
      </w:divBdr>
    </w:div>
    <w:div w:id="431242027">
      <w:bodyDiv w:val="1"/>
      <w:marLeft w:val="0"/>
      <w:marRight w:val="0"/>
      <w:marTop w:val="0"/>
      <w:marBottom w:val="0"/>
      <w:divBdr>
        <w:top w:val="none" w:sz="0" w:space="0" w:color="auto"/>
        <w:left w:val="none" w:sz="0" w:space="0" w:color="auto"/>
        <w:bottom w:val="none" w:sz="0" w:space="0" w:color="auto"/>
        <w:right w:val="none" w:sz="0" w:space="0" w:color="auto"/>
      </w:divBdr>
    </w:div>
    <w:div w:id="450243625">
      <w:bodyDiv w:val="1"/>
      <w:marLeft w:val="0"/>
      <w:marRight w:val="0"/>
      <w:marTop w:val="0"/>
      <w:marBottom w:val="0"/>
      <w:divBdr>
        <w:top w:val="none" w:sz="0" w:space="0" w:color="auto"/>
        <w:left w:val="none" w:sz="0" w:space="0" w:color="auto"/>
        <w:bottom w:val="none" w:sz="0" w:space="0" w:color="auto"/>
        <w:right w:val="none" w:sz="0" w:space="0" w:color="auto"/>
      </w:divBdr>
    </w:div>
    <w:div w:id="477576608">
      <w:bodyDiv w:val="1"/>
      <w:marLeft w:val="0"/>
      <w:marRight w:val="0"/>
      <w:marTop w:val="0"/>
      <w:marBottom w:val="0"/>
      <w:divBdr>
        <w:top w:val="none" w:sz="0" w:space="0" w:color="auto"/>
        <w:left w:val="none" w:sz="0" w:space="0" w:color="auto"/>
        <w:bottom w:val="none" w:sz="0" w:space="0" w:color="auto"/>
        <w:right w:val="none" w:sz="0" w:space="0" w:color="auto"/>
      </w:divBdr>
    </w:div>
    <w:div w:id="514852972">
      <w:bodyDiv w:val="1"/>
      <w:marLeft w:val="0"/>
      <w:marRight w:val="0"/>
      <w:marTop w:val="0"/>
      <w:marBottom w:val="0"/>
      <w:divBdr>
        <w:top w:val="none" w:sz="0" w:space="0" w:color="auto"/>
        <w:left w:val="none" w:sz="0" w:space="0" w:color="auto"/>
        <w:bottom w:val="none" w:sz="0" w:space="0" w:color="auto"/>
        <w:right w:val="none" w:sz="0" w:space="0" w:color="auto"/>
      </w:divBdr>
    </w:div>
    <w:div w:id="532886136">
      <w:bodyDiv w:val="1"/>
      <w:marLeft w:val="0"/>
      <w:marRight w:val="0"/>
      <w:marTop w:val="0"/>
      <w:marBottom w:val="0"/>
      <w:divBdr>
        <w:top w:val="none" w:sz="0" w:space="0" w:color="auto"/>
        <w:left w:val="none" w:sz="0" w:space="0" w:color="auto"/>
        <w:bottom w:val="none" w:sz="0" w:space="0" w:color="auto"/>
        <w:right w:val="none" w:sz="0" w:space="0" w:color="auto"/>
      </w:divBdr>
    </w:div>
    <w:div w:id="566036243">
      <w:bodyDiv w:val="1"/>
      <w:marLeft w:val="0"/>
      <w:marRight w:val="0"/>
      <w:marTop w:val="0"/>
      <w:marBottom w:val="0"/>
      <w:divBdr>
        <w:top w:val="none" w:sz="0" w:space="0" w:color="auto"/>
        <w:left w:val="none" w:sz="0" w:space="0" w:color="auto"/>
        <w:bottom w:val="none" w:sz="0" w:space="0" w:color="auto"/>
        <w:right w:val="none" w:sz="0" w:space="0" w:color="auto"/>
      </w:divBdr>
    </w:div>
    <w:div w:id="596984857">
      <w:bodyDiv w:val="1"/>
      <w:marLeft w:val="0"/>
      <w:marRight w:val="0"/>
      <w:marTop w:val="0"/>
      <w:marBottom w:val="0"/>
      <w:divBdr>
        <w:top w:val="none" w:sz="0" w:space="0" w:color="auto"/>
        <w:left w:val="none" w:sz="0" w:space="0" w:color="auto"/>
        <w:bottom w:val="none" w:sz="0" w:space="0" w:color="auto"/>
        <w:right w:val="none" w:sz="0" w:space="0" w:color="auto"/>
      </w:divBdr>
    </w:div>
    <w:div w:id="642320415">
      <w:bodyDiv w:val="1"/>
      <w:marLeft w:val="0"/>
      <w:marRight w:val="0"/>
      <w:marTop w:val="0"/>
      <w:marBottom w:val="0"/>
      <w:divBdr>
        <w:top w:val="none" w:sz="0" w:space="0" w:color="auto"/>
        <w:left w:val="none" w:sz="0" w:space="0" w:color="auto"/>
        <w:bottom w:val="none" w:sz="0" w:space="0" w:color="auto"/>
        <w:right w:val="none" w:sz="0" w:space="0" w:color="auto"/>
      </w:divBdr>
    </w:div>
    <w:div w:id="666321506">
      <w:bodyDiv w:val="1"/>
      <w:marLeft w:val="0"/>
      <w:marRight w:val="0"/>
      <w:marTop w:val="0"/>
      <w:marBottom w:val="0"/>
      <w:divBdr>
        <w:top w:val="none" w:sz="0" w:space="0" w:color="auto"/>
        <w:left w:val="none" w:sz="0" w:space="0" w:color="auto"/>
        <w:bottom w:val="none" w:sz="0" w:space="0" w:color="auto"/>
        <w:right w:val="none" w:sz="0" w:space="0" w:color="auto"/>
      </w:divBdr>
    </w:div>
    <w:div w:id="674309364">
      <w:bodyDiv w:val="1"/>
      <w:marLeft w:val="0"/>
      <w:marRight w:val="0"/>
      <w:marTop w:val="0"/>
      <w:marBottom w:val="0"/>
      <w:divBdr>
        <w:top w:val="none" w:sz="0" w:space="0" w:color="auto"/>
        <w:left w:val="none" w:sz="0" w:space="0" w:color="auto"/>
        <w:bottom w:val="none" w:sz="0" w:space="0" w:color="auto"/>
        <w:right w:val="none" w:sz="0" w:space="0" w:color="auto"/>
      </w:divBdr>
    </w:div>
    <w:div w:id="692192736">
      <w:bodyDiv w:val="1"/>
      <w:marLeft w:val="0"/>
      <w:marRight w:val="0"/>
      <w:marTop w:val="0"/>
      <w:marBottom w:val="0"/>
      <w:divBdr>
        <w:top w:val="none" w:sz="0" w:space="0" w:color="auto"/>
        <w:left w:val="none" w:sz="0" w:space="0" w:color="auto"/>
        <w:bottom w:val="none" w:sz="0" w:space="0" w:color="auto"/>
        <w:right w:val="none" w:sz="0" w:space="0" w:color="auto"/>
      </w:divBdr>
    </w:div>
    <w:div w:id="737900154">
      <w:bodyDiv w:val="1"/>
      <w:marLeft w:val="0"/>
      <w:marRight w:val="0"/>
      <w:marTop w:val="0"/>
      <w:marBottom w:val="0"/>
      <w:divBdr>
        <w:top w:val="none" w:sz="0" w:space="0" w:color="auto"/>
        <w:left w:val="none" w:sz="0" w:space="0" w:color="auto"/>
        <w:bottom w:val="none" w:sz="0" w:space="0" w:color="auto"/>
        <w:right w:val="none" w:sz="0" w:space="0" w:color="auto"/>
      </w:divBdr>
    </w:div>
    <w:div w:id="738795916">
      <w:bodyDiv w:val="1"/>
      <w:marLeft w:val="0"/>
      <w:marRight w:val="0"/>
      <w:marTop w:val="0"/>
      <w:marBottom w:val="0"/>
      <w:divBdr>
        <w:top w:val="none" w:sz="0" w:space="0" w:color="auto"/>
        <w:left w:val="none" w:sz="0" w:space="0" w:color="auto"/>
        <w:bottom w:val="none" w:sz="0" w:space="0" w:color="auto"/>
        <w:right w:val="none" w:sz="0" w:space="0" w:color="auto"/>
      </w:divBdr>
    </w:div>
    <w:div w:id="890072035">
      <w:bodyDiv w:val="1"/>
      <w:marLeft w:val="0"/>
      <w:marRight w:val="0"/>
      <w:marTop w:val="0"/>
      <w:marBottom w:val="0"/>
      <w:divBdr>
        <w:top w:val="none" w:sz="0" w:space="0" w:color="auto"/>
        <w:left w:val="none" w:sz="0" w:space="0" w:color="auto"/>
        <w:bottom w:val="none" w:sz="0" w:space="0" w:color="auto"/>
        <w:right w:val="none" w:sz="0" w:space="0" w:color="auto"/>
      </w:divBdr>
    </w:div>
    <w:div w:id="890656518">
      <w:bodyDiv w:val="1"/>
      <w:marLeft w:val="0"/>
      <w:marRight w:val="0"/>
      <w:marTop w:val="0"/>
      <w:marBottom w:val="0"/>
      <w:divBdr>
        <w:top w:val="none" w:sz="0" w:space="0" w:color="auto"/>
        <w:left w:val="none" w:sz="0" w:space="0" w:color="auto"/>
        <w:bottom w:val="none" w:sz="0" w:space="0" w:color="auto"/>
        <w:right w:val="none" w:sz="0" w:space="0" w:color="auto"/>
      </w:divBdr>
    </w:div>
    <w:div w:id="929584797">
      <w:bodyDiv w:val="1"/>
      <w:marLeft w:val="0"/>
      <w:marRight w:val="0"/>
      <w:marTop w:val="0"/>
      <w:marBottom w:val="0"/>
      <w:divBdr>
        <w:top w:val="none" w:sz="0" w:space="0" w:color="auto"/>
        <w:left w:val="none" w:sz="0" w:space="0" w:color="auto"/>
        <w:bottom w:val="none" w:sz="0" w:space="0" w:color="auto"/>
        <w:right w:val="none" w:sz="0" w:space="0" w:color="auto"/>
      </w:divBdr>
    </w:div>
    <w:div w:id="1016270607">
      <w:bodyDiv w:val="1"/>
      <w:marLeft w:val="0"/>
      <w:marRight w:val="0"/>
      <w:marTop w:val="0"/>
      <w:marBottom w:val="0"/>
      <w:divBdr>
        <w:top w:val="none" w:sz="0" w:space="0" w:color="auto"/>
        <w:left w:val="none" w:sz="0" w:space="0" w:color="auto"/>
        <w:bottom w:val="none" w:sz="0" w:space="0" w:color="auto"/>
        <w:right w:val="none" w:sz="0" w:space="0" w:color="auto"/>
      </w:divBdr>
    </w:div>
    <w:div w:id="1056129279">
      <w:bodyDiv w:val="1"/>
      <w:marLeft w:val="0"/>
      <w:marRight w:val="0"/>
      <w:marTop w:val="0"/>
      <w:marBottom w:val="0"/>
      <w:divBdr>
        <w:top w:val="none" w:sz="0" w:space="0" w:color="auto"/>
        <w:left w:val="none" w:sz="0" w:space="0" w:color="auto"/>
        <w:bottom w:val="none" w:sz="0" w:space="0" w:color="auto"/>
        <w:right w:val="none" w:sz="0" w:space="0" w:color="auto"/>
      </w:divBdr>
    </w:div>
    <w:div w:id="1099833566">
      <w:bodyDiv w:val="1"/>
      <w:marLeft w:val="0"/>
      <w:marRight w:val="0"/>
      <w:marTop w:val="0"/>
      <w:marBottom w:val="0"/>
      <w:divBdr>
        <w:top w:val="none" w:sz="0" w:space="0" w:color="auto"/>
        <w:left w:val="none" w:sz="0" w:space="0" w:color="auto"/>
        <w:bottom w:val="none" w:sz="0" w:space="0" w:color="auto"/>
        <w:right w:val="none" w:sz="0" w:space="0" w:color="auto"/>
      </w:divBdr>
    </w:div>
    <w:div w:id="1166745804">
      <w:bodyDiv w:val="1"/>
      <w:marLeft w:val="0"/>
      <w:marRight w:val="0"/>
      <w:marTop w:val="0"/>
      <w:marBottom w:val="0"/>
      <w:divBdr>
        <w:top w:val="none" w:sz="0" w:space="0" w:color="auto"/>
        <w:left w:val="none" w:sz="0" w:space="0" w:color="auto"/>
        <w:bottom w:val="none" w:sz="0" w:space="0" w:color="auto"/>
        <w:right w:val="none" w:sz="0" w:space="0" w:color="auto"/>
      </w:divBdr>
    </w:div>
    <w:div w:id="1290164147">
      <w:bodyDiv w:val="1"/>
      <w:marLeft w:val="0"/>
      <w:marRight w:val="0"/>
      <w:marTop w:val="0"/>
      <w:marBottom w:val="0"/>
      <w:divBdr>
        <w:top w:val="none" w:sz="0" w:space="0" w:color="auto"/>
        <w:left w:val="none" w:sz="0" w:space="0" w:color="auto"/>
        <w:bottom w:val="none" w:sz="0" w:space="0" w:color="auto"/>
        <w:right w:val="none" w:sz="0" w:space="0" w:color="auto"/>
      </w:divBdr>
      <w:divsChild>
        <w:div w:id="1554652474">
          <w:marLeft w:val="0"/>
          <w:marRight w:val="0"/>
          <w:marTop w:val="0"/>
          <w:marBottom w:val="0"/>
          <w:divBdr>
            <w:top w:val="none" w:sz="0" w:space="0" w:color="auto"/>
            <w:left w:val="none" w:sz="0" w:space="0" w:color="auto"/>
            <w:bottom w:val="none" w:sz="0" w:space="0" w:color="auto"/>
            <w:right w:val="none" w:sz="0" w:space="0" w:color="auto"/>
          </w:divBdr>
          <w:divsChild>
            <w:div w:id="1469741133">
              <w:marLeft w:val="0"/>
              <w:marRight w:val="0"/>
              <w:marTop w:val="0"/>
              <w:marBottom w:val="0"/>
              <w:divBdr>
                <w:top w:val="none" w:sz="0" w:space="0" w:color="auto"/>
                <w:left w:val="none" w:sz="0" w:space="0" w:color="auto"/>
                <w:bottom w:val="none" w:sz="0" w:space="0" w:color="auto"/>
                <w:right w:val="none" w:sz="0" w:space="0" w:color="auto"/>
              </w:divBdr>
              <w:divsChild>
                <w:div w:id="235676380">
                  <w:marLeft w:val="0"/>
                  <w:marRight w:val="0"/>
                  <w:marTop w:val="0"/>
                  <w:marBottom w:val="0"/>
                  <w:divBdr>
                    <w:top w:val="none" w:sz="0" w:space="0" w:color="auto"/>
                    <w:left w:val="none" w:sz="0" w:space="0" w:color="auto"/>
                    <w:bottom w:val="none" w:sz="0" w:space="0" w:color="auto"/>
                    <w:right w:val="none" w:sz="0" w:space="0" w:color="auto"/>
                  </w:divBdr>
                  <w:divsChild>
                    <w:div w:id="25286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334742">
          <w:marLeft w:val="0"/>
          <w:marRight w:val="0"/>
          <w:marTop w:val="0"/>
          <w:marBottom w:val="0"/>
          <w:divBdr>
            <w:top w:val="none" w:sz="0" w:space="0" w:color="auto"/>
            <w:left w:val="none" w:sz="0" w:space="0" w:color="auto"/>
            <w:bottom w:val="none" w:sz="0" w:space="0" w:color="auto"/>
            <w:right w:val="none" w:sz="0" w:space="0" w:color="auto"/>
          </w:divBdr>
          <w:divsChild>
            <w:div w:id="964236746">
              <w:marLeft w:val="0"/>
              <w:marRight w:val="0"/>
              <w:marTop w:val="0"/>
              <w:marBottom w:val="0"/>
              <w:divBdr>
                <w:top w:val="none" w:sz="0" w:space="0" w:color="auto"/>
                <w:left w:val="none" w:sz="0" w:space="0" w:color="auto"/>
                <w:bottom w:val="none" w:sz="0" w:space="0" w:color="auto"/>
                <w:right w:val="none" w:sz="0" w:space="0" w:color="auto"/>
              </w:divBdr>
              <w:divsChild>
                <w:div w:id="1859657605">
                  <w:marLeft w:val="0"/>
                  <w:marRight w:val="0"/>
                  <w:marTop w:val="0"/>
                  <w:marBottom w:val="0"/>
                  <w:divBdr>
                    <w:top w:val="none" w:sz="0" w:space="0" w:color="auto"/>
                    <w:left w:val="none" w:sz="0" w:space="0" w:color="auto"/>
                    <w:bottom w:val="none" w:sz="0" w:space="0" w:color="auto"/>
                    <w:right w:val="none" w:sz="0" w:space="0" w:color="auto"/>
                  </w:divBdr>
                  <w:divsChild>
                    <w:div w:id="1362319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216833">
      <w:bodyDiv w:val="1"/>
      <w:marLeft w:val="0"/>
      <w:marRight w:val="0"/>
      <w:marTop w:val="0"/>
      <w:marBottom w:val="0"/>
      <w:divBdr>
        <w:top w:val="none" w:sz="0" w:space="0" w:color="auto"/>
        <w:left w:val="none" w:sz="0" w:space="0" w:color="auto"/>
        <w:bottom w:val="none" w:sz="0" w:space="0" w:color="auto"/>
        <w:right w:val="none" w:sz="0" w:space="0" w:color="auto"/>
      </w:divBdr>
    </w:div>
    <w:div w:id="1337072106">
      <w:bodyDiv w:val="1"/>
      <w:marLeft w:val="0"/>
      <w:marRight w:val="0"/>
      <w:marTop w:val="0"/>
      <w:marBottom w:val="0"/>
      <w:divBdr>
        <w:top w:val="none" w:sz="0" w:space="0" w:color="auto"/>
        <w:left w:val="none" w:sz="0" w:space="0" w:color="auto"/>
        <w:bottom w:val="none" w:sz="0" w:space="0" w:color="auto"/>
        <w:right w:val="none" w:sz="0" w:space="0" w:color="auto"/>
      </w:divBdr>
    </w:div>
    <w:div w:id="1444882853">
      <w:bodyDiv w:val="1"/>
      <w:marLeft w:val="0"/>
      <w:marRight w:val="0"/>
      <w:marTop w:val="0"/>
      <w:marBottom w:val="0"/>
      <w:divBdr>
        <w:top w:val="none" w:sz="0" w:space="0" w:color="auto"/>
        <w:left w:val="none" w:sz="0" w:space="0" w:color="auto"/>
        <w:bottom w:val="none" w:sz="0" w:space="0" w:color="auto"/>
        <w:right w:val="none" w:sz="0" w:space="0" w:color="auto"/>
      </w:divBdr>
    </w:div>
    <w:div w:id="1446383039">
      <w:bodyDiv w:val="1"/>
      <w:marLeft w:val="0"/>
      <w:marRight w:val="0"/>
      <w:marTop w:val="0"/>
      <w:marBottom w:val="0"/>
      <w:divBdr>
        <w:top w:val="none" w:sz="0" w:space="0" w:color="auto"/>
        <w:left w:val="none" w:sz="0" w:space="0" w:color="auto"/>
        <w:bottom w:val="none" w:sz="0" w:space="0" w:color="auto"/>
        <w:right w:val="none" w:sz="0" w:space="0" w:color="auto"/>
      </w:divBdr>
    </w:div>
    <w:div w:id="1553885002">
      <w:bodyDiv w:val="1"/>
      <w:marLeft w:val="0"/>
      <w:marRight w:val="0"/>
      <w:marTop w:val="0"/>
      <w:marBottom w:val="0"/>
      <w:divBdr>
        <w:top w:val="none" w:sz="0" w:space="0" w:color="auto"/>
        <w:left w:val="none" w:sz="0" w:space="0" w:color="auto"/>
        <w:bottom w:val="none" w:sz="0" w:space="0" w:color="auto"/>
        <w:right w:val="none" w:sz="0" w:space="0" w:color="auto"/>
      </w:divBdr>
    </w:div>
    <w:div w:id="1576087928">
      <w:bodyDiv w:val="1"/>
      <w:marLeft w:val="0"/>
      <w:marRight w:val="0"/>
      <w:marTop w:val="0"/>
      <w:marBottom w:val="0"/>
      <w:divBdr>
        <w:top w:val="none" w:sz="0" w:space="0" w:color="auto"/>
        <w:left w:val="none" w:sz="0" w:space="0" w:color="auto"/>
        <w:bottom w:val="none" w:sz="0" w:space="0" w:color="auto"/>
        <w:right w:val="none" w:sz="0" w:space="0" w:color="auto"/>
      </w:divBdr>
    </w:div>
    <w:div w:id="1622296909">
      <w:bodyDiv w:val="1"/>
      <w:marLeft w:val="0"/>
      <w:marRight w:val="0"/>
      <w:marTop w:val="0"/>
      <w:marBottom w:val="0"/>
      <w:divBdr>
        <w:top w:val="none" w:sz="0" w:space="0" w:color="auto"/>
        <w:left w:val="none" w:sz="0" w:space="0" w:color="auto"/>
        <w:bottom w:val="none" w:sz="0" w:space="0" w:color="auto"/>
        <w:right w:val="none" w:sz="0" w:space="0" w:color="auto"/>
      </w:divBdr>
    </w:div>
    <w:div w:id="1645430737">
      <w:bodyDiv w:val="1"/>
      <w:marLeft w:val="0"/>
      <w:marRight w:val="0"/>
      <w:marTop w:val="0"/>
      <w:marBottom w:val="0"/>
      <w:divBdr>
        <w:top w:val="none" w:sz="0" w:space="0" w:color="auto"/>
        <w:left w:val="none" w:sz="0" w:space="0" w:color="auto"/>
        <w:bottom w:val="none" w:sz="0" w:space="0" w:color="auto"/>
        <w:right w:val="none" w:sz="0" w:space="0" w:color="auto"/>
      </w:divBdr>
    </w:div>
    <w:div w:id="1765034778">
      <w:bodyDiv w:val="1"/>
      <w:marLeft w:val="0"/>
      <w:marRight w:val="0"/>
      <w:marTop w:val="0"/>
      <w:marBottom w:val="0"/>
      <w:divBdr>
        <w:top w:val="none" w:sz="0" w:space="0" w:color="auto"/>
        <w:left w:val="none" w:sz="0" w:space="0" w:color="auto"/>
        <w:bottom w:val="none" w:sz="0" w:space="0" w:color="auto"/>
        <w:right w:val="none" w:sz="0" w:space="0" w:color="auto"/>
      </w:divBdr>
    </w:div>
    <w:div w:id="1814175602">
      <w:bodyDiv w:val="1"/>
      <w:marLeft w:val="0"/>
      <w:marRight w:val="0"/>
      <w:marTop w:val="0"/>
      <w:marBottom w:val="0"/>
      <w:divBdr>
        <w:top w:val="none" w:sz="0" w:space="0" w:color="auto"/>
        <w:left w:val="none" w:sz="0" w:space="0" w:color="auto"/>
        <w:bottom w:val="none" w:sz="0" w:space="0" w:color="auto"/>
        <w:right w:val="none" w:sz="0" w:space="0" w:color="auto"/>
      </w:divBdr>
    </w:div>
    <w:div w:id="1860191925">
      <w:bodyDiv w:val="1"/>
      <w:marLeft w:val="0"/>
      <w:marRight w:val="0"/>
      <w:marTop w:val="0"/>
      <w:marBottom w:val="0"/>
      <w:divBdr>
        <w:top w:val="none" w:sz="0" w:space="0" w:color="auto"/>
        <w:left w:val="none" w:sz="0" w:space="0" w:color="auto"/>
        <w:bottom w:val="none" w:sz="0" w:space="0" w:color="auto"/>
        <w:right w:val="none" w:sz="0" w:space="0" w:color="auto"/>
      </w:divBdr>
    </w:div>
    <w:div w:id="1870872502">
      <w:bodyDiv w:val="1"/>
      <w:marLeft w:val="0"/>
      <w:marRight w:val="0"/>
      <w:marTop w:val="0"/>
      <w:marBottom w:val="0"/>
      <w:divBdr>
        <w:top w:val="none" w:sz="0" w:space="0" w:color="auto"/>
        <w:left w:val="none" w:sz="0" w:space="0" w:color="auto"/>
        <w:bottom w:val="none" w:sz="0" w:space="0" w:color="auto"/>
        <w:right w:val="none" w:sz="0" w:space="0" w:color="auto"/>
      </w:divBdr>
    </w:div>
    <w:div w:id="1879775260">
      <w:bodyDiv w:val="1"/>
      <w:marLeft w:val="0"/>
      <w:marRight w:val="0"/>
      <w:marTop w:val="0"/>
      <w:marBottom w:val="0"/>
      <w:divBdr>
        <w:top w:val="none" w:sz="0" w:space="0" w:color="auto"/>
        <w:left w:val="none" w:sz="0" w:space="0" w:color="auto"/>
        <w:bottom w:val="none" w:sz="0" w:space="0" w:color="auto"/>
        <w:right w:val="none" w:sz="0" w:space="0" w:color="auto"/>
      </w:divBdr>
    </w:div>
    <w:div w:id="1883397918">
      <w:bodyDiv w:val="1"/>
      <w:marLeft w:val="0"/>
      <w:marRight w:val="0"/>
      <w:marTop w:val="0"/>
      <w:marBottom w:val="0"/>
      <w:divBdr>
        <w:top w:val="none" w:sz="0" w:space="0" w:color="auto"/>
        <w:left w:val="none" w:sz="0" w:space="0" w:color="auto"/>
        <w:bottom w:val="none" w:sz="0" w:space="0" w:color="auto"/>
        <w:right w:val="none" w:sz="0" w:space="0" w:color="auto"/>
      </w:divBdr>
    </w:div>
    <w:div w:id="1988775640">
      <w:bodyDiv w:val="1"/>
      <w:marLeft w:val="0"/>
      <w:marRight w:val="0"/>
      <w:marTop w:val="0"/>
      <w:marBottom w:val="0"/>
      <w:divBdr>
        <w:top w:val="none" w:sz="0" w:space="0" w:color="auto"/>
        <w:left w:val="none" w:sz="0" w:space="0" w:color="auto"/>
        <w:bottom w:val="none" w:sz="0" w:space="0" w:color="auto"/>
        <w:right w:val="none" w:sz="0" w:space="0" w:color="auto"/>
      </w:divBdr>
    </w:div>
    <w:div w:id="2023163875">
      <w:bodyDiv w:val="1"/>
      <w:marLeft w:val="0"/>
      <w:marRight w:val="0"/>
      <w:marTop w:val="0"/>
      <w:marBottom w:val="0"/>
      <w:divBdr>
        <w:top w:val="none" w:sz="0" w:space="0" w:color="auto"/>
        <w:left w:val="none" w:sz="0" w:space="0" w:color="auto"/>
        <w:bottom w:val="none" w:sz="0" w:space="0" w:color="auto"/>
        <w:right w:val="none" w:sz="0" w:space="0" w:color="auto"/>
      </w:divBdr>
    </w:div>
    <w:div w:id="2025785081">
      <w:bodyDiv w:val="1"/>
      <w:marLeft w:val="0"/>
      <w:marRight w:val="0"/>
      <w:marTop w:val="0"/>
      <w:marBottom w:val="0"/>
      <w:divBdr>
        <w:top w:val="none" w:sz="0" w:space="0" w:color="auto"/>
        <w:left w:val="none" w:sz="0" w:space="0" w:color="auto"/>
        <w:bottom w:val="none" w:sz="0" w:space="0" w:color="auto"/>
        <w:right w:val="none" w:sz="0" w:space="0" w:color="auto"/>
      </w:divBdr>
    </w:div>
    <w:div w:id="2090761826">
      <w:bodyDiv w:val="1"/>
      <w:marLeft w:val="0"/>
      <w:marRight w:val="0"/>
      <w:marTop w:val="0"/>
      <w:marBottom w:val="0"/>
      <w:divBdr>
        <w:top w:val="none" w:sz="0" w:space="0" w:color="auto"/>
        <w:left w:val="none" w:sz="0" w:space="0" w:color="auto"/>
        <w:bottom w:val="none" w:sz="0" w:space="0" w:color="auto"/>
        <w:right w:val="none" w:sz="0" w:space="0" w:color="auto"/>
      </w:divBdr>
    </w:div>
    <w:div w:id="2106533727">
      <w:bodyDiv w:val="1"/>
      <w:marLeft w:val="0"/>
      <w:marRight w:val="0"/>
      <w:marTop w:val="0"/>
      <w:marBottom w:val="0"/>
      <w:divBdr>
        <w:top w:val="none" w:sz="0" w:space="0" w:color="auto"/>
        <w:left w:val="none" w:sz="0" w:space="0" w:color="auto"/>
        <w:bottom w:val="none" w:sz="0" w:space="0" w:color="auto"/>
        <w:right w:val="none" w:sz="0" w:space="0" w:color="auto"/>
      </w:divBdr>
    </w:div>
    <w:div w:id="2110394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chart" Target="charts/chart4.xml"/><Relationship Id="rId13" Type="http://schemas.openxmlformats.org/officeDocument/2006/relationships/hyperlink" Target="https://doi.org/10.1016/S0001&#8211;4575(02)00105&#8211;7" TargetMode="External"/><Relationship Id="rId18" Type="http://schemas.openxmlformats.org/officeDocument/2006/relationships/hyperlink" Target="https://doi.org/10.1076/icsp.10.1.53.14103" TargetMode="External"/><Relationship Id="rId3" Type="http://schemas.openxmlformats.org/officeDocument/2006/relationships/settings" Target="settings.xml"/><Relationship Id="rId7" Type="http://schemas.openxmlformats.org/officeDocument/2006/relationships/chart" Target="charts/chart3.xml"/><Relationship Id="rId12" Type="http://schemas.openxmlformats.org/officeDocument/2006/relationships/hyperlink" Target="https://doi.org/10.1371/journal.%20pone.0112721" TargetMode="External"/><Relationship Id="rId17" Type="http://schemas.openxmlformats.org/officeDocument/2006/relationships/hyperlink" Target="https://doi.org/10.1016/j.%20aap.2014.05.026" TargetMode="External"/><Relationship Id="rId2" Type="http://schemas.openxmlformats.org/officeDocument/2006/relationships/styles" Target="styles.xml"/><Relationship Id="rId16" Type="http://schemas.openxmlformats.org/officeDocument/2006/relationships/hyperlink" Target="https://doi.org/10.1016/j.ssci.2015.07.017"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hart" Target="charts/chart2.xml"/><Relationship Id="rId11" Type="http://schemas.openxmlformats.org/officeDocument/2006/relationships/hyperlink" Target="https://doi.org/10.5923/j.%20ijtte.20160501.02" TargetMode="External"/><Relationship Id="rId5" Type="http://schemas.openxmlformats.org/officeDocument/2006/relationships/chart" Target="charts/chart1.xml"/><Relationship Id="rId15" Type="http://schemas.openxmlformats.org/officeDocument/2006/relationships/hyperlink" Target="https://doi.org/10.1016/S0001-4575(00)00015-4" TargetMode="External"/><Relationship Id="rId10" Type="http://schemas.openxmlformats.org/officeDocument/2006/relationships/chart" Target="charts/chart6.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5.xml"/><Relationship Id="rId14" Type="http://schemas.openxmlformats.org/officeDocument/2006/relationships/hyperlink" Target="https://doi.org/10.1136/ip.2008.0%2019638"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user\Desktop\Journals%20For%20Construction\Mansi\Journals-1\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view3D>
      <c:rotX val="30"/>
      <c:perspective val="30"/>
    </c:view3D>
    <c:plotArea>
      <c:layout/>
      <c:pie3DChart>
        <c:varyColors val="1"/>
        <c:ser>
          <c:idx val="0"/>
          <c:order val="0"/>
          <c:tx>
            <c:strRef>
              <c:f>'Income Class'!$D$4</c:f>
              <c:strCache>
                <c:ptCount val="1"/>
                <c:pt idx="0">
                  <c:v>Percentage(%)</c:v>
                </c:pt>
              </c:strCache>
            </c:strRef>
          </c:tx>
          <c:dLbls>
            <c:showPercent val="1"/>
            <c:showLeaderLines val="1"/>
          </c:dLbls>
          <c:cat>
            <c:strRef>
              <c:f>'Income Class'!$C$5:$C$8</c:f>
              <c:strCache>
                <c:ptCount val="4"/>
                <c:pt idx="0">
                  <c:v>Low</c:v>
                </c:pt>
                <c:pt idx="1">
                  <c:v>Medium</c:v>
                </c:pt>
                <c:pt idx="2">
                  <c:v>Upper</c:v>
                </c:pt>
                <c:pt idx="3">
                  <c:v>High</c:v>
                </c:pt>
              </c:strCache>
            </c:strRef>
          </c:cat>
          <c:val>
            <c:numRef>
              <c:f>'Income Class'!$D$5:$D$8</c:f>
              <c:numCache>
                <c:formatCode>General</c:formatCode>
                <c:ptCount val="4"/>
                <c:pt idx="0">
                  <c:v>10</c:v>
                </c:pt>
                <c:pt idx="1">
                  <c:v>20</c:v>
                </c:pt>
                <c:pt idx="2">
                  <c:v>20</c:v>
                </c:pt>
                <c:pt idx="3">
                  <c:v>50</c:v>
                </c:pt>
              </c:numCache>
            </c:numRef>
          </c:val>
        </c:ser>
        <c:dLbls>
          <c:showPercent val="1"/>
        </c:dLbls>
      </c:pie3DChart>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plotArea>
      <c:layout/>
      <c:pieChart>
        <c:varyColors val="1"/>
        <c:ser>
          <c:idx val="0"/>
          <c:order val="0"/>
          <c:tx>
            <c:strRef>
              <c:f>Sheet4!$B$2</c:f>
              <c:strCache>
                <c:ptCount val="1"/>
                <c:pt idx="0">
                  <c:v>Year of Publication</c:v>
                </c:pt>
              </c:strCache>
            </c:strRef>
          </c:tx>
          <c:dLbls>
            <c:showPercent val="1"/>
            <c:showLeaderLines val="1"/>
          </c:dLbls>
          <c:val>
            <c:numRef>
              <c:f>Sheet4!$B$3:$B$15</c:f>
              <c:numCache>
                <c:formatCode>General</c:formatCode>
                <c:ptCount val="13"/>
                <c:pt idx="0">
                  <c:v>2000</c:v>
                </c:pt>
                <c:pt idx="1">
                  <c:v>2002</c:v>
                </c:pt>
                <c:pt idx="2">
                  <c:v>2004</c:v>
                </c:pt>
                <c:pt idx="3">
                  <c:v>2006</c:v>
                </c:pt>
                <c:pt idx="4">
                  <c:v>2008</c:v>
                </c:pt>
                <c:pt idx="5">
                  <c:v>2010</c:v>
                </c:pt>
                <c:pt idx="6">
                  <c:v>2012</c:v>
                </c:pt>
                <c:pt idx="7">
                  <c:v>2014</c:v>
                </c:pt>
                <c:pt idx="8">
                  <c:v>2016</c:v>
                </c:pt>
                <c:pt idx="9">
                  <c:v>2018</c:v>
                </c:pt>
                <c:pt idx="10">
                  <c:v>2020</c:v>
                </c:pt>
                <c:pt idx="11">
                  <c:v>2022</c:v>
                </c:pt>
                <c:pt idx="12">
                  <c:v>2023</c:v>
                </c:pt>
              </c:numCache>
            </c:numRef>
          </c:val>
        </c:ser>
        <c:ser>
          <c:idx val="1"/>
          <c:order val="1"/>
          <c:tx>
            <c:strRef>
              <c:f>Sheet4!$C$2</c:f>
              <c:strCache>
                <c:ptCount val="1"/>
                <c:pt idx="0">
                  <c:v>Nos. of Paper</c:v>
                </c:pt>
              </c:strCache>
            </c:strRef>
          </c:tx>
          <c:dLbls>
            <c:showPercent val="1"/>
            <c:showLeaderLines val="1"/>
          </c:dLbls>
          <c:val>
            <c:numRef>
              <c:f>Sheet4!$C$3:$C$15</c:f>
              <c:numCache>
                <c:formatCode>General</c:formatCode>
                <c:ptCount val="13"/>
                <c:pt idx="0">
                  <c:v>2</c:v>
                </c:pt>
                <c:pt idx="1">
                  <c:v>4</c:v>
                </c:pt>
                <c:pt idx="2">
                  <c:v>8</c:v>
                </c:pt>
                <c:pt idx="3">
                  <c:v>12</c:v>
                </c:pt>
                <c:pt idx="4">
                  <c:v>8</c:v>
                </c:pt>
                <c:pt idx="5">
                  <c:v>6</c:v>
                </c:pt>
                <c:pt idx="6">
                  <c:v>10</c:v>
                </c:pt>
                <c:pt idx="7">
                  <c:v>16</c:v>
                </c:pt>
                <c:pt idx="8">
                  <c:v>9</c:v>
                </c:pt>
                <c:pt idx="9">
                  <c:v>6</c:v>
                </c:pt>
                <c:pt idx="10">
                  <c:v>10</c:v>
                </c:pt>
                <c:pt idx="11">
                  <c:v>15</c:v>
                </c:pt>
                <c:pt idx="12">
                  <c:v>18</c:v>
                </c:pt>
              </c:numCache>
            </c:numRef>
          </c:val>
        </c:ser>
        <c:dLbls>
          <c:showPercent val="1"/>
        </c:dLbls>
        <c:firstSliceAng val="0"/>
      </c:pieChart>
    </c:plotArea>
    <c:legend>
      <c:legendPos val="r"/>
      <c:txPr>
        <a:bodyPr/>
        <a:lstStyle/>
        <a:p>
          <a:pPr rtl="0">
            <a:defRPr/>
          </a:pPr>
          <a:endParaRPr lang="en-US"/>
        </a:p>
      </c:txP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view3D>
      <c:rAngAx val="1"/>
    </c:view3D>
    <c:plotArea>
      <c:layout/>
      <c:bar3DChart>
        <c:barDir val="col"/>
        <c:grouping val="clustered"/>
        <c:ser>
          <c:idx val="0"/>
          <c:order val="0"/>
          <c:tx>
            <c:strRef>
              <c:f>Sheet2!$C$3</c:f>
              <c:strCache>
                <c:ptCount val="1"/>
                <c:pt idx="0">
                  <c:v>GDP %</c:v>
                </c:pt>
              </c:strCache>
            </c:strRef>
          </c:tx>
          <c:val>
            <c:numRef>
              <c:f>Sheet2!$D$3:$K$3</c:f>
              <c:numCache>
                <c:formatCode>General</c:formatCode>
                <c:ptCount val="8"/>
                <c:pt idx="0">
                  <c:v>0</c:v>
                </c:pt>
                <c:pt idx="1">
                  <c:v>1</c:v>
                </c:pt>
                <c:pt idx="2">
                  <c:v>2</c:v>
                </c:pt>
                <c:pt idx="3">
                  <c:v>3</c:v>
                </c:pt>
                <c:pt idx="4">
                  <c:v>4</c:v>
                </c:pt>
                <c:pt idx="5">
                  <c:v>5</c:v>
                </c:pt>
                <c:pt idx="6">
                  <c:v>6</c:v>
                </c:pt>
                <c:pt idx="7">
                  <c:v>7</c:v>
                </c:pt>
              </c:numCache>
            </c:numRef>
          </c:val>
        </c:ser>
        <c:ser>
          <c:idx val="1"/>
          <c:order val="1"/>
          <c:tx>
            <c:strRef>
              <c:f>Sheet2!$C$4</c:f>
              <c:strCache>
                <c:ptCount val="1"/>
                <c:pt idx="0">
                  <c:v>Frequency</c:v>
                </c:pt>
              </c:strCache>
            </c:strRef>
          </c:tx>
          <c:val>
            <c:numRef>
              <c:f>Sheet2!$D$4:$K$4</c:f>
              <c:numCache>
                <c:formatCode>General</c:formatCode>
                <c:ptCount val="8"/>
                <c:pt idx="0">
                  <c:v>7</c:v>
                </c:pt>
                <c:pt idx="1">
                  <c:v>9.5</c:v>
                </c:pt>
                <c:pt idx="2">
                  <c:v>12</c:v>
                </c:pt>
                <c:pt idx="3">
                  <c:v>13</c:v>
                </c:pt>
                <c:pt idx="4">
                  <c:v>11</c:v>
                </c:pt>
                <c:pt idx="5">
                  <c:v>7.8</c:v>
                </c:pt>
                <c:pt idx="6">
                  <c:v>2.8</c:v>
                </c:pt>
                <c:pt idx="7">
                  <c:v>1.9500000000000086</c:v>
                </c:pt>
              </c:numCache>
            </c:numRef>
          </c:val>
        </c:ser>
        <c:shape val="box"/>
        <c:axId val="321858176"/>
        <c:axId val="245502336"/>
        <c:axId val="0"/>
      </c:bar3DChart>
      <c:catAx>
        <c:axId val="321858176"/>
        <c:scaling>
          <c:orientation val="minMax"/>
        </c:scaling>
        <c:axPos val="b"/>
        <c:tickLblPos val="nextTo"/>
        <c:crossAx val="245502336"/>
        <c:crosses val="autoZero"/>
        <c:auto val="1"/>
        <c:lblAlgn val="ctr"/>
        <c:lblOffset val="100"/>
      </c:catAx>
      <c:valAx>
        <c:axId val="245502336"/>
        <c:scaling>
          <c:orientation val="minMax"/>
        </c:scaling>
        <c:axPos val="l"/>
        <c:majorGridlines/>
        <c:numFmt formatCode="General" sourceLinked="1"/>
        <c:tickLblPos val="nextTo"/>
        <c:crossAx val="321858176"/>
        <c:crosses val="autoZero"/>
        <c:crossBetween val="between"/>
      </c:valAx>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view3D>
      <c:rAngAx val="1"/>
    </c:view3D>
    <c:plotArea>
      <c:layout/>
      <c:bar3DChart>
        <c:barDir val="col"/>
        <c:grouping val="clustered"/>
        <c:ser>
          <c:idx val="0"/>
          <c:order val="0"/>
          <c:tx>
            <c:strRef>
              <c:f>Sheet2!$C$29</c:f>
              <c:strCache>
                <c:ptCount val="1"/>
                <c:pt idx="0">
                  <c:v>GDP %</c:v>
                </c:pt>
              </c:strCache>
            </c:strRef>
          </c:tx>
          <c:val>
            <c:numRef>
              <c:f>Sheet2!$D$29:$K$29</c:f>
              <c:numCache>
                <c:formatCode>General</c:formatCode>
                <c:ptCount val="8"/>
                <c:pt idx="0">
                  <c:v>0</c:v>
                </c:pt>
                <c:pt idx="1">
                  <c:v>1</c:v>
                </c:pt>
                <c:pt idx="2">
                  <c:v>2</c:v>
                </c:pt>
                <c:pt idx="3">
                  <c:v>3</c:v>
                </c:pt>
                <c:pt idx="4">
                  <c:v>4</c:v>
                </c:pt>
                <c:pt idx="5">
                  <c:v>5</c:v>
                </c:pt>
                <c:pt idx="6">
                  <c:v>6</c:v>
                </c:pt>
                <c:pt idx="7">
                  <c:v>7</c:v>
                </c:pt>
              </c:numCache>
            </c:numRef>
          </c:val>
        </c:ser>
        <c:ser>
          <c:idx val="1"/>
          <c:order val="1"/>
          <c:tx>
            <c:strRef>
              <c:f>Sheet2!$C$30</c:f>
              <c:strCache>
                <c:ptCount val="1"/>
                <c:pt idx="0">
                  <c:v>Frequency</c:v>
                </c:pt>
              </c:strCache>
            </c:strRef>
          </c:tx>
          <c:val>
            <c:numRef>
              <c:f>Sheet2!$D$30:$K$30</c:f>
              <c:numCache>
                <c:formatCode>General</c:formatCode>
                <c:ptCount val="8"/>
                <c:pt idx="0">
                  <c:v>4</c:v>
                </c:pt>
                <c:pt idx="1">
                  <c:v>6.5</c:v>
                </c:pt>
                <c:pt idx="2">
                  <c:v>9.5</c:v>
                </c:pt>
                <c:pt idx="3">
                  <c:v>8</c:v>
                </c:pt>
                <c:pt idx="4">
                  <c:v>7</c:v>
                </c:pt>
                <c:pt idx="5">
                  <c:v>6.5</c:v>
                </c:pt>
                <c:pt idx="6">
                  <c:v>3.5</c:v>
                </c:pt>
                <c:pt idx="7">
                  <c:v>2.1</c:v>
                </c:pt>
              </c:numCache>
            </c:numRef>
          </c:val>
        </c:ser>
        <c:shape val="box"/>
        <c:axId val="245523200"/>
        <c:axId val="245524736"/>
        <c:axId val="0"/>
      </c:bar3DChart>
      <c:catAx>
        <c:axId val="245523200"/>
        <c:scaling>
          <c:orientation val="minMax"/>
        </c:scaling>
        <c:axPos val="b"/>
        <c:tickLblPos val="nextTo"/>
        <c:crossAx val="245524736"/>
        <c:crosses val="autoZero"/>
        <c:auto val="1"/>
        <c:lblAlgn val="ctr"/>
        <c:lblOffset val="100"/>
      </c:catAx>
      <c:valAx>
        <c:axId val="245524736"/>
        <c:scaling>
          <c:orientation val="minMax"/>
        </c:scaling>
        <c:axPos val="l"/>
        <c:majorGridlines/>
        <c:numFmt formatCode="General" sourceLinked="1"/>
        <c:tickLblPos val="nextTo"/>
        <c:crossAx val="245523200"/>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en-US"/>
  <c:chart>
    <c:plotArea>
      <c:layout/>
      <c:lineChart>
        <c:grouping val="standard"/>
        <c:ser>
          <c:idx val="0"/>
          <c:order val="0"/>
          <c:tx>
            <c:strRef>
              <c:f>Sheet3!$B$5</c:f>
              <c:strCache>
                <c:ptCount val="1"/>
                <c:pt idx="0">
                  <c:v>Fetal</c:v>
                </c:pt>
              </c:strCache>
            </c:strRef>
          </c:tx>
          <c:cat>
            <c:strRef>
              <c:f>Sheet3!$C$4:$E$4</c:f>
              <c:strCache>
                <c:ptCount val="3"/>
                <c:pt idx="0">
                  <c:v>Hours/Crash</c:v>
                </c:pt>
                <c:pt idx="1">
                  <c:v>Nos. of Policeman attending a crash</c:v>
                </c:pt>
                <c:pt idx="2">
                  <c:v>Total Time Spent(hrs.)</c:v>
                </c:pt>
              </c:strCache>
            </c:strRef>
          </c:cat>
          <c:val>
            <c:numRef>
              <c:f>Sheet3!$C$5:$E$5</c:f>
              <c:numCache>
                <c:formatCode>General</c:formatCode>
                <c:ptCount val="3"/>
                <c:pt idx="0">
                  <c:v>5</c:v>
                </c:pt>
                <c:pt idx="1">
                  <c:v>7</c:v>
                </c:pt>
                <c:pt idx="2">
                  <c:v>24</c:v>
                </c:pt>
              </c:numCache>
            </c:numRef>
          </c:val>
        </c:ser>
        <c:ser>
          <c:idx val="1"/>
          <c:order val="1"/>
          <c:tx>
            <c:strRef>
              <c:f>Sheet3!$B$6</c:f>
              <c:strCache>
                <c:ptCount val="1"/>
                <c:pt idx="0">
                  <c:v>Major Injuries</c:v>
                </c:pt>
              </c:strCache>
            </c:strRef>
          </c:tx>
          <c:cat>
            <c:strRef>
              <c:f>Sheet3!$C$4:$E$4</c:f>
              <c:strCache>
                <c:ptCount val="3"/>
                <c:pt idx="0">
                  <c:v>Hours/Crash</c:v>
                </c:pt>
                <c:pt idx="1">
                  <c:v>Nos. of Policeman attending a crash</c:v>
                </c:pt>
                <c:pt idx="2">
                  <c:v>Total Time Spent(hrs.)</c:v>
                </c:pt>
              </c:strCache>
            </c:strRef>
          </c:cat>
          <c:val>
            <c:numRef>
              <c:f>Sheet3!$C$6:$E$6</c:f>
              <c:numCache>
                <c:formatCode>General</c:formatCode>
                <c:ptCount val="3"/>
                <c:pt idx="0">
                  <c:v>4</c:v>
                </c:pt>
                <c:pt idx="1">
                  <c:v>5</c:v>
                </c:pt>
                <c:pt idx="2">
                  <c:v>12</c:v>
                </c:pt>
              </c:numCache>
            </c:numRef>
          </c:val>
        </c:ser>
        <c:ser>
          <c:idx val="2"/>
          <c:order val="2"/>
          <c:tx>
            <c:strRef>
              <c:f>Sheet3!$B$7</c:f>
              <c:strCache>
                <c:ptCount val="1"/>
                <c:pt idx="0">
                  <c:v>Minor Injuries</c:v>
                </c:pt>
              </c:strCache>
            </c:strRef>
          </c:tx>
          <c:cat>
            <c:strRef>
              <c:f>Sheet3!$C$4:$E$4</c:f>
              <c:strCache>
                <c:ptCount val="3"/>
                <c:pt idx="0">
                  <c:v>Hours/Crash</c:v>
                </c:pt>
                <c:pt idx="1">
                  <c:v>Nos. of Policeman attending a crash</c:v>
                </c:pt>
                <c:pt idx="2">
                  <c:v>Total Time Spent(hrs.)</c:v>
                </c:pt>
              </c:strCache>
            </c:strRef>
          </c:cat>
          <c:val>
            <c:numRef>
              <c:f>Sheet3!$C$7:$E$7</c:f>
              <c:numCache>
                <c:formatCode>General</c:formatCode>
                <c:ptCount val="3"/>
                <c:pt idx="0">
                  <c:v>3</c:v>
                </c:pt>
                <c:pt idx="1">
                  <c:v>4</c:v>
                </c:pt>
                <c:pt idx="2">
                  <c:v>6</c:v>
                </c:pt>
              </c:numCache>
            </c:numRef>
          </c:val>
        </c:ser>
        <c:marker val="1"/>
        <c:axId val="245615616"/>
        <c:axId val="245842688"/>
      </c:lineChart>
      <c:catAx>
        <c:axId val="245615616"/>
        <c:scaling>
          <c:orientation val="minMax"/>
        </c:scaling>
        <c:axPos val="b"/>
        <c:tickLblPos val="nextTo"/>
        <c:crossAx val="245842688"/>
        <c:crosses val="autoZero"/>
        <c:auto val="1"/>
        <c:lblAlgn val="ctr"/>
        <c:lblOffset val="100"/>
      </c:catAx>
      <c:valAx>
        <c:axId val="245842688"/>
        <c:scaling>
          <c:orientation val="minMax"/>
        </c:scaling>
        <c:axPos val="l"/>
        <c:majorGridlines/>
        <c:numFmt formatCode="General" sourceLinked="1"/>
        <c:tickLblPos val="nextTo"/>
        <c:crossAx val="245615616"/>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en-US"/>
  <c:chart>
    <c:plotArea>
      <c:layout/>
      <c:scatterChart>
        <c:scatterStyle val="lineMarker"/>
        <c:ser>
          <c:idx val="0"/>
          <c:order val="0"/>
          <c:tx>
            <c:strRef>
              <c:f>Sheet1!$D$4</c:f>
              <c:strCache>
                <c:ptCount val="1"/>
                <c:pt idx="0">
                  <c:v>Fatalities</c:v>
                </c:pt>
              </c:strCache>
            </c:strRef>
          </c:tx>
          <c:xVal>
            <c:multiLvlStrRef>
              <c:f>[Data.xlsx]Sheet1!$B$5:$C$16</c:f>
              <c:multiLvlStrCache>
                <c:ptCount val="12"/>
                <c:lvl>
                  <c:pt idx="0">
                    <c:v>Transportation Cost</c:v>
                  </c:pt>
                  <c:pt idx="1">
                    <c:v>Hospital Cost in Patient</c:v>
                  </c:pt>
                  <c:pt idx="2">
                    <c:v>Hospital Cost out Patient</c:v>
                  </c:pt>
                  <c:pt idx="3">
                    <c:v>Funeral Cost</c:v>
                  </c:pt>
                  <c:pt idx="4">
                    <c:v>Total Medical Cost</c:v>
                  </c:pt>
                  <c:pt idx="8">
                    <c:v>Police</c:v>
                  </c:pt>
                  <c:pt idx="9">
                    <c:v>Others Emergency Service</c:v>
                  </c:pt>
                  <c:pt idx="10">
                    <c:v>Insurance Cost</c:v>
                  </c:pt>
                  <c:pt idx="11">
                    <c:v>Total Administration Cost</c:v>
                  </c:pt>
                </c:lvl>
                <c:lvl>
                  <c:pt idx="0">
                    <c:v>Medical Cost</c:v>
                  </c:pt>
                  <c:pt idx="5">
                    <c:v>Production Loss</c:v>
                  </c:pt>
                  <c:pt idx="6">
                    <c:v>Human Cost</c:v>
                  </c:pt>
                  <c:pt idx="7">
                    <c:v>Vehicle Damage</c:v>
                  </c:pt>
                  <c:pt idx="8">
                    <c:v>Administration Cost</c:v>
                  </c:pt>
                </c:lvl>
              </c:multiLvlStrCache>
            </c:multiLvlStrRef>
          </c:xVal>
          <c:yVal>
            <c:numRef>
              <c:f>Sheet1!$D$5:$D$16</c:f>
              <c:numCache>
                <c:formatCode>General</c:formatCode>
                <c:ptCount val="12"/>
                <c:pt idx="0">
                  <c:v>0</c:v>
                </c:pt>
                <c:pt idx="1">
                  <c:v>0.2</c:v>
                </c:pt>
                <c:pt idx="2">
                  <c:v>0</c:v>
                </c:pt>
                <c:pt idx="3">
                  <c:v>6.4</c:v>
                </c:pt>
                <c:pt idx="4">
                  <c:v>6.6000000000000005</c:v>
                </c:pt>
                <c:pt idx="5">
                  <c:v>310</c:v>
                </c:pt>
                <c:pt idx="6">
                  <c:v>3258</c:v>
                </c:pt>
                <c:pt idx="7">
                  <c:v>135</c:v>
                </c:pt>
                <c:pt idx="8">
                  <c:v>1.8</c:v>
                </c:pt>
                <c:pt idx="9">
                  <c:v>0.5</c:v>
                </c:pt>
                <c:pt idx="10">
                  <c:v>0.8</c:v>
                </c:pt>
                <c:pt idx="11">
                  <c:v>0.9</c:v>
                </c:pt>
              </c:numCache>
            </c:numRef>
          </c:yVal>
        </c:ser>
        <c:ser>
          <c:idx val="1"/>
          <c:order val="1"/>
          <c:tx>
            <c:strRef>
              <c:f>Sheet1!$E$4</c:f>
              <c:strCache>
                <c:ptCount val="1"/>
                <c:pt idx="0">
                  <c:v>Major Injuries</c:v>
                </c:pt>
              </c:strCache>
            </c:strRef>
          </c:tx>
          <c:xVal>
            <c:multiLvlStrRef>
              <c:f>[Data.xlsx]Sheet1!$B$5:$C$16</c:f>
              <c:multiLvlStrCache>
                <c:ptCount val="12"/>
                <c:lvl>
                  <c:pt idx="0">
                    <c:v>Transportation Cost</c:v>
                  </c:pt>
                  <c:pt idx="1">
                    <c:v>Hospital Cost in Patient</c:v>
                  </c:pt>
                  <c:pt idx="2">
                    <c:v>Hospital Cost out Patient</c:v>
                  </c:pt>
                  <c:pt idx="3">
                    <c:v>Funeral Cost</c:v>
                  </c:pt>
                  <c:pt idx="4">
                    <c:v>Total Medical Cost</c:v>
                  </c:pt>
                  <c:pt idx="8">
                    <c:v>Police</c:v>
                  </c:pt>
                  <c:pt idx="9">
                    <c:v>Others Emergency Service</c:v>
                  </c:pt>
                  <c:pt idx="10">
                    <c:v>Insurance Cost</c:v>
                  </c:pt>
                  <c:pt idx="11">
                    <c:v>Total Administration Cost</c:v>
                  </c:pt>
                </c:lvl>
                <c:lvl>
                  <c:pt idx="0">
                    <c:v>Medical Cost</c:v>
                  </c:pt>
                  <c:pt idx="5">
                    <c:v>Production Loss</c:v>
                  </c:pt>
                  <c:pt idx="6">
                    <c:v>Human Cost</c:v>
                  </c:pt>
                  <c:pt idx="7">
                    <c:v>Vehicle Damage</c:v>
                  </c:pt>
                  <c:pt idx="8">
                    <c:v>Administration Cost</c:v>
                  </c:pt>
                </c:lvl>
              </c:multiLvlStrCache>
            </c:multiLvlStrRef>
          </c:xVal>
          <c:yVal>
            <c:numRef>
              <c:f>Sheet1!$E$5:$E$16</c:f>
              <c:numCache>
                <c:formatCode>General</c:formatCode>
                <c:ptCount val="12"/>
                <c:pt idx="0">
                  <c:v>1.2</c:v>
                </c:pt>
                <c:pt idx="1">
                  <c:v>21</c:v>
                </c:pt>
                <c:pt idx="2">
                  <c:v>0</c:v>
                </c:pt>
                <c:pt idx="3">
                  <c:v>22.5</c:v>
                </c:pt>
                <c:pt idx="4">
                  <c:v>44.7</c:v>
                </c:pt>
                <c:pt idx="5">
                  <c:v>98</c:v>
                </c:pt>
                <c:pt idx="6">
                  <c:v>2508</c:v>
                </c:pt>
                <c:pt idx="7">
                  <c:v>545</c:v>
                </c:pt>
                <c:pt idx="8">
                  <c:v>2</c:v>
                </c:pt>
                <c:pt idx="9">
                  <c:v>0.9</c:v>
                </c:pt>
                <c:pt idx="10">
                  <c:v>5.2</c:v>
                </c:pt>
                <c:pt idx="11">
                  <c:v>10.5</c:v>
                </c:pt>
              </c:numCache>
            </c:numRef>
          </c:yVal>
        </c:ser>
        <c:ser>
          <c:idx val="2"/>
          <c:order val="2"/>
          <c:tx>
            <c:strRef>
              <c:f>Sheet1!$F$4</c:f>
              <c:strCache>
                <c:ptCount val="1"/>
                <c:pt idx="0">
                  <c:v>Minor Injuries</c:v>
                </c:pt>
              </c:strCache>
            </c:strRef>
          </c:tx>
          <c:xVal>
            <c:multiLvlStrRef>
              <c:f>[Data.xlsx]Sheet1!$B$5:$C$16</c:f>
              <c:multiLvlStrCache>
                <c:ptCount val="12"/>
                <c:lvl>
                  <c:pt idx="0">
                    <c:v>Transportation Cost</c:v>
                  </c:pt>
                  <c:pt idx="1">
                    <c:v>Hospital Cost in Patient</c:v>
                  </c:pt>
                  <c:pt idx="2">
                    <c:v>Hospital Cost out Patient</c:v>
                  </c:pt>
                  <c:pt idx="3">
                    <c:v>Funeral Cost</c:v>
                  </c:pt>
                  <c:pt idx="4">
                    <c:v>Total Medical Cost</c:v>
                  </c:pt>
                  <c:pt idx="8">
                    <c:v>Police</c:v>
                  </c:pt>
                  <c:pt idx="9">
                    <c:v>Others Emergency Service</c:v>
                  </c:pt>
                  <c:pt idx="10">
                    <c:v>Insurance Cost</c:v>
                  </c:pt>
                  <c:pt idx="11">
                    <c:v>Total Administration Cost</c:v>
                  </c:pt>
                </c:lvl>
                <c:lvl>
                  <c:pt idx="0">
                    <c:v>Medical Cost</c:v>
                  </c:pt>
                  <c:pt idx="5">
                    <c:v>Production Loss</c:v>
                  </c:pt>
                  <c:pt idx="6">
                    <c:v>Human Cost</c:v>
                  </c:pt>
                  <c:pt idx="7">
                    <c:v>Vehicle Damage</c:v>
                  </c:pt>
                  <c:pt idx="8">
                    <c:v>Administration Cost</c:v>
                  </c:pt>
                </c:lvl>
              </c:multiLvlStrCache>
            </c:multiLvlStrRef>
          </c:xVal>
          <c:yVal>
            <c:numRef>
              <c:f>Sheet1!$F$5:$F$16</c:f>
              <c:numCache>
                <c:formatCode>General</c:formatCode>
                <c:ptCount val="12"/>
                <c:pt idx="0">
                  <c:v>1.2</c:v>
                </c:pt>
                <c:pt idx="1">
                  <c:v>0</c:v>
                </c:pt>
                <c:pt idx="2">
                  <c:v>0.9</c:v>
                </c:pt>
                <c:pt idx="3">
                  <c:v>1.9000000000000001</c:v>
                </c:pt>
                <c:pt idx="4">
                  <c:v>4</c:v>
                </c:pt>
                <c:pt idx="5">
                  <c:v>25</c:v>
                </c:pt>
                <c:pt idx="6">
                  <c:v>1550</c:v>
                </c:pt>
                <c:pt idx="7">
                  <c:v>645</c:v>
                </c:pt>
                <c:pt idx="8">
                  <c:v>1.8</c:v>
                </c:pt>
                <c:pt idx="9">
                  <c:v>1.2</c:v>
                </c:pt>
                <c:pt idx="10">
                  <c:v>16.2</c:v>
                </c:pt>
                <c:pt idx="11">
                  <c:v>28.6</c:v>
                </c:pt>
              </c:numCache>
            </c:numRef>
          </c:yVal>
        </c:ser>
        <c:ser>
          <c:idx val="3"/>
          <c:order val="3"/>
          <c:tx>
            <c:strRef>
              <c:f>Sheet1!$G$4</c:f>
              <c:strCache>
                <c:ptCount val="1"/>
                <c:pt idx="0">
                  <c:v>Total</c:v>
                </c:pt>
              </c:strCache>
            </c:strRef>
          </c:tx>
          <c:xVal>
            <c:multiLvlStrRef>
              <c:f>[Data.xlsx]Sheet1!$B$5:$C$16</c:f>
              <c:multiLvlStrCache>
                <c:ptCount val="12"/>
                <c:lvl>
                  <c:pt idx="0">
                    <c:v>Transportation Cost</c:v>
                  </c:pt>
                  <c:pt idx="1">
                    <c:v>Hospital Cost in Patient</c:v>
                  </c:pt>
                  <c:pt idx="2">
                    <c:v>Hospital Cost out Patient</c:v>
                  </c:pt>
                  <c:pt idx="3">
                    <c:v>Funeral Cost</c:v>
                  </c:pt>
                  <c:pt idx="4">
                    <c:v>Total Medical Cost</c:v>
                  </c:pt>
                  <c:pt idx="8">
                    <c:v>Police</c:v>
                  </c:pt>
                  <c:pt idx="9">
                    <c:v>Others Emergency Service</c:v>
                  </c:pt>
                  <c:pt idx="10">
                    <c:v>Insurance Cost</c:v>
                  </c:pt>
                  <c:pt idx="11">
                    <c:v>Total Administration Cost</c:v>
                  </c:pt>
                </c:lvl>
                <c:lvl>
                  <c:pt idx="0">
                    <c:v>Medical Cost</c:v>
                  </c:pt>
                  <c:pt idx="5">
                    <c:v>Production Loss</c:v>
                  </c:pt>
                  <c:pt idx="6">
                    <c:v>Human Cost</c:v>
                  </c:pt>
                  <c:pt idx="7">
                    <c:v>Vehicle Damage</c:v>
                  </c:pt>
                  <c:pt idx="8">
                    <c:v>Administration Cost</c:v>
                  </c:pt>
                </c:lvl>
              </c:multiLvlStrCache>
            </c:multiLvlStrRef>
          </c:xVal>
          <c:yVal>
            <c:numRef>
              <c:f>Sheet1!$G$5:$G$16</c:f>
              <c:numCache>
                <c:formatCode>General</c:formatCode>
                <c:ptCount val="12"/>
                <c:pt idx="0">
                  <c:v>2.4</c:v>
                </c:pt>
                <c:pt idx="1">
                  <c:v>21.2</c:v>
                </c:pt>
                <c:pt idx="2">
                  <c:v>0.9</c:v>
                </c:pt>
                <c:pt idx="3">
                  <c:v>30.799999999999986</c:v>
                </c:pt>
                <c:pt idx="4">
                  <c:v>55.3</c:v>
                </c:pt>
                <c:pt idx="5">
                  <c:v>433</c:v>
                </c:pt>
                <c:pt idx="6">
                  <c:v>7316</c:v>
                </c:pt>
                <c:pt idx="7">
                  <c:v>1325</c:v>
                </c:pt>
                <c:pt idx="8">
                  <c:v>5.6</c:v>
                </c:pt>
                <c:pt idx="9">
                  <c:v>2.5999999999999988</c:v>
                </c:pt>
                <c:pt idx="10">
                  <c:v>22.2</c:v>
                </c:pt>
                <c:pt idx="11">
                  <c:v>40</c:v>
                </c:pt>
              </c:numCache>
            </c:numRef>
          </c:yVal>
        </c:ser>
        <c:axId val="245860608"/>
        <c:axId val="245874688"/>
      </c:scatterChart>
      <c:valAx>
        <c:axId val="245860608"/>
        <c:scaling>
          <c:orientation val="minMax"/>
        </c:scaling>
        <c:axPos val="b"/>
        <c:tickLblPos val="nextTo"/>
        <c:crossAx val="245874688"/>
        <c:crosses val="autoZero"/>
        <c:crossBetween val="midCat"/>
      </c:valAx>
      <c:valAx>
        <c:axId val="245874688"/>
        <c:scaling>
          <c:orientation val="minMax"/>
        </c:scaling>
        <c:axPos val="l"/>
        <c:majorGridlines/>
        <c:numFmt formatCode="General" sourceLinked="1"/>
        <c:tickLblPos val="nextTo"/>
        <c:crossAx val="245860608"/>
        <c:crosses val="autoZero"/>
        <c:crossBetween val="midCat"/>
      </c:valAx>
    </c:plotArea>
    <c:legend>
      <c:legendPos val="r"/>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32</Pages>
  <Words>9211</Words>
  <Characters>52508</Characters>
  <Application>Microsoft Office Word</Application>
  <DocSecurity>0</DocSecurity>
  <Lines>437</Lines>
  <Paragraphs>123</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        Crash Causation Factors</vt:lpstr>
      <vt:lpstr>        Crash Types and Patterns</vt:lpstr>
      <vt:lpstr>        Crash Severity</vt:lpstr>
      <vt:lpstr>        Crash Prevention and Control Measures</vt:lpstr>
      <vt:lpstr>        Traffic Safety Models</vt:lpstr>
      <vt:lpstr>        Applications of WTP in Road Traffic Accidents:</vt:lpstr>
      <vt:lpstr>        How the WTP Method is applied:</vt:lpstr>
      <vt:lpstr>        Equation for Estimating WTP:</vt:lpstr>
      <vt:lpstr>        Analysis for Developing Countries</vt:lpstr>
    </vt:vector>
  </TitlesOfParts>
  <Company/>
  <LinksUpToDate>false</LinksUpToDate>
  <CharactersWithSpaces>61596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2024-11-10T16:17:00Z</cp:lastPrinted>
  <dcterms:created xsi:type="dcterms:W3CDTF">2025-05-26T10:21:00Z</dcterms:created>
  <dcterms:modified xsi:type="dcterms:W3CDTF">2025-07-11T05:06:00Z</dcterms:modified>
</cp:coreProperties>
</file>