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5CB4" w14:textId="77777777" w:rsidR="005A48EB" w:rsidRPr="005D6700" w:rsidRDefault="005A48EB" w:rsidP="005A48EB">
      <w:pPr>
        <w:rPr>
          <w:b/>
          <w:bCs/>
        </w:rPr>
      </w:pPr>
      <w:r w:rsidRPr="005D6700">
        <w:rPr>
          <w:b/>
          <w:bCs/>
        </w:rPr>
        <w:t>EXTENDED FIGURES</w:t>
      </w:r>
    </w:p>
    <w:p w14:paraId="74D568D0" w14:textId="77777777" w:rsidR="005A48EB" w:rsidRPr="007648D1" w:rsidRDefault="005A48EB" w:rsidP="005A48EB">
      <w:pPr>
        <w:spacing w:before="100" w:beforeAutospacing="1" w:after="100" w:afterAutospacing="1"/>
        <w:outlineLvl w:val="2"/>
        <w:rPr>
          <w:b/>
          <w:bCs/>
        </w:rPr>
      </w:pPr>
      <w:r w:rsidRPr="007648D1">
        <w:rPr>
          <w:b/>
          <w:bCs/>
        </w:rPr>
        <w:t xml:space="preserve">Extended Figure 1. </w:t>
      </w:r>
      <w:r>
        <w:rPr>
          <w:b/>
          <w:bCs/>
        </w:rPr>
        <w:t xml:space="preserve">TotalX </w:t>
      </w:r>
      <w:r w:rsidRPr="00A204CE">
        <w:rPr>
          <w:b/>
          <w:bCs/>
        </w:rPr>
        <w:t>experimental workflow and</w:t>
      </w:r>
      <w:r>
        <w:t xml:space="preserve"> </w:t>
      </w:r>
      <w:r>
        <w:rPr>
          <w:b/>
          <w:bCs/>
        </w:rPr>
        <w:t>analysis pipeline.</w:t>
      </w:r>
    </w:p>
    <w:p w14:paraId="3A22E47B" w14:textId="77777777" w:rsidR="005A48EB" w:rsidRPr="007648D1" w:rsidRDefault="005A48EB" w:rsidP="005A48EB">
      <w:pPr>
        <w:spacing w:before="100" w:beforeAutospacing="1" w:after="100" w:afterAutospacing="1"/>
      </w:pPr>
      <w:r w:rsidRPr="007648D1">
        <w:rPr>
          <w:b/>
          <w:bCs/>
        </w:rPr>
        <w:t>a.</w:t>
      </w:r>
      <w:r w:rsidRPr="007648D1">
        <w:t xml:space="preserve"> Schematic overview of the </w:t>
      </w:r>
      <w:r>
        <w:t>Total</w:t>
      </w:r>
      <w:r w:rsidRPr="007648D1">
        <w:t xml:space="preserve">X workflow. Total RNA is enzymatically polyadenylated and reverse transcribed using a custom template-switching oligo (TSO). The TSO is then selectively removed, followed by Cas9-based rRNA depletion (DASH) at the cDNA level. Resulting cDNA fragments are size-separated, with short (&lt;400 bp) and long (&gt;400 bp) fractions indexed independently and pooled for sequencing. </w:t>
      </w:r>
      <w:r>
        <w:t>An optional gel-purified miRNA fraction (~18–50 bp) enables targeted enrichment of mature small RNAs.</w:t>
      </w:r>
    </w:p>
    <w:p w14:paraId="67A41255" w14:textId="77777777" w:rsidR="005A48EB" w:rsidRPr="007648D1" w:rsidRDefault="005A48EB" w:rsidP="005A48EB">
      <w:pPr>
        <w:spacing w:before="100" w:beforeAutospacing="1" w:after="100" w:afterAutospacing="1"/>
      </w:pPr>
      <w:r w:rsidRPr="007648D1">
        <w:rPr>
          <w:b/>
          <w:bCs/>
        </w:rPr>
        <w:t>b.</w:t>
      </w:r>
      <w:r w:rsidRPr="007648D1">
        <w:t xml:space="preserve"> </w:t>
      </w:r>
      <w:r>
        <w:t>S</w:t>
      </w:r>
      <w:r w:rsidRPr="007648D1">
        <w:t xml:space="preserve">tructure </w:t>
      </w:r>
      <w:r>
        <w:t>of the short-fragment</w:t>
      </w:r>
      <w:r w:rsidRPr="007648D1">
        <w:t xml:space="preserve"> </w:t>
      </w:r>
      <w:r>
        <w:t>indexed library. The short-fragment indexed libraries can optionally undergo Pippin gel selection system to obtain</w:t>
      </w:r>
      <w:r w:rsidRPr="007648D1">
        <w:t xml:space="preserve"> miRNA-enriched </w:t>
      </w:r>
      <w:r>
        <w:t>libraries</w:t>
      </w:r>
      <w:r w:rsidRPr="007648D1">
        <w:t xml:space="preserve">. </w:t>
      </w:r>
    </w:p>
    <w:p w14:paraId="1C6023F1" w14:textId="77777777" w:rsidR="005A48EB" w:rsidRDefault="005A48EB" w:rsidP="005A48EB">
      <w:pPr>
        <w:spacing w:before="100" w:beforeAutospacing="1" w:after="100" w:afterAutospacing="1"/>
      </w:pPr>
      <w:r w:rsidRPr="007648D1">
        <w:rPr>
          <w:b/>
          <w:bCs/>
        </w:rPr>
        <w:t>c.</w:t>
      </w:r>
      <w:r w:rsidRPr="007648D1">
        <w:t xml:space="preserve"> Workflow for combining </w:t>
      </w:r>
      <w:r>
        <w:t xml:space="preserve">short RNA, </w:t>
      </w:r>
      <w:r w:rsidRPr="007648D1">
        <w:t>miRNA-enriched and standard cDNA fractions. The resulting composite library captures a broad range of transcript sizes and biotypes.</w:t>
      </w:r>
    </w:p>
    <w:p w14:paraId="2F4F9EF5" w14:textId="77777777" w:rsidR="005A48EB" w:rsidRPr="007648D1" w:rsidRDefault="005A48EB" w:rsidP="005A48EB">
      <w:pPr>
        <w:spacing w:before="100" w:beforeAutospacing="1" w:after="100" w:afterAutospacing="1"/>
      </w:pPr>
      <w:r>
        <w:rPr>
          <w:b/>
          <w:bCs/>
        </w:rPr>
        <w:t>d</w:t>
      </w:r>
      <w:r w:rsidRPr="007648D1">
        <w:rPr>
          <w:b/>
          <w:bCs/>
        </w:rPr>
        <w:t>.</w:t>
      </w:r>
      <w:r w:rsidRPr="007648D1">
        <w:t xml:space="preserve"> </w:t>
      </w:r>
      <w:r>
        <w:t>Cell Ranger-based data analysis pipeline of TotalX.</w:t>
      </w:r>
    </w:p>
    <w:p w14:paraId="1C91DEA5" w14:textId="77777777" w:rsidR="005A48EB" w:rsidRPr="007648D1" w:rsidRDefault="005A48EB" w:rsidP="005A48EB">
      <w:pPr>
        <w:spacing w:before="100" w:beforeAutospacing="1" w:after="100" w:afterAutospacing="1"/>
      </w:pPr>
      <w:r>
        <w:rPr>
          <w:b/>
          <w:bCs/>
        </w:rPr>
        <w:t>e</w:t>
      </w:r>
      <w:r w:rsidRPr="007648D1">
        <w:rPr>
          <w:b/>
          <w:bCs/>
        </w:rPr>
        <w:t>.</w:t>
      </w:r>
      <w:r w:rsidRPr="007648D1">
        <w:t xml:space="preserve"> </w:t>
      </w:r>
      <w:r>
        <w:t>Examples of gene coverage profiles for representative miRNAs located within the lncRNA locus (top), intron of a protein coding gene (middle) and exon of a protein coding gene (bottom)</w:t>
      </w:r>
      <w:r w:rsidRPr="007648D1">
        <w:t xml:space="preserve">. </w:t>
      </w:r>
      <w:r>
        <w:t>Bam file used for the coverage plots was generated with the modified Cell Ranger pipeline.</w:t>
      </w:r>
    </w:p>
    <w:p w14:paraId="231717EA" w14:textId="77777777" w:rsidR="005A48EB" w:rsidRPr="005D6700" w:rsidRDefault="005A48EB" w:rsidP="005A48EB">
      <w:pPr>
        <w:rPr>
          <w:b/>
          <w:bCs/>
        </w:rPr>
      </w:pPr>
    </w:p>
    <w:p w14:paraId="47FD39C9" w14:textId="77777777" w:rsidR="005A48EB" w:rsidRPr="005D6700" w:rsidRDefault="005A48EB" w:rsidP="005A48EB">
      <w:pPr>
        <w:rPr>
          <w:b/>
          <w:bCs/>
        </w:rPr>
      </w:pPr>
    </w:p>
    <w:p w14:paraId="589E9C53" w14:textId="77777777" w:rsidR="005A48EB" w:rsidRPr="007648D1" w:rsidRDefault="005A48EB" w:rsidP="005A48EB">
      <w:r w:rsidRPr="007648D1">
        <w:rPr>
          <w:b/>
          <w:bCs/>
        </w:rPr>
        <w:t xml:space="preserve">Extended Figure 2. Performance benchmarking of </w:t>
      </w:r>
      <w:r w:rsidRPr="001E47BC">
        <w:rPr>
          <w:b/>
          <w:bCs/>
        </w:rPr>
        <w:t>TotalX</w:t>
      </w:r>
      <w:r w:rsidRPr="007648D1">
        <w:rPr>
          <w:b/>
          <w:bCs/>
        </w:rPr>
        <w:t xml:space="preserve"> libraries by gene complexity, biotype diversity, and throughput.</w:t>
      </w:r>
    </w:p>
    <w:p w14:paraId="57E000DB" w14:textId="77777777" w:rsidR="005A48EB" w:rsidRPr="007648D1" w:rsidRDefault="005A48EB" w:rsidP="005A48EB">
      <w:pPr>
        <w:spacing w:before="100" w:beforeAutospacing="1" w:after="100" w:afterAutospacing="1"/>
      </w:pPr>
      <w:r w:rsidRPr="007648D1">
        <w:rPr>
          <w:b/>
          <w:bCs/>
        </w:rPr>
        <w:t>a.</w:t>
      </w:r>
      <w:r w:rsidRPr="007648D1">
        <w:t xml:space="preserve"> Number of </w:t>
      </w:r>
      <w:r>
        <w:t>cells per dataset for 10x Genomics, VASA-seq, and TotalX libraries.</w:t>
      </w:r>
    </w:p>
    <w:p w14:paraId="478DB031" w14:textId="77777777" w:rsidR="005A48EB" w:rsidRDefault="005A48EB" w:rsidP="005A48EB">
      <w:pPr>
        <w:spacing w:before="100" w:beforeAutospacing="1" w:after="100" w:afterAutospacing="1"/>
      </w:pPr>
      <w:r w:rsidRPr="007648D1">
        <w:rPr>
          <w:b/>
          <w:bCs/>
        </w:rPr>
        <w:t>b.</w:t>
      </w:r>
      <w:r w:rsidRPr="007648D1">
        <w:t xml:space="preserve"> </w:t>
      </w:r>
      <w:r>
        <w:t>Relationship between UMIs per cell and number of genes detected per cell across datasets and library configurations.</w:t>
      </w:r>
    </w:p>
    <w:p w14:paraId="21AD3174" w14:textId="77777777" w:rsidR="005A48EB" w:rsidRPr="007648D1" w:rsidRDefault="005A48EB" w:rsidP="005A48EB">
      <w:pPr>
        <w:spacing w:before="100" w:beforeAutospacing="1" w:after="100" w:afterAutospacing="1"/>
      </w:pPr>
      <w:r w:rsidRPr="007648D1">
        <w:rPr>
          <w:b/>
          <w:bCs/>
        </w:rPr>
        <w:t>c.</w:t>
      </w:r>
      <w:r>
        <w:rPr>
          <w:b/>
          <w:bCs/>
        </w:rPr>
        <w:t xml:space="preserve"> </w:t>
      </w:r>
      <w:r>
        <w:t>Schematic overview of library preparation workflows, including 10x-CustomTSO (10x-dUTSO), TotalX, and TotalX with or without DASH treatment</w:t>
      </w:r>
      <w:r w:rsidRPr="007648D1">
        <w:t xml:space="preserve">. Three representative configurations are illustrated: </w:t>
      </w:r>
      <w:r>
        <w:t>TotalX</w:t>
      </w:r>
      <w:r w:rsidRPr="007648D1">
        <w:t xml:space="preserve"> with miRNA enrichment and </w:t>
      </w:r>
      <w:r>
        <w:t xml:space="preserve">two rounds of </w:t>
      </w:r>
      <w:r w:rsidRPr="007648D1">
        <w:t xml:space="preserve">DASH (miRNA(+)/DASH(++)), </w:t>
      </w:r>
      <w:r>
        <w:t>TotalX</w:t>
      </w:r>
      <w:r w:rsidRPr="007648D1">
        <w:t xml:space="preserve"> with miRNA enrichment but no DASH (miRNA(+)/DASH(–)), and standard </w:t>
      </w:r>
      <w:r>
        <w:t>TotalX</w:t>
      </w:r>
      <w:r w:rsidRPr="007648D1">
        <w:t xml:space="preserve"> without additional modifications. </w:t>
      </w:r>
    </w:p>
    <w:p w14:paraId="0C4EE6F7" w14:textId="77777777" w:rsidR="005A48EB" w:rsidRDefault="005A48EB" w:rsidP="005A48EB">
      <w:pPr>
        <w:spacing w:before="100" w:beforeAutospacing="1" w:after="100" w:afterAutospacing="1"/>
      </w:pPr>
      <w:r w:rsidRPr="007648D1">
        <w:rPr>
          <w:b/>
          <w:bCs/>
        </w:rPr>
        <w:t>d.</w:t>
      </w:r>
      <w:r w:rsidRPr="007648D1">
        <w:t xml:space="preserve"> </w:t>
      </w:r>
      <w:r>
        <w:t>Summary of sequencing library construction and pooling strategies, for each tested library configuration.</w:t>
      </w:r>
    </w:p>
    <w:p w14:paraId="49FF5192" w14:textId="77777777" w:rsidR="005A48EB" w:rsidRDefault="005A48EB" w:rsidP="005A48EB">
      <w:pPr>
        <w:spacing w:before="100" w:beforeAutospacing="1" w:after="100" w:afterAutospacing="1"/>
      </w:pPr>
      <w:r w:rsidRPr="007648D1">
        <w:rPr>
          <w:b/>
          <w:bCs/>
        </w:rPr>
        <w:t>e.</w:t>
      </w:r>
      <w:r w:rsidRPr="007648D1">
        <w:t xml:space="preserve"> </w:t>
      </w:r>
      <w:r>
        <w:t>Percentage of reads mapped to the genome and confidently mapped to the transcriptome across different library types.</w:t>
      </w:r>
    </w:p>
    <w:p w14:paraId="62E91E96" w14:textId="77777777" w:rsidR="005A48EB" w:rsidRDefault="005A48EB" w:rsidP="005A48EB">
      <w:pPr>
        <w:spacing w:before="100" w:beforeAutospacing="1" w:after="100" w:afterAutospacing="1"/>
      </w:pPr>
      <w:r>
        <w:rPr>
          <w:b/>
          <w:bCs/>
        </w:rPr>
        <w:t>f</w:t>
      </w:r>
      <w:r w:rsidRPr="007648D1">
        <w:rPr>
          <w:b/>
          <w:bCs/>
        </w:rPr>
        <w:t>.</w:t>
      </w:r>
      <w:r w:rsidRPr="007648D1">
        <w:t xml:space="preserve"> </w:t>
      </w:r>
      <w:r>
        <w:t>Fraction of uniquely mapped annotated reads per cell, stratified by RNA biotype.</w:t>
      </w:r>
    </w:p>
    <w:p w14:paraId="24474473" w14:textId="77777777" w:rsidR="005A48EB" w:rsidRPr="007648D1" w:rsidRDefault="005A48EB" w:rsidP="005A48EB">
      <w:pPr>
        <w:spacing w:before="100" w:beforeAutospacing="1" w:after="100" w:afterAutospacing="1"/>
      </w:pPr>
      <w:r w:rsidRPr="007648D1">
        <w:rPr>
          <w:b/>
          <w:bCs/>
        </w:rPr>
        <w:lastRenderedPageBreak/>
        <w:t>g.</w:t>
      </w:r>
      <w:r w:rsidRPr="007648D1">
        <w:t xml:space="preserve"> </w:t>
      </w:r>
      <w:r>
        <w:t>Contribution of non-coding RNA biotypes (e.g., snRNA, tRNA, snoRNA, miRNA, miscRNA, lncRNA) to uniquely mapped reads per cell across methods.</w:t>
      </w:r>
    </w:p>
    <w:p w14:paraId="5D19AF17" w14:textId="77777777" w:rsidR="005A48EB" w:rsidRPr="005D6700" w:rsidRDefault="005A48EB" w:rsidP="005A48EB">
      <w:pPr>
        <w:spacing w:before="100" w:beforeAutospacing="1" w:after="100" w:afterAutospacing="1"/>
      </w:pPr>
    </w:p>
    <w:p w14:paraId="3D5EF1DA" w14:textId="77777777" w:rsidR="005A48EB" w:rsidRPr="00953346" w:rsidRDefault="005A48EB" w:rsidP="005A48EB">
      <w:pPr>
        <w:spacing w:before="100" w:beforeAutospacing="1" w:after="100" w:afterAutospacing="1"/>
      </w:pPr>
      <w:r w:rsidRPr="00953346">
        <w:rPr>
          <w:b/>
          <w:bCs/>
        </w:rPr>
        <w:t>Extended Figure 3. Comparative profiling of PBMC subtypes across protocols and sensitivity of monocytes to enzymatic polyadenylation.</w:t>
      </w:r>
    </w:p>
    <w:p w14:paraId="7E7112A1" w14:textId="77777777" w:rsidR="005A48EB" w:rsidRPr="00953346" w:rsidRDefault="005A48EB" w:rsidP="005A48EB">
      <w:pPr>
        <w:spacing w:before="100" w:beforeAutospacing="1" w:after="100" w:afterAutospacing="1"/>
      </w:pPr>
      <w:r w:rsidRPr="00953346">
        <w:rPr>
          <w:b/>
          <w:bCs/>
        </w:rPr>
        <w:t>a.</w:t>
      </w:r>
      <w:r w:rsidRPr="00953346">
        <w:t xml:space="preserve"> Dot plot showing expression of canonical marker genes across annotated immune cell types, including major T cell subsets, monocytes, NK cells, dendritic cells, basophils, plasmablasts, and platelets. Marker genes were used for manual annotation of cell clusters in </w:t>
      </w:r>
      <w:r>
        <w:t>TotalX</w:t>
      </w:r>
      <w:r w:rsidRPr="00953346">
        <w:t xml:space="preserve">, 10x-dUTSO, and </w:t>
      </w:r>
      <w:r>
        <w:t>TotalX</w:t>
      </w:r>
      <w:r w:rsidRPr="00953346">
        <w:t>+miRNA(+) protocols.</w:t>
      </w:r>
    </w:p>
    <w:p w14:paraId="52E4B3E8" w14:textId="77777777" w:rsidR="005A48EB" w:rsidRPr="00953346" w:rsidRDefault="005A48EB" w:rsidP="005A48EB">
      <w:pPr>
        <w:spacing w:before="100" w:beforeAutospacing="1" w:after="100" w:afterAutospacing="1"/>
      </w:pPr>
      <w:r w:rsidRPr="00953346">
        <w:rPr>
          <w:b/>
          <w:bCs/>
        </w:rPr>
        <w:t>b.</w:t>
      </w:r>
      <w:r w:rsidRPr="00953346">
        <w:t xml:space="preserve"> UMAP of PBMCs colored by protocol, demonstrating that </w:t>
      </w:r>
      <w:r>
        <w:t>TotalX</w:t>
      </w:r>
      <w:r w:rsidRPr="00953346">
        <w:t xml:space="preserve"> and </w:t>
      </w:r>
      <w:r>
        <w:t>TotalX</w:t>
      </w:r>
      <w:r w:rsidRPr="00953346">
        <w:t xml:space="preserve"> + retain consistent clustering and recover all expected immune populations observed in the 10x-dUTSO control.</w:t>
      </w:r>
    </w:p>
    <w:p w14:paraId="2AD6AA38" w14:textId="77777777" w:rsidR="005A48EB" w:rsidRPr="00953346" w:rsidRDefault="005A48EB" w:rsidP="005A48EB">
      <w:pPr>
        <w:spacing w:before="100" w:beforeAutospacing="1" w:after="100" w:afterAutospacing="1"/>
      </w:pPr>
      <w:r w:rsidRPr="00953346">
        <w:rPr>
          <w:b/>
          <w:bCs/>
        </w:rPr>
        <w:t>c.</w:t>
      </w:r>
      <w:r w:rsidRPr="00953346">
        <w:t xml:space="preserve"> Left: Bubble plot of relative frequencies of immune cell types across protocols. Right: Absolute numbers of cells recovered by </w:t>
      </w:r>
      <w:r>
        <w:t>TotalX</w:t>
      </w:r>
      <w:r w:rsidRPr="00953346">
        <w:t xml:space="preserve">, </w:t>
      </w:r>
      <w:r>
        <w:t>TotalX</w:t>
      </w:r>
      <w:r w:rsidRPr="00953346">
        <w:t xml:space="preserve"> </w:t>
      </w:r>
      <w:r>
        <w:t>pA+</w:t>
      </w:r>
      <w:r w:rsidRPr="00953346">
        <w:t xml:space="preserve">+ and 10x-dUTSO. </w:t>
      </w:r>
      <w:r>
        <w:t>TotalX</w:t>
      </w:r>
      <w:r w:rsidRPr="00953346">
        <w:t xml:space="preserve"> recovers comparable or greater numbers of low-RNA-content populations (e.g., platelets, basophils, proerythroblasts).</w:t>
      </w:r>
    </w:p>
    <w:p w14:paraId="084CDF25" w14:textId="77777777" w:rsidR="005A48EB" w:rsidRPr="00953346" w:rsidRDefault="005A48EB" w:rsidP="005A48EB">
      <w:pPr>
        <w:spacing w:before="100" w:beforeAutospacing="1" w:after="100" w:afterAutospacing="1"/>
      </w:pPr>
      <w:r w:rsidRPr="00953346">
        <w:rPr>
          <w:b/>
          <w:bCs/>
        </w:rPr>
        <w:t>d.</w:t>
      </w:r>
      <w:r w:rsidRPr="00953346">
        <w:t xml:space="preserve"> Violin plots showing the number of genes (left) and UMIs (right) detected per cell type. Low-content cell types such as platelets and basophils show improved gene detection under </w:t>
      </w:r>
      <w:r>
        <w:t>TotalX</w:t>
      </w:r>
      <w:r w:rsidRPr="00953346">
        <w:t>, while other major cell types are comparable across protocols.</w:t>
      </w:r>
    </w:p>
    <w:p w14:paraId="081935C8" w14:textId="77777777" w:rsidR="005A48EB" w:rsidRPr="00953346" w:rsidRDefault="005A48EB" w:rsidP="005A48EB">
      <w:pPr>
        <w:spacing w:before="100" w:beforeAutospacing="1" w:after="100" w:afterAutospacing="1"/>
      </w:pPr>
      <w:r w:rsidRPr="00953346">
        <w:rPr>
          <w:b/>
          <w:bCs/>
        </w:rPr>
        <w:t>e.</w:t>
      </w:r>
      <w:r w:rsidRPr="00953346">
        <w:t xml:space="preserve"> UMAP focused on monocyte populations reveals a distinct subcluster of CD14+ monocytes in </w:t>
      </w:r>
      <w:r>
        <w:t>TotalX</w:t>
      </w:r>
      <w:r w:rsidRPr="00953346">
        <w:t xml:space="preserve"> + showing transcriptional divergence, indicative of sensitivity to protocol conditions.</w:t>
      </w:r>
    </w:p>
    <w:p w14:paraId="4A30FAFE" w14:textId="77777777" w:rsidR="005A48EB" w:rsidRPr="00953346" w:rsidRDefault="005A48EB" w:rsidP="005A48EB">
      <w:pPr>
        <w:spacing w:before="100" w:beforeAutospacing="1" w:after="100" w:afterAutospacing="1"/>
      </w:pPr>
      <w:r w:rsidRPr="00953346">
        <w:rPr>
          <w:b/>
          <w:bCs/>
        </w:rPr>
        <w:t>f.</w:t>
      </w:r>
      <w:r w:rsidRPr="00953346">
        <w:t xml:space="preserve"> Dot plot showing selective upregulation of JARID2, GAB2, and APOBEC3A, along with downregulation of canonical monocyte markers (e.g., LYZ, CD14), in CD14+ monocytes exposed to increasing concentrations of ATP and polyA polymerase. These cells also show enrichment for apoptosis and chromatin remodeling genes.</w:t>
      </w:r>
    </w:p>
    <w:p w14:paraId="5419CB19" w14:textId="77777777" w:rsidR="005A48EB" w:rsidRPr="00953346" w:rsidRDefault="005A48EB" w:rsidP="005A48EB">
      <w:pPr>
        <w:spacing w:before="100" w:beforeAutospacing="1" w:after="100" w:afterAutospacing="1"/>
      </w:pPr>
      <w:r w:rsidRPr="00953346">
        <w:rPr>
          <w:b/>
          <w:bCs/>
        </w:rPr>
        <w:t>g.</w:t>
      </w:r>
      <w:r w:rsidRPr="00953346">
        <w:t xml:space="preserve"> Violin plots showing global decrease in gene detection and increased mitochondrial RNA content in the sensitive monocyte subpopulation, consistent with stress or partial identity loss under certain enzymatic conditions.</w:t>
      </w:r>
    </w:p>
    <w:p w14:paraId="7C915C57" w14:textId="77777777" w:rsidR="005A48EB" w:rsidRPr="005D6700" w:rsidRDefault="005A48EB" w:rsidP="005A48EB">
      <w:pPr>
        <w:pStyle w:val="NormalWeb"/>
        <w:rPr>
          <w:rStyle w:val="Strong"/>
          <w:rFonts w:eastAsiaTheme="majorEastAsia"/>
        </w:rPr>
      </w:pPr>
    </w:p>
    <w:p w14:paraId="6F9062C6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Extended Figure 4. Cell-type specificity and co-expression patterns of non-coding RNAs in PBMCs.</w:t>
      </w:r>
    </w:p>
    <w:p w14:paraId="112A38CC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a.</w:t>
      </w:r>
      <w:r w:rsidRPr="005D6700">
        <w:t xml:space="preserve"> Number of genes detected per RNA biotype (minimum expression in ≥3 cells) in the </w:t>
      </w:r>
      <w:r>
        <w:t>TotalX</w:t>
      </w:r>
      <w:r w:rsidRPr="005D6700">
        <w:t xml:space="preserve"> PBMC dataset. Biotypes include protein-coding genes, lncRNAs, tRNAs, snoRNAs, snRNAs, </w:t>
      </w:r>
      <w:r w:rsidRPr="005D6700">
        <w:lastRenderedPageBreak/>
        <w:t xml:space="preserve">histone RNAs, miRNAs, and miscellaneous RNAs, reflecting </w:t>
      </w:r>
      <w:r>
        <w:t>TotalX</w:t>
      </w:r>
      <w:r w:rsidRPr="005D6700">
        <w:t>’s capacity to capture broad transcript classes.</w:t>
      </w:r>
    </w:p>
    <w:p w14:paraId="1BD1AF1F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b.</w:t>
      </w:r>
      <w:r w:rsidRPr="005D6700">
        <w:t xml:space="preserve"> Cell-type specific differentially expressed genes (DEGs) stratified by RNA biotype. Bars indicate the number of DEGs (FDR &lt; 0.01) for each cell type and RNA class. While protein-coding genes remain dominant, multiple non-coding biotypes exhibit strong cell-type–specific expression—e.g., lncRNAs in monocytes, miRNAs in lymphocytes, and snRNAs in plasmacytoid dendritic cells (pDCs).</w:t>
      </w:r>
    </w:p>
    <w:p w14:paraId="5637F6E7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c.</w:t>
      </w:r>
      <w:r w:rsidRPr="005D6700">
        <w:t xml:space="preserve"> Relationship between amino acid demand (based on codon usage of expressed genes) and tRNA supply (measured by </w:t>
      </w:r>
      <w:r>
        <w:t>TotalX</w:t>
      </w:r>
      <w:r w:rsidRPr="005D6700">
        <w:t>) across immune cell types. The strong correlation (Pearson r = 0.79, p = 1.59e–66) confirms internal consistency and biological relevance of captured tRNA profiles. Selected amino acids such as Arginine and Glycine show relative oversupply, whereas Tryptophan and Phenylalanine are undersupplied.</w:t>
      </w:r>
    </w:p>
    <w:p w14:paraId="3C07D010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d.</w:t>
      </w:r>
      <w:r w:rsidRPr="005D6700">
        <w:t xml:space="preserve"> Eigengene expression of co-expression modules across PBMC cell types, as identified by WGCNA. Blue modules are enriched in protein-coding content, whereas red modules include higher fractions of non-coding RNAs. Module 24 is enriched in CD14+ monocytes and T cells, while Module 7 is platelet-specific.</w:t>
      </w:r>
    </w:p>
    <w:p w14:paraId="12C5CEFB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e.</w:t>
      </w:r>
      <w:r w:rsidRPr="005D6700">
        <w:t xml:space="preserve"> Fraction of non-coding genes in each WGCNA module. Several modules (e.g., 1, 2, 6, 7) include substantial non-coding content, suggesting that cell identity and function are encoded in mixed coding/non-coding programs. </w:t>
      </w:r>
      <w:r>
        <w:t>Total g</w:t>
      </w:r>
      <w:r w:rsidRPr="005D6700">
        <w:t>ene counts per module are indicated above each bar.</w:t>
      </w:r>
    </w:p>
    <w:p w14:paraId="49A22C81" w14:textId="77777777" w:rsidR="005A48EB" w:rsidRPr="005D6700" w:rsidRDefault="005A48EB" w:rsidP="005A48EB">
      <w:pPr>
        <w:pStyle w:val="NormalWeb"/>
        <w:rPr>
          <w:rStyle w:val="Strong"/>
          <w:rFonts w:eastAsiaTheme="majorEastAsia"/>
        </w:rPr>
      </w:pPr>
    </w:p>
    <w:p w14:paraId="6D9228FA" w14:textId="77777777" w:rsidR="005A48EB" w:rsidRPr="005D6700" w:rsidRDefault="005A48EB" w:rsidP="005A48EB">
      <w:pPr>
        <w:spacing w:before="100" w:beforeAutospacing="1" w:after="100" w:afterAutospacing="1"/>
        <w:outlineLvl w:val="2"/>
        <w:rPr>
          <w:b/>
          <w:bCs/>
        </w:rPr>
      </w:pPr>
      <w:r w:rsidRPr="005D6700">
        <w:rPr>
          <w:b/>
          <w:bCs/>
        </w:rPr>
        <w:t xml:space="preserve">Extended Figure 5. Sensitivity of </w:t>
      </w:r>
      <w:r w:rsidRPr="001E47BC">
        <w:rPr>
          <w:b/>
          <w:bCs/>
        </w:rPr>
        <w:t>TotalX</w:t>
      </w:r>
      <w:r w:rsidRPr="005D6700">
        <w:rPr>
          <w:b/>
          <w:bCs/>
        </w:rPr>
        <w:t xml:space="preserve"> for viral transcript detection and host response stratification in DENV2-infected cells.</w:t>
      </w:r>
    </w:p>
    <w:p w14:paraId="1B3AF00A" w14:textId="77777777" w:rsidR="005A48EB" w:rsidRPr="005D6700" w:rsidRDefault="005A48EB" w:rsidP="005A48EB">
      <w:pPr>
        <w:spacing w:before="100" w:beforeAutospacing="1" w:after="100" w:afterAutospacing="1"/>
      </w:pPr>
      <w:r w:rsidRPr="005D6700">
        <w:rPr>
          <w:b/>
          <w:bCs/>
        </w:rPr>
        <w:t>a.</w:t>
      </w:r>
      <w:r w:rsidRPr="005D6700">
        <w:t xml:space="preserve"> Quality control metrics comparing uninfected (Huh7) and DENV2-infected (Huh7-DENV2) samples. Violin plots show total UMI counts, number of detected genes, and mitochondrial transcript percentage per cell.</w:t>
      </w:r>
    </w:p>
    <w:p w14:paraId="3F1774CB" w14:textId="77777777" w:rsidR="005A48EB" w:rsidRPr="005D6700" w:rsidRDefault="005A48EB" w:rsidP="005A48EB">
      <w:pPr>
        <w:spacing w:before="100" w:beforeAutospacing="1" w:after="100" w:afterAutospacing="1"/>
      </w:pPr>
      <w:r w:rsidRPr="005D6700">
        <w:rPr>
          <w:b/>
          <w:bCs/>
        </w:rPr>
        <w:t>b.</w:t>
      </w:r>
      <w:r w:rsidRPr="005D6700">
        <w:t xml:space="preserve"> Histogram showing the distribution of viral load per cell, defined as dengue virus–derived UMIs per 10,000 total UMIs. </w:t>
      </w:r>
    </w:p>
    <w:p w14:paraId="01E85C54" w14:textId="77777777" w:rsidR="005A48EB" w:rsidRPr="005D6700" w:rsidRDefault="005A48EB" w:rsidP="005A48EB">
      <w:pPr>
        <w:spacing w:before="100" w:beforeAutospacing="1" w:after="100" w:afterAutospacing="1"/>
      </w:pPr>
      <w:r w:rsidRPr="005D6700">
        <w:rPr>
          <w:b/>
          <w:bCs/>
        </w:rPr>
        <w:t>c.</w:t>
      </w:r>
      <w:r w:rsidRPr="005D6700">
        <w:t xml:space="preserve"> Scatter plots showing normalized expression of individual viral transcripts (</w:t>
      </w:r>
      <w:r w:rsidRPr="00E0691A">
        <w:rPr>
          <w:i/>
          <w:iCs/>
        </w:rPr>
        <w:t>POLY, sfRNA1–4</w:t>
      </w:r>
      <w:r w:rsidRPr="005D6700">
        <w:t>) versus viral load per cell. Expression of both structural (</w:t>
      </w:r>
      <w:r w:rsidRPr="00E0691A">
        <w:rPr>
          <w:i/>
          <w:iCs/>
        </w:rPr>
        <w:t>POLY</w:t>
      </w:r>
      <w:r w:rsidRPr="005D6700">
        <w:t>) and non-coding (</w:t>
      </w:r>
      <w:r w:rsidRPr="00E0691A">
        <w:rPr>
          <w:i/>
          <w:iCs/>
        </w:rPr>
        <w:t>sfRNAs</w:t>
      </w:r>
      <w:r w:rsidRPr="005D6700">
        <w:t xml:space="preserve">) viral RNAs scales with total viral burden. Cells are colored by transcriptional state: </w:t>
      </w:r>
      <w:r>
        <w:t>quiescent response</w:t>
      </w:r>
      <w:r w:rsidRPr="005D6700">
        <w:t xml:space="preserve"> (blue) and active </w:t>
      </w:r>
      <w:r>
        <w:t>response</w:t>
      </w:r>
      <w:r w:rsidRPr="005D6700">
        <w:t xml:space="preserve"> (red).</w:t>
      </w:r>
    </w:p>
    <w:p w14:paraId="4A2AA80E" w14:textId="77777777" w:rsidR="005A48EB" w:rsidRPr="005D6700" w:rsidRDefault="005A48EB" w:rsidP="005A48EB">
      <w:pPr>
        <w:spacing w:before="100" w:beforeAutospacing="1" w:after="100" w:afterAutospacing="1"/>
      </w:pPr>
      <w:r w:rsidRPr="005D6700">
        <w:rPr>
          <w:b/>
          <w:bCs/>
        </w:rPr>
        <w:t>d.</w:t>
      </w:r>
      <w:r w:rsidRPr="005D6700">
        <w:t xml:space="preserve"> Volcano plot comparing gene expression between active and silent infection states. Several transcription factors (e.g., </w:t>
      </w:r>
      <w:r w:rsidRPr="005D6700">
        <w:rPr>
          <w:i/>
          <w:iCs/>
        </w:rPr>
        <w:t>ATF3</w:t>
      </w:r>
      <w:r w:rsidRPr="005D6700">
        <w:t xml:space="preserve">, </w:t>
      </w:r>
      <w:r w:rsidRPr="005D6700">
        <w:rPr>
          <w:i/>
          <w:iCs/>
        </w:rPr>
        <w:t>DDIT3</w:t>
      </w:r>
      <w:r w:rsidRPr="005D6700">
        <w:t xml:space="preserve">) and immune response genes are upregulated in active </w:t>
      </w:r>
      <w:r>
        <w:t>response</w:t>
      </w:r>
      <w:r w:rsidRPr="005D6700">
        <w:t>, while chromatin remodeling factors and proliferation-associated genes are enriched in the silent state. Gene names are colored as follows: coding in gray, non-coding in green and viral in blue.</w:t>
      </w:r>
    </w:p>
    <w:p w14:paraId="617DFB00" w14:textId="77777777" w:rsidR="005A48EB" w:rsidRPr="005D6700" w:rsidRDefault="005A48EB" w:rsidP="005A48EB">
      <w:pPr>
        <w:pStyle w:val="NormalWeb"/>
        <w:rPr>
          <w:rStyle w:val="Strong"/>
          <w:rFonts w:eastAsiaTheme="majorEastAsia"/>
        </w:rPr>
      </w:pPr>
    </w:p>
    <w:p w14:paraId="39131EA5" w14:textId="77777777" w:rsidR="005A48EB" w:rsidRPr="00E76AC3" w:rsidRDefault="005A48EB" w:rsidP="005A48EB">
      <w:pPr>
        <w:spacing w:before="100" w:beforeAutospacing="1" w:after="100" w:afterAutospacing="1"/>
        <w:outlineLvl w:val="2"/>
        <w:rPr>
          <w:b/>
          <w:bCs/>
        </w:rPr>
      </w:pPr>
      <w:r w:rsidRPr="00E76AC3">
        <w:rPr>
          <w:b/>
          <w:bCs/>
        </w:rPr>
        <w:t>Extended Figure 6. Viral load–based stratification of host response in DENV2-infected cells.</w:t>
      </w:r>
    </w:p>
    <w:p w14:paraId="2D8B6C25" w14:textId="77777777" w:rsidR="005A48EB" w:rsidRPr="00E76AC3" w:rsidRDefault="005A48EB" w:rsidP="005A48EB">
      <w:pPr>
        <w:spacing w:before="100" w:beforeAutospacing="1" w:after="100" w:afterAutospacing="1"/>
      </w:pPr>
      <w:r w:rsidRPr="00E76AC3">
        <w:rPr>
          <w:b/>
          <w:bCs/>
        </w:rPr>
        <w:t>a.</w:t>
      </w:r>
      <w:r w:rsidRPr="00E76AC3">
        <w:t xml:space="preserve"> Ridge plot showing the distribution of viral RNA levels across transcriptional clusters. Cells are grouped into two major infection states—</w:t>
      </w:r>
      <w:r>
        <w:t>quiescent</w:t>
      </w:r>
      <w:r w:rsidRPr="00E76AC3">
        <w:t xml:space="preserve"> infection (blue) and active infection (red)—based on host transcriptomic profiles. Although overall viral load can be similar between states, active cells display a robust host response, while </w:t>
      </w:r>
      <w:r>
        <w:t>quiescent</w:t>
      </w:r>
      <w:r w:rsidRPr="00E76AC3">
        <w:t xml:space="preserve"> cells remain largely unresponsive.</w:t>
      </w:r>
    </w:p>
    <w:p w14:paraId="58C096DD" w14:textId="77777777" w:rsidR="005A48EB" w:rsidRPr="00E76AC3" w:rsidRDefault="005A48EB" w:rsidP="005A48EB">
      <w:pPr>
        <w:spacing w:before="100" w:beforeAutospacing="1" w:after="100" w:afterAutospacing="1"/>
      </w:pPr>
      <w:r w:rsidRPr="00E76AC3">
        <w:rPr>
          <w:b/>
          <w:bCs/>
        </w:rPr>
        <w:t>b.</w:t>
      </w:r>
      <w:r w:rsidRPr="00E76AC3">
        <w:t xml:space="preserve"> Viral load across infection groups, colored by cell cycle phase (G1, S, G2/M).</w:t>
      </w:r>
    </w:p>
    <w:p w14:paraId="6F688ACD" w14:textId="77777777" w:rsidR="005A48EB" w:rsidRPr="00E76AC3" w:rsidRDefault="005A48EB" w:rsidP="005A48EB">
      <w:pPr>
        <w:spacing w:before="100" w:beforeAutospacing="1" w:after="100" w:afterAutospacing="1"/>
      </w:pPr>
      <w:r w:rsidRPr="00E76AC3">
        <w:rPr>
          <w:b/>
          <w:bCs/>
        </w:rPr>
        <w:t>c.</w:t>
      </w:r>
      <w:r w:rsidRPr="00E76AC3">
        <w:t xml:space="preserve"> UMAP embeddings of infected cells colored by cell cycle phase (top) and infection group (bottom): </w:t>
      </w:r>
      <w:r>
        <w:t>quiescent</w:t>
      </w:r>
      <w:r w:rsidRPr="00E76AC3">
        <w:t>_low</w:t>
      </w:r>
      <w:r>
        <w:t>VL</w:t>
      </w:r>
      <w:r w:rsidRPr="00E76AC3">
        <w:t xml:space="preserve">, </w:t>
      </w:r>
      <w:r>
        <w:t>quiescent</w:t>
      </w:r>
      <w:r w:rsidRPr="00E76AC3">
        <w:t>_high</w:t>
      </w:r>
      <w:r>
        <w:t>VL</w:t>
      </w:r>
      <w:r w:rsidRPr="00E76AC3">
        <w:t>, active_low</w:t>
      </w:r>
      <w:r>
        <w:t>VL</w:t>
      </w:r>
      <w:r w:rsidRPr="00E76AC3">
        <w:t>, active_high</w:t>
      </w:r>
      <w:r>
        <w:t>VL</w:t>
      </w:r>
      <w:r w:rsidRPr="00E76AC3">
        <w:t>.</w:t>
      </w:r>
    </w:p>
    <w:p w14:paraId="18A1D79B" w14:textId="77777777" w:rsidR="005A48EB" w:rsidRPr="00E76AC3" w:rsidRDefault="005A48EB" w:rsidP="005A48EB">
      <w:pPr>
        <w:spacing w:before="100" w:beforeAutospacing="1" w:after="100" w:afterAutospacing="1"/>
      </w:pPr>
      <w:r>
        <w:rPr>
          <w:b/>
          <w:bCs/>
        </w:rPr>
        <w:t>d</w:t>
      </w:r>
      <w:r w:rsidRPr="005D6700">
        <w:rPr>
          <w:b/>
          <w:bCs/>
        </w:rPr>
        <w:t>.</w:t>
      </w:r>
      <w:r w:rsidRPr="00894ED2">
        <w:t xml:space="preserve"> </w:t>
      </w:r>
      <w:r w:rsidRPr="00DC236E">
        <w:t>Gene expression across four states</w:t>
      </w:r>
      <w:r w:rsidRPr="00894ED2">
        <w:rPr>
          <w:i/>
          <w:iCs/>
        </w:rPr>
        <w:t>.</w:t>
      </w:r>
      <w:r w:rsidRPr="00894ED2">
        <w:t xml:space="preserve"> Cells were stratified into </w:t>
      </w:r>
      <w:r>
        <w:t>quiescent</w:t>
      </w:r>
      <w:r w:rsidRPr="00894ED2">
        <w:t>/active × low/high viral load groups. Dot plot shows expression patterns of differentially expressed genes.</w:t>
      </w:r>
    </w:p>
    <w:p w14:paraId="13D915FA" w14:textId="77777777" w:rsidR="005A48EB" w:rsidRPr="00E76AC3" w:rsidRDefault="005A48EB" w:rsidP="005A48EB">
      <w:pPr>
        <w:spacing w:before="100" w:beforeAutospacing="1" w:after="100" w:afterAutospacing="1"/>
      </w:pPr>
      <w:r w:rsidRPr="00E76AC3">
        <w:rPr>
          <w:b/>
          <w:bCs/>
        </w:rPr>
        <w:t>e.</w:t>
      </w:r>
      <w:r w:rsidRPr="00E76AC3">
        <w:t xml:space="preserve"> GO enrichment analysis for genes differentially expressed between high and low viral load cells within each infection state.</w:t>
      </w:r>
      <w:r w:rsidRPr="00E76AC3">
        <w:br/>
        <w:t xml:space="preserve">Top: In </w:t>
      </w:r>
      <w:r>
        <w:t>quiescent</w:t>
      </w:r>
      <w:r w:rsidRPr="00E76AC3">
        <w:t xml:space="preserve"> </w:t>
      </w:r>
      <w:r>
        <w:t>response</w:t>
      </w:r>
      <w:r w:rsidRPr="00E76AC3">
        <w:t>, high-load cells are enriched for chromatin remodeling, RNA splicing, and nucleosome-related processes.</w:t>
      </w:r>
      <w:r w:rsidRPr="00E76AC3">
        <w:br/>
        <w:t xml:space="preserve">Bottom: In active </w:t>
      </w:r>
      <w:r>
        <w:t>response</w:t>
      </w:r>
      <w:r w:rsidRPr="00E76AC3">
        <w:t>, high-load cells show enrichment for unfolded protein response (UPR), ER stress, and protein targeting to membranes.</w:t>
      </w:r>
    </w:p>
    <w:p w14:paraId="0A2CC1EF" w14:textId="77777777" w:rsidR="005A48EB" w:rsidRPr="005D6700" w:rsidRDefault="005A48EB" w:rsidP="005A48EB">
      <w:pPr>
        <w:spacing w:before="100" w:beforeAutospacing="1" w:after="100" w:afterAutospacing="1"/>
      </w:pPr>
      <w:r w:rsidRPr="00E76AC3">
        <w:rPr>
          <w:b/>
          <w:bCs/>
        </w:rPr>
        <w:t>f.</w:t>
      </w:r>
      <w:r w:rsidRPr="00E76AC3">
        <w:t xml:space="preserve"> Violin plots showing module scores for key biological processes across the four infection groups.</w:t>
      </w:r>
    </w:p>
    <w:p w14:paraId="7218A472" w14:textId="77777777" w:rsidR="005A48EB" w:rsidRPr="005D6700" w:rsidRDefault="005A48EB" w:rsidP="005A48EB">
      <w:pPr>
        <w:pStyle w:val="NormalWeb"/>
        <w:rPr>
          <w:rStyle w:val="Strong"/>
          <w:rFonts w:eastAsiaTheme="majorEastAsia"/>
        </w:rPr>
      </w:pPr>
    </w:p>
    <w:p w14:paraId="36699337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Extended Figure 7. Regional coverage, cell-type diversity, and age-dependent non-coding RNA expression in the developing human brain.</w:t>
      </w:r>
    </w:p>
    <w:p w14:paraId="0B416ABE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a.</w:t>
      </w:r>
      <w:r w:rsidRPr="005D6700">
        <w:t xml:space="preserve"> UMAP embedding of 301,515 single cells profiled using </w:t>
      </w:r>
      <w:r>
        <w:t>TotalX</w:t>
      </w:r>
      <w:r w:rsidRPr="005D6700">
        <w:t>, colored by brain region of origin. The dataset includes cortical and subcortical structures, non-parenchymal compartments (e.g., meninges, choroid plexus), and ocular-associated tissues (e.g., optic region, eyelid), reflecting broad anatomical sampling across developmental stages.</w:t>
      </w:r>
    </w:p>
    <w:p w14:paraId="67A8B29E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b.</w:t>
      </w:r>
      <w:r w:rsidRPr="005D6700">
        <w:t xml:space="preserve"> Number of cells recovered from each brain region across four developmental timepoints: GW19, 9MO, 8YO, and 16YO. Bars are color-coded by region and capture both prenatal and postnatal contributions to the dataset.</w:t>
      </w:r>
    </w:p>
    <w:p w14:paraId="4DD94F0F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c.</w:t>
      </w:r>
      <w:r w:rsidRPr="005D6700">
        <w:t xml:space="preserve"> Dot plot showing marker gene expression across annotated cell types. Cell types span neuronal, glial, immune, and non-neural lineages and are hierarchically clustered by expression patterns.</w:t>
      </w:r>
    </w:p>
    <w:p w14:paraId="24BACF5D" w14:textId="77777777" w:rsidR="005A48EB" w:rsidRDefault="005A48EB" w:rsidP="005A48EB">
      <w:pPr>
        <w:pStyle w:val="NormalWeb"/>
      </w:pPr>
      <w:r w:rsidRPr="005D6700">
        <w:rPr>
          <w:b/>
          <w:bCs/>
        </w:rPr>
        <w:lastRenderedPageBreak/>
        <w:t>d.</w:t>
      </w:r>
      <w:r w:rsidRPr="005D6700">
        <w:t xml:space="preserve"> Cell-type–resolved gene detection across development.</w:t>
      </w:r>
      <w:r w:rsidRPr="005D6700">
        <w:br/>
      </w:r>
      <w:r w:rsidRPr="005D6700">
        <w:rPr>
          <w:rStyle w:val="Strong"/>
          <w:rFonts w:eastAsiaTheme="majorEastAsia"/>
        </w:rPr>
        <w:t>Left:</w:t>
      </w:r>
      <w:r w:rsidRPr="005D6700">
        <w:t xml:space="preserve"> Dot plot showing the number of cells per annotated cell type at each age.</w:t>
      </w:r>
      <w:r w:rsidRPr="005D6700">
        <w:br/>
      </w:r>
      <w:r w:rsidRPr="005D6700">
        <w:rPr>
          <w:rStyle w:val="Strong"/>
          <w:rFonts w:eastAsiaTheme="majorEastAsia"/>
        </w:rPr>
        <w:t>Center:</w:t>
      </w:r>
      <w:r w:rsidRPr="005D6700">
        <w:t xml:space="preserve"> Violin plots depicting the number of detected genes per cell.</w:t>
      </w:r>
      <w:r w:rsidRPr="005D6700">
        <w:br/>
      </w:r>
      <w:r w:rsidRPr="005D6700">
        <w:rPr>
          <w:rStyle w:val="Strong"/>
          <w:rFonts w:eastAsiaTheme="majorEastAsia"/>
        </w:rPr>
        <w:t>Right:</w:t>
      </w:r>
      <w:r w:rsidRPr="005D6700">
        <w:t xml:space="preserve"> Bar plots showing the number of differentially expressed non-coding RNAs per cell type and RNA biotype (Wilcoxon test, log₂ fold change &gt; 1, FDR &lt; 0.01). Histone RNAs are enriched in proliferating progenitors, while other biotypes vary by lineage and developmental stage.</w:t>
      </w:r>
    </w:p>
    <w:p w14:paraId="2DB1DF41" w14:textId="77777777" w:rsidR="005A48EB" w:rsidRPr="005D6700" w:rsidRDefault="005A48EB" w:rsidP="005A48EB">
      <w:pPr>
        <w:spacing w:before="100" w:beforeAutospacing="1" w:after="100" w:afterAutospacing="1"/>
      </w:pPr>
      <w:r>
        <w:rPr>
          <w:b/>
          <w:bCs/>
        </w:rPr>
        <w:t>e</w:t>
      </w:r>
      <w:r w:rsidRPr="005D6700">
        <w:rPr>
          <w:b/>
          <w:bCs/>
        </w:rPr>
        <w:t>.</w:t>
      </w:r>
      <w:r w:rsidRPr="00866D88">
        <w:t xml:space="preserve"> </w:t>
      </w:r>
      <w:r w:rsidRPr="00866D88">
        <w:rPr>
          <w:b/>
          <w:bCs/>
        </w:rPr>
        <w:t>Selected cell-type–specific non-coding RNA markers.</w:t>
      </w:r>
      <w:r w:rsidRPr="00866D88">
        <w:t xml:space="preserve"> Dot plots display expression of non-coding RNAs across brain cell types, grouped by </w:t>
      </w:r>
      <w:r w:rsidRPr="005D6700">
        <w:t>broad cell classes</w:t>
      </w:r>
      <w:r w:rsidRPr="00866D88">
        <w:t xml:space="preserve">. </w:t>
      </w:r>
      <w:r>
        <w:t>Same as in figure 4d.</w:t>
      </w:r>
    </w:p>
    <w:p w14:paraId="1BCE8A7F" w14:textId="77777777" w:rsidR="005A48EB" w:rsidRPr="005D6700" w:rsidRDefault="005A48EB" w:rsidP="005A48EB"/>
    <w:p w14:paraId="5DA3E15B" w14:textId="77777777" w:rsidR="005A48EB" w:rsidRPr="00F8229C" w:rsidRDefault="005A48EB" w:rsidP="005A48EB">
      <w:pPr>
        <w:spacing w:before="100" w:beforeAutospacing="1" w:after="100" w:afterAutospacing="1"/>
        <w:outlineLvl w:val="2"/>
        <w:rPr>
          <w:b/>
          <w:bCs/>
        </w:rPr>
      </w:pPr>
      <w:r w:rsidRPr="00F8229C">
        <w:rPr>
          <w:b/>
          <w:bCs/>
        </w:rPr>
        <w:t>Extended Figure 8. Regional and molecular diversity of glial and neuronal subtypes in the developing human brain.</w:t>
      </w:r>
    </w:p>
    <w:p w14:paraId="73095B3D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a.</w:t>
      </w:r>
      <w:r w:rsidRPr="005D6700">
        <w:t xml:space="preserve"> UMAP embedding of excitatory and inhibitory neuron subtypes, colored by cell type. Major cell types include Cajal-Retzius cells, postnatal neurons, deep and upper-layer excitatory neurons (EN), interneurons from MGE, CGE, and LGE origins (e.g., IN-MGE-SST, IN-CGE-VIP, IN-LGE-FOXP1), and radial glia (RG), reflecting broad neuronal lineage heterogeneity.</w:t>
      </w:r>
    </w:p>
    <w:p w14:paraId="48FE24AD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b.</w:t>
      </w:r>
      <w:r w:rsidRPr="005D6700">
        <w:t xml:space="preserve"> Bar plot showing regional contributions to each neuronal subtype. Bars represent the fraction of cells per region for each annotated neuronal cell type.</w:t>
      </w:r>
    </w:p>
    <w:p w14:paraId="58D1E1E1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c.</w:t>
      </w:r>
      <w:r w:rsidRPr="005D6700">
        <w:t xml:space="preserve"> UMAP embedding of glial subtypes, including astrocytes, oligodendrocytes, OPCs, OPC-proliferating cells, and RG-like progenitors.</w:t>
      </w:r>
    </w:p>
    <w:p w14:paraId="06D35733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d.</w:t>
      </w:r>
      <w:r w:rsidRPr="005D6700">
        <w:t xml:space="preserve"> Bar plot showing regional contributions to each glial cell type. As in (b), bars indicate the fraction of cells derived from each brain region.</w:t>
      </w:r>
    </w:p>
    <w:p w14:paraId="74C4E690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e.</w:t>
      </w:r>
      <w:r w:rsidRPr="005D6700">
        <w:t xml:space="preserve"> Diffusion map of the glial lineage, showing trajectories from RG to mature OPCs, astrocytes, and oligodendrocytes.</w:t>
      </w:r>
      <w:r w:rsidRPr="005D6700">
        <w:br/>
      </w:r>
      <w:r w:rsidRPr="005D6700">
        <w:rPr>
          <w:rStyle w:val="Strong"/>
          <w:rFonts w:eastAsiaTheme="majorEastAsia"/>
        </w:rPr>
        <w:t>Top:</w:t>
      </w:r>
      <w:r w:rsidRPr="005D6700">
        <w:t xml:space="preserve"> Expression gradients of canonical markers (e.g., </w:t>
      </w:r>
      <w:r w:rsidRPr="005D6700">
        <w:rPr>
          <w:rStyle w:val="Emphasis"/>
          <w:rFonts w:eastAsiaTheme="majorEastAsia"/>
        </w:rPr>
        <w:t>AQP4</w:t>
      </w:r>
      <w:r w:rsidRPr="005D6700">
        <w:t xml:space="preserve">, </w:t>
      </w:r>
      <w:r w:rsidRPr="005D6700">
        <w:rPr>
          <w:rStyle w:val="Emphasis"/>
          <w:rFonts w:eastAsiaTheme="majorEastAsia"/>
        </w:rPr>
        <w:t>PDGFRA</w:t>
      </w:r>
      <w:r w:rsidRPr="005D6700">
        <w:t>) across the lineage.</w:t>
      </w:r>
      <w:r w:rsidRPr="005D6700">
        <w:br/>
      </w:r>
      <w:r w:rsidRPr="005D6700">
        <w:rPr>
          <w:rStyle w:val="Strong"/>
          <w:rFonts w:eastAsiaTheme="majorEastAsia"/>
        </w:rPr>
        <w:t>Bottom:</w:t>
      </w:r>
      <w:r w:rsidRPr="005D6700">
        <w:t xml:space="preserve"> Pseudotime-colored embedding with annotations of cell type transitions.</w:t>
      </w:r>
    </w:p>
    <w:p w14:paraId="40CE1481" w14:textId="77777777" w:rsidR="005A48EB" w:rsidRPr="005D6700" w:rsidRDefault="005A48EB" w:rsidP="005A48EB">
      <w:pPr>
        <w:pStyle w:val="NormalWeb"/>
      </w:pPr>
      <w:r w:rsidRPr="005D6700">
        <w:rPr>
          <w:rStyle w:val="Strong"/>
          <w:rFonts w:eastAsiaTheme="majorEastAsia"/>
        </w:rPr>
        <w:t>f.</w:t>
      </w:r>
      <w:r w:rsidRPr="005D6700">
        <w:t xml:space="preserve"> Heatmaps showing expression of selected coding and non-coding RNA markers across astrocytes, OPCs, and oligodendrocytes that change along the pseudotime trajectory. Rows represent genes; columns represent cells ordered by pseudotime (100 bins). Color bars denote pseudotime, consistent with panel (e).</w:t>
      </w:r>
    </w:p>
    <w:p w14:paraId="3CF56BCF" w14:textId="77777777" w:rsidR="005A48EB" w:rsidRPr="005D6700" w:rsidRDefault="005A48EB" w:rsidP="005A48EB">
      <w:pPr>
        <w:spacing w:before="100" w:beforeAutospacing="1" w:after="100" w:afterAutospacing="1"/>
        <w:outlineLvl w:val="2"/>
        <w:rPr>
          <w:b/>
          <w:bCs/>
        </w:rPr>
      </w:pPr>
    </w:p>
    <w:p w14:paraId="2E35C0F6" w14:textId="77777777" w:rsidR="005A48EB" w:rsidRPr="00F8229C" w:rsidRDefault="005A48EB" w:rsidP="005A48EB">
      <w:pPr>
        <w:spacing w:before="100" w:beforeAutospacing="1" w:after="100" w:afterAutospacing="1"/>
        <w:outlineLvl w:val="2"/>
        <w:rPr>
          <w:b/>
          <w:bCs/>
        </w:rPr>
      </w:pPr>
      <w:r w:rsidRPr="00F8229C">
        <w:rPr>
          <w:b/>
          <w:bCs/>
        </w:rPr>
        <w:t>Extended Figure 9. Cell-type–specific expression and predicted target relationships for non-coding RNAs in developing neurons.</w:t>
      </w:r>
    </w:p>
    <w:p w14:paraId="5F387242" w14:textId="77777777" w:rsidR="005A48EB" w:rsidRPr="00F8229C" w:rsidRDefault="005A48EB" w:rsidP="005A48EB">
      <w:pPr>
        <w:spacing w:before="100" w:beforeAutospacing="1" w:after="100" w:afterAutospacing="1"/>
      </w:pPr>
      <w:r w:rsidRPr="00F8229C">
        <w:rPr>
          <w:b/>
          <w:bCs/>
        </w:rPr>
        <w:t>a.</w:t>
      </w:r>
      <w:r w:rsidRPr="00F8229C">
        <w:t xml:space="preserve"> Dot plot showing the cell-type–specific expression of selected </w:t>
      </w:r>
      <w:r w:rsidRPr="005D6700">
        <w:t>mi</w:t>
      </w:r>
      <w:r w:rsidRPr="00F8229C">
        <w:t xml:space="preserve">RNAs across neuronal </w:t>
      </w:r>
      <w:r w:rsidRPr="005D6700">
        <w:t xml:space="preserve">cell </w:t>
      </w:r>
      <w:r w:rsidRPr="00F8229C">
        <w:t xml:space="preserve">types. </w:t>
      </w:r>
    </w:p>
    <w:p w14:paraId="13844677" w14:textId="77777777" w:rsidR="005A48EB" w:rsidRPr="00F8229C" w:rsidRDefault="005A48EB" w:rsidP="005A48EB">
      <w:pPr>
        <w:spacing w:before="100" w:beforeAutospacing="1" w:after="100" w:afterAutospacing="1"/>
      </w:pPr>
      <w:r w:rsidRPr="00F8229C">
        <w:rPr>
          <w:b/>
          <w:bCs/>
        </w:rPr>
        <w:lastRenderedPageBreak/>
        <w:t>b.</w:t>
      </w:r>
      <w:r w:rsidRPr="00F8229C">
        <w:t xml:space="preserve"> Dot plot showing the expression of selected </w:t>
      </w:r>
      <w:r w:rsidRPr="005D6700">
        <w:t>m</w:t>
      </w:r>
      <w:r w:rsidRPr="00F8229C">
        <w:t xml:space="preserve">RNAs </w:t>
      </w:r>
      <w:r w:rsidRPr="005D6700">
        <w:t>marker genes</w:t>
      </w:r>
      <w:r w:rsidRPr="00F8229C">
        <w:t xml:space="preserve"> across neuronal subtypes, using the same format as in (a). </w:t>
      </w:r>
    </w:p>
    <w:p w14:paraId="548FF9B4" w14:textId="77777777" w:rsidR="005A48EB" w:rsidRPr="005D6700" w:rsidRDefault="005A48EB" w:rsidP="005A48EB">
      <w:pPr>
        <w:spacing w:before="100" w:beforeAutospacing="1" w:after="100" w:afterAutospacing="1"/>
      </w:pPr>
      <w:r w:rsidRPr="00F8229C">
        <w:rPr>
          <w:b/>
          <w:bCs/>
        </w:rPr>
        <w:t>c–e.</w:t>
      </w:r>
      <w:r w:rsidRPr="00F8229C">
        <w:t xml:space="preserve"> Genomic loci, correlation distributions, and pathway enrichments for representative miRNAs with strong cell-type–specific expression and anticorrelated targets.</w:t>
      </w:r>
      <w:r w:rsidRPr="005D6700">
        <w:t xml:space="preserve"> Same as in Figure 5.</w:t>
      </w:r>
      <w:r w:rsidRPr="00F8229C">
        <w:br/>
      </w:r>
      <w:r w:rsidRPr="00F8229C">
        <w:rPr>
          <w:b/>
          <w:bCs/>
        </w:rPr>
        <w:t>c.</w:t>
      </w:r>
      <w:r w:rsidRPr="00F8229C">
        <w:t xml:space="preserve"> </w:t>
      </w:r>
      <w:r w:rsidRPr="00F8229C">
        <w:rPr>
          <w:i/>
          <w:iCs/>
        </w:rPr>
        <w:t>MIR125B2</w:t>
      </w:r>
      <w:r w:rsidRPr="005D6700">
        <w:t xml:space="preserve">. </w:t>
      </w:r>
      <w:r w:rsidRPr="00F8229C">
        <w:rPr>
          <w:b/>
          <w:bCs/>
        </w:rPr>
        <w:t>Left:</w:t>
      </w:r>
      <w:r w:rsidRPr="00F8229C">
        <w:t xml:space="preserve"> Genomic coordinates and coverage profile.</w:t>
      </w:r>
      <w:r w:rsidRPr="005D6700">
        <w:t xml:space="preserve"> </w:t>
      </w:r>
      <w:r w:rsidRPr="00F8229C">
        <w:rPr>
          <w:b/>
          <w:bCs/>
        </w:rPr>
        <w:t>Center:</w:t>
      </w:r>
      <w:r w:rsidRPr="00F8229C">
        <w:t xml:space="preserve"> Distribution of Spearman correlation coefficients between </w:t>
      </w:r>
      <w:r w:rsidRPr="00F8229C">
        <w:rPr>
          <w:i/>
          <w:iCs/>
        </w:rPr>
        <w:t>MIR125B2</w:t>
      </w:r>
      <w:r w:rsidRPr="00F8229C">
        <w:t xml:space="preserve"> expression and predicted or validated target gene expression across cells.</w:t>
      </w:r>
      <w:r w:rsidRPr="005D6700">
        <w:t xml:space="preserve"> </w:t>
      </w:r>
      <w:r w:rsidRPr="00F8229C">
        <w:rPr>
          <w:b/>
          <w:bCs/>
        </w:rPr>
        <w:t>Right:</w:t>
      </w:r>
      <w:r w:rsidRPr="00F8229C">
        <w:t xml:space="preserve"> Reactome pathway enrichment analysis of anticorrelated validated targets (odds ratio</w:t>
      </w:r>
      <w:r w:rsidRPr="005D6700">
        <w:t xml:space="preserve"> is</w:t>
      </w:r>
      <w:r w:rsidRPr="00F8229C">
        <w:t xml:space="preserve"> represented by dot size).</w:t>
      </w:r>
    </w:p>
    <w:p w14:paraId="326B4A41" w14:textId="77777777" w:rsidR="005A48EB" w:rsidRPr="004263DE" w:rsidRDefault="005A48EB" w:rsidP="005A48EB">
      <w:pPr>
        <w:spacing w:before="100" w:beforeAutospacing="1" w:after="100" w:afterAutospacing="1"/>
      </w:pPr>
      <w:r w:rsidRPr="00F8229C">
        <w:rPr>
          <w:b/>
          <w:bCs/>
        </w:rPr>
        <w:t>d.</w:t>
      </w:r>
      <w:r w:rsidRPr="00F8229C">
        <w:t xml:space="preserve"> </w:t>
      </w:r>
      <w:r w:rsidRPr="00F8229C">
        <w:rPr>
          <w:i/>
          <w:iCs/>
        </w:rPr>
        <w:t>MIR1262</w:t>
      </w:r>
      <w:r w:rsidRPr="00F8229C">
        <w:t>; panels follow the same format</w:t>
      </w:r>
      <w:r w:rsidRPr="005D6700">
        <w:t xml:space="preserve"> as in c</w:t>
      </w:r>
      <w:r w:rsidRPr="00F8229C">
        <w:t>.</w:t>
      </w:r>
      <w:r w:rsidRPr="00F8229C">
        <w:br/>
      </w:r>
      <w:r w:rsidRPr="00F8229C">
        <w:rPr>
          <w:b/>
          <w:bCs/>
        </w:rPr>
        <w:t>e.</w:t>
      </w:r>
      <w:r w:rsidRPr="00F8229C">
        <w:t xml:space="preserve"> </w:t>
      </w:r>
      <w:r w:rsidRPr="00F8229C">
        <w:rPr>
          <w:i/>
          <w:iCs/>
        </w:rPr>
        <w:t>MIR17</w:t>
      </w:r>
      <w:r w:rsidRPr="00F8229C">
        <w:t>; panels follow the same format</w:t>
      </w:r>
      <w:r w:rsidRPr="005D6700">
        <w:t xml:space="preserve"> as in c</w:t>
      </w:r>
      <w:r w:rsidRPr="00F8229C">
        <w:t>.</w:t>
      </w:r>
    </w:p>
    <w:p w14:paraId="3A116472" w14:textId="77777777" w:rsidR="00865217" w:rsidRDefault="00865217"/>
    <w:sectPr w:rsidR="00865217" w:rsidSect="005A48EB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8EB"/>
    <w:rsid w:val="002E281E"/>
    <w:rsid w:val="003201BB"/>
    <w:rsid w:val="004D39D2"/>
    <w:rsid w:val="005A48E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098AF"/>
  <w15:chartTrackingRefBased/>
  <w15:docId w15:val="{3A9D2A92-B026-4F46-9CB9-6F2737B6F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8E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48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48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8E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48E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48E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48E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48E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48E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48E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8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48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48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48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48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48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48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48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48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48E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A48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48E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A48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48E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A48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48E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A48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48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48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48E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A48EB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A48EB"/>
    <w:rPr>
      <w:b/>
      <w:bCs/>
    </w:rPr>
  </w:style>
  <w:style w:type="character" w:styleId="Emphasis">
    <w:name w:val="Emphasis"/>
    <w:basedOn w:val="DefaultParagraphFont"/>
    <w:uiPriority w:val="20"/>
    <w:qFormat/>
    <w:rsid w:val="005A48EB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5A48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1903</Words>
  <Characters>10851</Characters>
  <Application>Microsoft Office Word</Application>
  <DocSecurity>0</DocSecurity>
  <Lines>90</Lines>
  <Paragraphs>25</Paragraphs>
  <ScaleCrop>false</ScaleCrop>
  <Company>Springer Nature</Company>
  <LinksUpToDate>false</LinksUpToDate>
  <CharactersWithSpaces>12729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2025-09-08T18:51:00Z</dcterms:created>
  <dcterms:modified xsi:type="dcterms:W3CDTF">2025-09-08T18:51:00Z</dcterms:modified>
</cp:coreProperties>
</file>