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D9CBB" w14:textId="77777777" w:rsidR="005C5496" w:rsidRPr="00DC7EF9" w:rsidRDefault="005C5496" w:rsidP="00DC7EF9">
      <w:pPr>
        <w:rPr>
          <w:rFonts w:ascii="Cambria" w:hAnsi="Cambria"/>
          <w:b/>
          <w:bCs/>
          <w:sz w:val="40"/>
          <w:szCs w:val="40"/>
        </w:rPr>
      </w:pPr>
      <w:bookmarkStart w:id="0" w:name="_Toc204329791"/>
      <w:bookmarkStart w:id="1" w:name="_Toc204330983"/>
      <w:r w:rsidRPr="00DC7EF9">
        <w:rPr>
          <w:rFonts w:ascii="Cambria" w:hAnsi="Cambria"/>
          <w:sz w:val="40"/>
          <w:szCs w:val="40"/>
        </w:rPr>
        <w:t>Shifting Beyond Classical Drug Synergy in Combinatorial Therapy through Solubility Alterations</w:t>
      </w:r>
      <w:bookmarkEnd w:id="0"/>
      <w:bookmarkEnd w:id="1"/>
    </w:p>
    <w:p w14:paraId="4F3299C9" w14:textId="77777777" w:rsidR="005C5496" w:rsidRPr="005C5496" w:rsidRDefault="005C5496" w:rsidP="005C5496">
      <w:pPr>
        <w:spacing w:before="240" w:after="24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14:ligatures w14:val="none"/>
        </w:rPr>
        <w:t>Elham Gholizadeh</w:t>
      </w:r>
      <w:proofErr w:type="gramStart"/>
      <w:r w:rsidRPr="005C5496">
        <w:rPr>
          <w:rFonts w:ascii="Cambria" w:eastAsia="Times New Roman" w:hAnsi="Cambria" w:cs="Times New Roman"/>
          <w:color w:val="000000"/>
          <w:kern w:val="0"/>
          <w:sz w:val="14"/>
          <w:szCs w:val="14"/>
          <w:vertAlign w:val="superscript"/>
          <w14:ligatures w14:val="none"/>
        </w:rPr>
        <w:t>1,ϕ</w:t>
      </w:r>
      <w:proofErr w:type="gramEnd"/>
      <w:r w:rsidRPr="005C5496">
        <w:rPr>
          <w:rFonts w:ascii="Cambria" w:eastAsia="Times New Roman" w:hAnsi="Cambria" w:cs="Times New Roman"/>
          <w:color w:val="000000"/>
          <w:kern w:val="0"/>
          <w14:ligatures w14:val="none"/>
        </w:rPr>
        <w:t>; Ehsan Zangene</w:t>
      </w:r>
      <w:proofErr w:type="gramStart"/>
      <w:r w:rsidRPr="005C5496">
        <w:rPr>
          <w:rFonts w:ascii="Cambria" w:eastAsia="Times New Roman" w:hAnsi="Cambria" w:cs="Times New Roman"/>
          <w:color w:val="000000"/>
          <w:kern w:val="0"/>
          <w:sz w:val="14"/>
          <w:szCs w:val="14"/>
          <w:vertAlign w:val="superscript"/>
          <w14:ligatures w14:val="none"/>
        </w:rPr>
        <w:t>1,ϕ</w:t>
      </w:r>
      <w:proofErr w:type="gramEnd"/>
      <w:r w:rsidRPr="005C5496">
        <w:rPr>
          <w:rFonts w:ascii="Cambria" w:eastAsia="Times New Roman" w:hAnsi="Cambria" w:cs="Times New Roman"/>
          <w:color w:val="000000"/>
          <w:kern w:val="0"/>
          <w14:ligatures w14:val="none"/>
        </w:rPr>
        <w:t>; Uladzislau Vadadokhau</w:t>
      </w:r>
      <w:r w:rsidRPr="005C5496">
        <w:rPr>
          <w:rFonts w:ascii="Cambria" w:eastAsia="Times New Roman" w:hAnsi="Cambria" w:cs="Times New Roman"/>
          <w:color w:val="000000"/>
          <w:kern w:val="0"/>
          <w:sz w:val="14"/>
          <w:szCs w:val="14"/>
          <w:vertAlign w:val="superscript"/>
          <w14:ligatures w14:val="none"/>
        </w:rPr>
        <w:t>1</w:t>
      </w:r>
      <w:r w:rsidRPr="005C5496">
        <w:rPr>
          <w:rFonts w:ascii="Cambria" w:eastAsia="Times New Roman" w:hAnsi="Cambria" w:cs="Times New Roman"/>
          <w:color w:val="000000"/>
          <w:kern w:val="0"/>
          <w14:ligatures w14:val="none"/>
        </w:rPr>
        <w:t>; Danilo Ritz</w:t>
      </w:r>
      <w:r w:rsidRPr="005C5496">
        <w:rPr>
          <w:rFonts w:ascii="Cambria" w:eastAsia="Times New Roman" w:hAnsi="Cambria" w:cs="Times New Roman"/>
          <w:color w:val="000000"/>
          <w:kern w:val="0"/>
          <w:sz w:val="14"/>
          <w:szCs w:val="14"/>
          <w:vertAlign w:val="superscript"/>
          <w14:ligatures w14:val="none"/>
        </w:rPr>
        <w:t>2</w:t>
      </w:r>
      <w:r w:rsidRPr="005C5496">
        <w:rPr>
          <w:rFonts w:ascii="Cambria" w:eastAsia="Times New Roman" w:hAnsi="Cambria" w:cs="Times New Roman"/>
          <w:color w:val="000000"/>
          <w:kern w:val="0"/>
          <w14:ligatures w14:val="none"/>
        </w:rPr>
        <w:t>; Juho J. Miettinen</w:t>
      </w:r>
      <w:r w:rsidRPr="005C5496">
        <w:rPr>
          <w:rFonts w:ascii="Cambria" w:eastAsia="Times New Roman" w:hAnsi="Cambria" w:cs="Times New Roman"/>
          <w:color w:val="000000"/>
          <w:kern w:val="0"/>
          <w:sz w:val="14"/>
          <w:szCs w:val="14"/>
          <w:vertAlign w:val="superscript"/>
          <w14:ligatures w14:val="none"/>
        </w:rPr>
        <w:t>3</w:t>
      </w:r>
      <w:r w:rsidRPr="005C5496">
        <w:rPr>
          <w:rFonts w:ascii="Cambria" w:eastAsia="Times New Roman" w:hAnsi="Cambria" w:cs="Times New Roman"/>
          <w:color w:val="000000"/>
          <w:kern w:val="0"/>
          <w14:ligatures w14:val="none"/>
        </w:rPr>
        <w:t>; Rabah Soliymani</w:t>
      </w:r>
      <w:r w:rsidRPr="005C5496">
        <w:rPr>
          <w:rFonts w:ascii="Cambria" w:eastAsia="Times New Roman" w:hAnsi="Cambria" w:cs="Times New Roman"/>
          <w:color w:val="000000"/>
          <w:kern w:val="0"/>
          <w:sz w:val="14"/>
          <w:szCs w:val="14"/>
          <w:vertAlign w:val="superscript"/>
          <w14:ligatures w14:val="none"/>
        </w:rPr>
        <w:t>1</w:t>
      </w:r>
      <w:r w:rsidRPr="005C5496">
        <w:rPr>
          <w:rFonts w:ascii="Cambria" w:eastAsia="Times New Roman" w:hAnsi="Cambria" w:cs="Times New Roman"/>
          <w:color w:val="000000"/>
          <w:kern w:val="0"/>
          <w14:ligatures w14:val="none"/>
        </w:rPr>
        <w:t>; Marc Baumann</w:t>
      </w:r>
      <w:r w:rsidRPr="005C5496">
        <w:rPr>
          <w:rFonts w:ascii="Cambria" w:eastAsia="Times New Roman" w:hAnsi="Cambria" w:cs="Times New Roman"/>
          <w:color w:val="000000"/>
          <w:kern w:val="0"/>
          <w:sz w:val="14"/>
          <w:szCs w:val="14"/>
          <w:vertAlign w:val="superscript"/>
          <w14:ligatures w14:val="none"/>
        </w:rPr>
        <w:t>1</w:t>
      </w:r>
      <w:r w:rsidRPr="005C5496">
        <w:rPr>
          <w:rFonts w:ascii="Cambria" w:eastAsia="Times New Roman" w:hAnsi="Cambria" w:cs="Times New Roman"/>
          <w:color w:val="000000"/>
          <w:kern w:val="0"/>
          <w14:ligatures w14:val="none"/>
        </w:rPr>
        <w:t>;</w:t>
      </w:r>
      <w:r w:rsidRPr="005C5496">
        <w:rPr>
          <w:rFonts w:ascii="Cambria" w:eastAsia="Times New Roman" w:hAnsi="Cambria" w:cs="Times New Roman"/>
          <w:color w:val="FF0000"/>
          <w:kern w:val="0"/>
          <w14:ligatures w14:val="none"/>
        </w:rPr>
        <w:t xml:space="preserve"> </w:t>
      </w:r>
      <w:r w:rsidRPr="005C5496">
        <w:rPr>
          <w:rFonts w:ascii="Cambria" w:eastAsia="Times New Roman" w:hAnsi="Cambria" w:cs="Times New Roman"/>
          <w:color w:val="000000"/>
          <w:kern w:val="0"/>
          <w14:ligatures w14:val="none"/>
        </w:rPr>
        <w:t>Mathias Wilhelm</w:t>
      </w:r>
      <w:r w:rsidRPr="005C5496">
        <w:rPr>
          <w:rFonts w:ascii="Cambria" w:eastAsia="Times New Roman" w:hAnsi="Cambria" w:cs="Times New Roman"/>
          <w:color w:val="000000"/>
          <w:kern w:val="0"/>
          <w:sz w:val="14"/>
          <w:szCs w:val="14"/>
          <w:vertAlign w:val="superscript"/>
          <w14:ligatures w14:val="none"/>
        </w:rPr>
        <w:t>4</w:t>
      </w:r>
      <w:r w:rsidRPr="005C5496">
        <w:rPr>
          <w:rFonts w:ascii="Cambria" w:eastAsia="Times New Roman" w:hAnsi="Cambria" w:cs="Times New Roman"/>
          <w:color w:val="000000"/>
          <w:kern w:val="0"/>
          <w14:ligatures w14:val="none"/>
        </w:rPr>
        <w:t>; Esko Kankuri</w:t>
      </w:r>
      <w:r w:rsidRPr="005C5496">
        <w:rPr>
          <w:rFonts w:ascii="Cambria" w:eastAsia="Times New Roman" w:hAnsi="Cambria" w:cs="Times New Roman"/>
          <w:color w:val="000000"/>
          <w:kern w:val="0"/>
          <w:sz w:val="14"/>
          <w:szCs w:val="14"/>
          <w:vertAlign w:val="superscript"/>
          <w14:ligatures w14:val="none"/>
        </w:rPr>
        <w:t>5</w:t>
      </w:r>
      <w:r w:rsidRPr="005C5496">
        <w:rPr>
          <w:rFonts w:ascii="Cambria" w:eastAsia="Times New Roman" w:hAnsi="Cambria" w:cs="Times New Roman"/>
          <w:color w:val="000000"/>
          <w:kern w:val="0"/>
          <w14:ligatures w14:val="none"/>
        </w:rPr>
        <w:t>; Paul A. Haynes</w:t>
      </w:r>
      <w:r w:rsidRPr="005C5496">
        <w:rPr>
          <w:rFonts w:ascii="Cambria" w:eastAsia="Times New Roman" w:hAnsi="Cambria" w:cs="Times New Roman"/>
          <w:color w:val="000000"/>
          <w:kern w:val="0"/>
          <w:sz w:val="14"/>
          <w:szCs w:val="14"/>
          <w:vertAlign w:val="superscript"/>
          <w14:ligatures w14:val="none"/>
        </w:rPr>
        <w:t>6</w:t>
      </w:r>
      <w:r w:rsidRPr="005C5496">
        <w:rPr>
          <w:rFonts w:ascii="Cambria" w:eastAsia="Times New Roman" w:hAnsi="Cambria" w:cs="Times New Roman"/>
          <w:color w:val="000000"/>
          <w:kern w:val="0"/>
          <w14:ligatures w14:val="none"/>
        </w:rPr>
        <w:t>;</w:t>
      </w:r>
      <w:r w:rsidRPr="005C5496">
        <w:rPr>
          <w:rFonts w:ascii="Calibri" w:eastAsia="Times New Roman" w:hAnsi="Calibri" w:cs="Calibri"/>
          <w:color w:val="000000"/>
          <w:kern w:val="0"/>
          <w:sz w:val="22"/>
          <w:szCs w:val="22"/>
          <w14:ligatures w14:val="none"/>
        </w:rPr>
        <w:t xml:space="preserve"> </w:t>
      </w:r>
      <w:r w:rsidRPr="005C5496">
        <w:rPr>
          <w:rFonts w:ascii="Cambria" w:eastAsia="Times New Roman" w:hAnsi="Cambria" w:cs="Times New Roman"/>
          <w:color w:val="000000"/>
          <w:kern w:val="0"/>
          <w14:ligatures w14:val="none"/>
        </w:rPr>
        <w:t>Caroline A. Heckman</w:t>
      </w:r>
      <w:r w:rsidRPr="005C5496">
        <w:rPr>
          <w:rFonts w:ascii="Cambria" w:eastAsia="Times New Roman" w:hAnsi="Cambria" w:cs="Times New Roman"/>
          <w:color w:val="000000"/>
          <w:kern w:val="0"/>
          <w:sz w:val="14"/>
          <w:szCs w:val="14"/>
          <w:vertAlign w:val="superscript"/>
          <w14:ligatures w14:val="none"/>
        </w:rPr>
        <w:t>3</w:t>
      </w:r>
      <w:r w:rsidRPr="005C5496">
        <w:rPr>
          <w:rFonts w:ascii="Cambria" w:eastAsia="Times New Roman" w:hAnsi="Cambria" w:cs="Times New Roman"/>
          <w:color w:val="000000"/>
          <w:kern w:val="0"/>
          <w14:ligatures w14:val="none"/>
        </w:rPr>
        <w:t xml:space="preserve">; Amir A. </w:t>
      </w:r>
      <w:proofErr w:type="spellStart"/>
      <w:r w:rsidRPr="005C5496">
        <w:rPr>
          <w:rFonts w:ascii="Cambria" w:eastAsia="Times New Roman" w:hAnsi="Cambria" w:cs="Times New Roman"/>
          <w:color w:val="000000"/>
          <w:kern w:val="0"/>
          <w14:ligatures w14:val="none"/>
        </w:rPr>
        <w:t>Saei</w:t>
      </w:r>
      <w:proofErr w:type="spellEnd"/>
      <w:r w:rsidRPr="005C5496">
        <w:rPr>
          <w:rFonts w:ascii="Cambria" w:eastAsia="Times New Roman" w:hAnsi="Cambria" w:cs="Times New Roman"/>
          <w:color w:val="000000"/>
          <w:kern w:val="0"/>
          <w14:ligatures w14:val="none"/>
        </w:rPr>
        <w:t xml:space="preserve"> </w:t>
      </w:r>
      <w:proofErr w:type="gramStart"/>
      <w:r w:rsidRPr="005C5496">
        <w:rPr>
          <w:rFonts w:ascii="Cambria" w:eastAsia="Times New Roman" w:hAnsi="Cambria" w:cs="Times New Roman"/>
          <w:color w:val="000000"/>
          <w:kern w:val="0"/>
          <w:sz w:val="14"/>
          <w:szCs w:val="14"/>
          <w:vertAlign w:val="superscript"/>
          <w14:ligatures w14:val="none"/>
        </w:rPr>
        <w:t>7,ϙ</w:t>
      </w:r>
      <w:proofErr w:type="gramEnd"/>
      <w:r w:rsidRPr="005C5496">
        <w:rPr>
          <w:rFonts w:ascii="Cambria" w:eastAsia="Times New Roman" w:hAnsi="Cambria" w:cs="Times New Roman"/>
          <w:color w:val="000000"/>
          <w:kern w:val="0"/>
          <w14:ligatures w14:val="none"/>
        </w:rPr>
        <w:t xml:space="preserve"> and Mohieddin Jafari</w:t>
      </w:r>
      <w:proofErr w:type="gramStart"/>
      <w:r w:rsidRPr="005C5496">
        <w:rPr>
          <w:rFonts w:ascii="Cambria" w:eastAsia="Times New Roman" w:hAnsi="Cambria" w:cs="Times New Roman"/>
          <w:color w:val="000000"/>
          <w:kern w:val="0"/>
          <w:sz w:val="14"/>
          <w:szCs w:val="14"/>
          <w:vertAlign w:val="superscript"/>
          <w14:ligatures w14:val="none"/>
        </w:rPr>
        <w:t>1,ϙ</w:t>
      </w:r>
      <w:proofErr w:type="gramEnd"/>
      <w:r w:rsidRPr="005C5496">
        <w:rPr>
          <w:rFonts w:ascii="Cambria" w:eastAsia="Times New Roman" w:hAnsi="Cambria" w:cs="Times New Roman"/>
          <w:color w:val="000000"/>
          <w:kern w:val="0"/>
          <w:sz w:val="14"/>
          <w:szCs w:val="14"/>
          <w:vertAlign w:val="superscript"/>
          <w14:ligatures w14:val="none"/>
        </w:rPr>
        <w:t>,</w:t>
      </w:r>
      <w:r w:rsidRPr="005C5496">
        <w:rPr>
          <w:rFonts w:ascii="Cambria" w:eastAsia="Times New Roman" w:hAnsi="Cambria" w:cs="Times New Roman"/>
          <w:color w:val="000000"/>
          <w:kern w:val="0"/>
          <w14:ligatures w14:val="none"/>
        </w:rPr>
        <w:t>*</w:t>
      </w:r>
    </w:p>
    <w:p w14:paraId="6342846A" w14:textId="77777777" w:rsidR="005C5496" w:rsidRPr="005C5496" w:rsidRDefault="005C5496" w:rsidP="005C5496">
      <w:pPr>
        <w:spacing w:after="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sz w:val="20"/>
          <w:szCs w:val="20"/>
          <w14:ligatures w14:val="none"/>
        </w:rPr>
        <w:t>(1) Department of Biochemistry and Developmental Biology, Faculty of Medicine, University of Helsinki, Helsinki, Finland. </w:t>
      </w:r>
    </w:p>
    <w:p w14:paraId="09DED2E4" w14:textId="77777777" w:rsidR="005C5496" w:rsidRPr="005C5496" w:rsidRDefault="005C5496" w:rsidP="005C5496">
      <w:pPr>
        <w:spacing w:after="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sz w:val="20"/>
          <w:szCs w:val="20"/>
          <w14:ligatures w14:val="none"/>
        </w:rPr>
        <w:t xml:space="preserve">(2) </w:t>
      </w:r>
      <w:proofErr w:type="spellStart"/>
      <w:r w:rsidRPr="005C5496">
        <w:rPr>
          <w:rFonts w:ascii="Cambria" w:eastAsia="Times New Roman" w:hAnsi="Cambria" w:cs="Times New Roman"/>
          <w:color w:val="000000"/>
          <w:kern w:val="0"/>
          <w:sz w:val="20"/>
          <w:szCs w:val="20"/>
          <w14:ligatures w14:val="none"/>
        </w:rPr>
        <w:t>Biozentrum</w:t>
      </w:r>
      <w:proofErr w:type="spellEnd"/>
      <w:r w:rsidRPr="005C5496">
        <w:rPr>
          <w:rFonts w:ascii="Cambria" w:eastAsia="Times New Roman" w:hAnsi="Cambria" w:cs="Times New Roman"/>
          <w:color w:val="000000"/>
          <w:kern w:val="0"/>
          <w:sz w:val="20"/>
          <w:szCs w:val="20"/>
          <w14:ligatures w14:val="none"/>
        </w:rPr>
        <w:t>, University of Basel, Basel, Switzerland.</w:t>
      </w:r>
    </w:p>
    <w:p w14:paraId="444D3C62" w14:textId="77777777" w:rsidR="005C5496" w:rsidRPr="005C5496" w:rsidRDefault="005C5496" w:rsidP="005C5496">
      <w:pPr>
        <w:spacing w:after="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sz w:val="20"/>
          <w:szCs w:val="20"/>
          <w14:ligatures w14:val="none"/>
        </w:rPr>
        <w:t xml:space="preserve">(3) Institute for Molecular Medicine Finland (FIMM), Helsinki Institute of Life Science, </w:t>
      </w:r>
      <w:proofErr w:type="spellStart"/>
      <w:r w:rsidRPr="005C5496">
        <w:rPr>
          <w:rFonts w:ascii="Cambria" w:eastAsia="Times New Roman" w:hAnsi="Cambria" w:cs="Times New Roman"/>
          <w:color w:val="000000"/>
          <w:kern w:val="0"/>
          <w:sz w:val="20"/>
          <w:szCs w:val="20"/>
          <w14:ligatures w14:val="none"/>
        </w:rPr>
        <w:t>iCAN</w:t>
      </w:r>
      <w:proofErr w:type="spellEnd"/>
      <w:r w:rsidRPr="005C5496">
        <w:rPr>
          <w:rFonts w:ascii="Cambria" w:eastAsia="Times New Roman" w:hAnsi="Cambria" w:cs="Times New Roman"/>
          <w:color w:val="000000"/>
          <w:kern w:val="0"/>
          <w:sz w:val="20"/>
          <w:szCs w:val="20"/>
          <w14:ligatures w14:val="none"/>
        </w:rPr>
        <w:t xml:space="preserve"> Digital Cancer Medicine Flagship, University of Helsinki, Helsinki, Finland.</w:t>
      </w:r>
    </w:p>
    <w:p w14:paraId="62126759" w14:textId="77777777" w:rsidR="005C5496" w:rsidRPr="005C5496" w:rsidRDefault="005C5496" w:rsidP="005C5496">
      <w:pPr>
        <w:spacing w:after="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sz w:val="20"/>
          <w:szCs w:val="20"/>
          <w14:ligatures w14:val="none"/>
        </w:rPr>
        <w:t xml:space="preserve">(4) </w:t>
      </w:r>
      <w:hyperlink r:id="rId7" w:history="1">
        <w:r w:rsidRPr="005C5496">
          <w:rPr>
            <w:rFonts w:ascii="Cambria" w:eastAsia="Times New Roman" w:hAnsi="Cambria" w:cs="Times New Roman"/>
            <w:color w:val="000000"/>
            <w:kern w:val="0"/>
            <w:sz w:val="20"/>
            <w:szCs w:val="20"/>
            <w:u w:val="single"/>
            <w14:ligatures w14:val="none"/>
          </w:rPr>
          <w:t>Technical University of Munich</w:t>
        </w:r>
      </w:hyperlink>
      <w:r w:rsidRPr="005C5496">
        <w:rPr>
          <w:rFonts w:ascii="Cambria" w:eastAsia="Times New Roman" w:hAnsi="Cambria" w:cs="Times New Roman"/>
          <w:color w:val="000000"/>
          <w:kern w:val="0"/>
          <w:sz w:val="20"/>
          <w:szCs w:val="20"/>
          <w14:ligatures w14:val="none"/>
        </w:rPr>
        <w:t>, Munich, Germany.</w:t>
      </w:r>
    </w:p>
    <w:p w14:paraId="7713A2D0" w14:textId="77777777" w:rsidR="005C5496" w:rsidRPr="005C5496" w:rsidRDefault="005C5496" w:rsidP="005C5496">
      <w:pPr>
        <w:spacing w:after="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sz w:val="20"/>
          <w:szCs w:val="20"/>
          <w14:ligatures w14:val="none"/>
        </w:rPr>
        <w:t>(5) Department of Pharmacology, Faculty of Medicine, University of Helsinki, Helsinki, Finland</w:t>
      </w:r>
    </w:p>
    <w:p w14:paraId="4759EB77" w14:textId="77777777" w:rsidR="005C5496" w:rsidRPr="005C5496" w:rsidRDefault="005C5496" w:rsidP="005C5496">
      <w:pPr>
        <w:spacing w:after="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sz w:val="20"/>
          <w:szCs w:val="20"/>
          <w14:ligatures w14:val="none"/>
        </w:rPr>
        <w:t>(6) School of Natural Sciences, Macquarie University, North Ryde, New South Wales 2109, Australia</w:t>
      </w:r>
    </w:p>
    <w:p w14:paraId="5FAB0F44" w14:textId="77777777" w:rsidR="005C5496" w:rsidRPr="005C5496" w:rsidRDefault="005C5496" w:rsidP="005C5496">
      <w:pPr>
        <w:spacing w:after="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sz w:val="20"/>
          <w:szCs w:val="20"/>
          <w14:ligatures w14:val="none"/>
        </w:rPr>
        <w:t>(7) Department of Microbiology, Tumor and Cell Biology, Karolinska Institutet, Stockholm, Sweden.</w:t>
      </w:r>
    </w:p>
    <w:p w14:paraId="40759824" w14:textId="77777777" w:rsidR="005C5496" w:rsidRPr="005C5496" w:rsidRDefault="005C5496" w:rsidP="005C5496">
      <w:pPr>
        <w:spacing w:after="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sz w:val="20"/>
          <w:szCs w:val="20"/>
          <w14:ligatures w14:val="none"/>
        </w:rPr>
        <w:t>ϕ These authors contributed as co-first authors.</w:t>
      </w:r>
    </w:p>
    <w:p w14:paraId="7A5A8141" w14:textId="77777777" w:rsidR="005C5496" w:rsidRPr="005C5496" w:rsidRDefault="005C5496" w:rsidP="005C5496">
      <w:pPr>
        <w:spacing w:after="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sz w:val="12"/>
          <w:szCs w:val="12"/>
          <w:vertAlign w:val="superscript"/>
          <w14:ligatures w14:val="none"/>
        </w:rPr>
        <w:t>ϙ</w:t>
      </w:r>
      <w:r w:rsidRPr="005C5496">
        <w:rPr>
          <w:rFonts w:ascii="Cambria" w:eastAsia="Times New Roman" w:hAnsi="Cambria" w:cs="Times New Roman"/>
          <w:color w:val="000000"/>
          <w:kern w:val="0"/>
          <w:sz w:val="20"/>
          <w:szCs w:val="20"/>
          <w14:ligatures w14:val="none"/>
        </w:rPr>
        <w:t xml:space="preserve"> These authors contributed as co-last authors.</w:t>
      </w:r>
    </w:p>
    <w:p w14:paraId="7D1D9531" w14:textId="77777777" w:rsidR="005C5496" w:rsidRPr="005C5496" w:rsidRDefault="005C5496" w:rsidP="005C5496">
      <w:pPr>
        <w:spacing w:before="240" w:after="24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sz w:val="20"/>
          <w:szCs w:val="20"/>
          <w14:ligatures w14:val="none"/>
        </w:rPr>
        <w:t>* Corresponding author:</w:t>
      </w:r>
    </w:p>
    <w:p w14:paraId="72F17F4B" w14:textId="77777777" w:rsidR="005C5496" w:rsidRPr="005C5496" w:rsidRDefault="005C5496" w:rsidP="005C5496">
      <w:pPr>
        <w:spacing w:before="240" w:after="240" w:line="240" w:lineRule="auto"/>
        <w:jc w:val="both"/>
        <w:rPr>
          <w:rFonts w:ascii="Times New Roman" w:eastAsia="Times New Roman" w:hAnsi="Times New Roman" w:cs="Times New Roman"/>
          <w:kern w:val="0"/>
          <w14:ligatures w14:val="none"/>
        </w:rPr>
      </w:pPr>
      <w:r w:rsidRPr="005C5496">
        <w:rPr>
          <w:rFonts w:ascii="Cambria" w:eastAsia="Times New Roman" w:hAnsi="Cambria" w:cs="Times New Roman"/>
          <w:color w:val="000000"/>
          <w:kern w:val="0"/>
          <w:sz w:val="20"/>
          <w:szCs w:val="20"/>
          <w14:ligatures w14:val="none"/>
        </w:rPr>
        <w:t>Mohieddin Jafari, </w:t>
      </w:r>
    </w:p>
    <w:p w14:paraId="331413F3" w14:textId="66F3BA5D" w:rsidR="005C5496" w:rsidRDefault="005C5496" w:rsidP="005C5496">
      <w:pPr>
        <w:rPr>
          <w:rFonts w:ascii="Times New Roman" w:eastAsia="Times New Roman" w:hAnsi="Times New Roman" w:cs="Times New Roman"/>
          <w:kern w:val="0"/>
          <w14:ligatures w14:val="none"/>
        </w:rPr>
      </w:pPr>
      <w:hyperlink r:id="rId8" w:history="1">
        <w:r w:rsidRPr="005C5496">
          <w:rPr>
            <w:rFonts w:ascii="Cambria" w:eastAsia="Times New Roman" w:hAnsi="Cambria" w:cs="Times New Roman"/>
            <w:color w:val="1155CC"/>
            <w:kern w:val="0"/>
            <w:sz w:val="20"/>
            <w:szCs w:val="20"/>
            <w:u w:val="single"/>
            <w14:ligatures w14:val="none"/>
          </w:rPr>
          <w:t>mohieddin.jafari@helsinki.fi</w:t>
        </w:r>
      </w:hyperlink>
    </w:p>
    <w:p w14:paraId="58D45647" w14:textId="77777777" w:rsidR="005C5496" w:rsidRPr="005C5496" w:rsidRDefault="005C5496">
      <w:pPr>
        <w:rPr>
          <w:rFonts w:ascii="Cambria" w:eastAsia="Times New Roman" w:hAnsi="Cambria" w:cs="Times New Roman"/>
          <w:b/>
          <w:bCs/>
          <w:kern w:val="0"/>
          <w14:ligatures w14:val="none"/>
        </w:rPr>
      </w:pPr>
      <w:r>
        <w:rPr>
          <w:rFonts w:ascii="Times New Roman" w:eastAsia="Times New Roman" w:hAnsi="Times New Roman" w:cs="Times New Roman"/>
          <w:kern w:val="0"/>
          <w14:ligatures w14:val="none"/>
        </w:rPr>
        <w:br w:type="page"/>
      </w:r>
      <w:r>
        <w:rPr>
          <w:rFonts w:ascii="Times New Roman" w:eastAsia="Times New Roman" w:hAnsi="Times New Roman" w:cs="Times New Roman"/>
          <w:kern w:val="0"/>
          <w14:ligatures w14:val="none"/>
        </w:rPr>
        <w:lastRenderedPageBreak/>
        <w:br/>
      </w:r>
    </w:p>
    <w:sdt>
      <w:sdtPr>
        <w:rPr>
          <w:rFonts w:asciiTheme="minorHAnsi" w:eastAsiaTheme="minorHAnsi" w:hAnsiTheme="minorHAnsi" w:cstheme="minorBidi"/>
          <w:color w:val="auto"/>
          <w:kern w:val="2"/>
          <w:sz w:val="24"/>
          <w:szCs w:val="24"/>
          <w14:ligatures w14:val="standardContextual"/>
        </w:rPr>
        <w:id w:val="-2133307860"/>
        <w:docPartObj>
          <w:docPartGallery w:val="Table of Contents"/>
          <w:docPartUnique/>
        </w:docPartObj>
      </w:sdtPr>
      <w:sdtEndPr>
        <w:rPr>
          <w:b/>
          <w:bCs/>
          <w:noProof/>
        </w:rPr>
      </w:sdtEndPr>
      <w:sdtContent>
        <w:p w14:paraId="32BC98F2" w14:textId="0189BACE" w:rsidR="00DC7EF9" w:rsidRPr="00DC7EF9" w:rsidRDefault="00DC7EF9">
          <w:pPr>
            <w:pStyle w:val="TOCHeading"/>
            <w:rPr>
              <w:rFonts w:ascii="Cambria" w:hAnsi="Cambria"/>
              <w:b/>
              <w:bCs/>
              <w:color w:val="auto"/>
              <w:sz w:val="22"/>
              <w:szCs w:val="22"/>
            </w:rPr>
          </w:pPr>
          <w:r w:rsidRPr="00DC7EF9">
            <w:rPr>
              <w:rFonts w:ascii="Cambria" w:hAnsi="Cambria"/>
              <w:b/>
              <w:bCs/>
              <w:color w:val="auto"/>
              <w:sz w:val="22"/>
              <w:szCs w:val="22"/>
            </w:rPr>
            <w:t>Figures</w:t>
          </w:r>
        </w:p>
        <w:p w14:paraId="0C27DAAE" w14:textId="51661AC5" w:rsidR="00DC7EF9" w:rsidRPr="00DC7EF9" w:rsidRDefault="00DC7EF9">
          <w:pPr>
            <w:pStyle w:val="TOC2"/>
            <w:rPr>
              <w:rFonts w:ascii="Cambria" w:eastAsiaTheme="minorEastAsia" w:hAnsi="Cambria"/>
              <w:b/>
              <w:bCs/>
              <w:noProof/>
              <w:sz w:val="22"/>
              <w:szCs w:val="22"/>
            </w:rPr>
          </w:pPr>
          <w:r w:rsidRPr="00DC7EF9">
            <w:rPr>
              <w:rFonts w:ascii="Cambria" w:hAnsi="Cambria"/>
              <w:b/>
              <w:bCs/>
              <w:sz w:val="22"/>
              <w:szCs w:val="22"/>
            </w:rPr>
            <w:fldChar w:fldCharType="begin"/>
          </w:r>
          <w:r w:rsidRPr="00DC7EF9">
            <w:rPr>
              <w:rFonts w:ascii="Cambria" w:hAnsi="Cambria"/>
              <w:b/>
              <w:bCs/>
              <w:sz w:val="22"/>
              <w:szCs w:val="22"/>
            </w:rPr>
            <w:instrText xml:space="preserve"> TOC \o "1-3" \h \z \u </w:instrText>
          </w:r>
          <w:r w:rsidRPr="00DC7EF9">
            <w:rPr>
              <w:rFonts w:ascii="Cambria" w:hAnsi="Cambria"/>
              <w:b/>
              <w:bCs/>
              <w:sz w:val="22"/>
              <w:szCs w:val="22"/>
            </w:rPr>
            <w:fldChar w:fldCharType="separate"/>
          </w:r>
          <w:hyperlink w:anchor="_Toc204331270" w:history="1">
            <w:r w:rsidRPr="00DC7EF9">
              <w:rPr>
                <w:rStyle w:val="Hyperlink"/>
                <w:rFonts w:ascii="Cambria" w:hAnsi="Cambria"/>
                <w:b/>
                <w:bCs/>
                <w:noProof/>
                <w:color w:val="auto"/>
                <w:sz w:val="22"/>
                <w:szCs w:val="22"/>
              </w:rPr>
              <w:t>Figure 1. Upset plot showing AML gene overlaps across CoPISA treatment conditions.</w:t>
            </w:r>
            <w:r w:rsidRPr="00DC7EF9">
              <w:rPr>
                <w:rFonts w:ascii="Cambria" w:hAnsi="Cambria"/>
                <w:b/>
                <w:bCs/>
                <w:noProof/>
                <w:webHidden/>
                <w:sz w:val="22"/>
                <w:szCs w:val="22"/>
              </w:rPr>
              <w:tab/>
            </w:r>
            <w:r w:rsidRPr="00DC7EF9">
              <w:rPr>
                <w:rFonts w:ascii="Cambria" w:hAnsi="Cambria"/>
                <w:b/>
                <w:bCs/>
                <w:noProof/>
                <w:webHidden/>
                <w:sz w:val="22"/>
                <w:szCs w:val="22"/>
              </w:rPr>
              <w:fldChar w:fldCharType="begin"/>
            </w:r>
            <w:r w:rsidRPr="00DC7EF9">
              <w:rPr>
                <w:rFonts w:ascii="Cambria" w:hAnsi="Cambria"/>
                <w:b/>
                <w:bCs/>
                <w:noProof/>
                <w:webHidden/>
                <w:sz w:val="22"/>
                <w:szCs w:val="22"/>
              </w:rPr>
              <w:instrText xml:space="preserve"> PAGEREF _Toc204331270 \h </w:instrText>
            </w:r>
            <w:r w:rsidRPr="00DC7EF9">
              <w:rPr>
                <w:rFonts w:ascii="Cambria" w:hAnsi="Cambria"/>
                <w:b/>
                <w:bCs/>
                <w:noProof/>
                <w:webHidden/>
                <w:sz w:val="22"/>
                <w:szCs w:val="22"/>
              </w:rPr>
            </w:r>
            <w:r w:rsidRPr="00DC7EF9">
              <w:rPr>
                <w:rFonts w:ascii="Cambria" w:hAnsi="Cambria"/>
                <w:b/>
                <w:bCs/>
                <w:noProof/>
                <w:webHidden/>
                <w:sz w:val="22"/>
                <w:szCs w:val="22"/>
              </w:rPr>
              <w:fldChar w:fldCharType="separate"/>
            </w:r>
            <w:r w:rsidRPr="00DC7EF9">
              <w:rPr>
                <w:rFonts w:ascii="Cambria" w:hAnsi="Cambria"/>
                <w:b/>
                <w:bCs/>
                <w:noProof/>
                <w:webHidden/>
                <w:sz w:val="22"/>
                <w:szCs w:val="22"/>
              </w:rPr>
              <w:t>3</w:t>
            </w:r>
            <w:r w:rsidRPr="00DC7EF9">
              <w:rPr>
                <w:rFonts w:ascii="Cambria" w:hAnsi="Cambria"/>
                <w:b/>
                <w:bCs/>
                <w:noProof/>
                <w:webHidden/>
                <w:sz w:val="22"/>
                <w:szCs w:val="22"/>
              </w:rPr>
              <w:fldChar w:fldCharType="end"/>
            </w:r>
          </w:hyperlink>
        </w:p>
        <w:p w14:paraId="6FFCEC2C" w14:textId="29A28308" w:rsidR="00DC7EF9" w:rsidRPr="00DC7EF9" w:rsidRDefault="00DC7EF9">
          <w:pPr>
            <w:pStyle w:val="TOC2"/>
            <w:rPr>
              <w:rFonts w:ascii="Cambria" w:eastAsiaTheme="minorEastAsia" w:hAnsi="Cambria"/>
              <w:b/>
              <w:bCs/>
              <w:noProof/>
              <w:sz w:val="22"/>
              <w:szCs w:val="22"/>
            </w:rPr>
          </w:pPr>
          <w:hyperlink w:anchor="_Toc204331271" w:history="1">
            <w:r w:rsidRPr="00DC7EF9">
              <w:rPr>
                <w:rStyle w:val="Hyperlink"/>
                <w:rFonts w:ascii="Cambria" w:hAnsi="Cambria"/>
                <w:b/>
                <w:bCs/>
                <w:noProof/>
                <w:color w:val="auto"/>
                <w:sz w:val="22"/>
                <w:szCs w:val="22"/>
              </w:rPr>
              <w:t>Figure 2. Bubble plots from PEIMAN2 enrichment for all treatment comparisons in living cells</w:t>
            </w:r>
            <w:r w:rsidRPr="00DC7EF9">
              <w:rPr>
                <w:rFonts w:ascii="Cambria" w:hAnsi="Cambria"/>
                <w:b/>
                <w:bCs/>
                <w:noProof/>
                <w:webHidden/>
                <w:sz w:val="22"/>
                <w:szCs w:val="22"/>
              </w:rPr>
              <w:tab/>
            </w:r>
            <w:r w:rsidRPr="00DC7EF9">
              <w:rPr>
                <w:rFonts w:ascii="Cambria" w:hAnsi="Cambria"/>
                <w:b/>
                <w:bCs/>
                <w:noProof/>
                <w:webHidden/>
                <w:sz w:val="22"/>
                <w:szCs w:val="22"/>
              </w:rPr>
              <w:fldChar w:fldCharType="begin"/>
            </w:r>
            <w:r w:rsidRPr="00DC7EF9">
              <w:rPr>
                <w:rFonts w:ascii="Cambria" w:hAnsi="Cambria"/>
                <w:b/>
                <w:bCs/>
                <w:noProof/>
                <w:webHidden/>
                <w:sz w:val="22"/>
                <w:szCs w:val="22"/>
              </w:rPr>
              <w:instrText xml:space="preserve"> PAGEREF _Toc204331271 \h </w:instrText>
            </w:r>
            <w:r w:rsidRPr="00DC7EF9">
              <w:rPr>
                <w:rFonts w:ascii="Cambria" w:hAnsi="Cambria"/>
                <w:b/>
                <w:bCs/>
                <w:noProof/>
                <w:webHidden/>
                <w:sz w:val="22"/>
                <w:szCs w:val="22"/>
              </w:rPr>
            </w:r>
            <w:r w:rsidRPr="00DC7EF9">
              <w:rPr>
                <w:rFonts w:ascii="Cambria" w:hAnsi="Cambria"/>
                <w:b/>
                <w:bCs/>
                <w:noProof/>
                <w:webHidden/>
                <w:sz w:val="22"/>
                <w:szCs w:val="22"/>
              </w:rPr>
              <w:fldChar w:fldCharType="separate"/>
            </w:r>
            <w:r w:rsidRPr="00DC7EF9">
              <w:rPr>
                <w:rFonts w:ascii="Cambria" w:hAnsi="Cambria"/>
                <w:b/>
                <w:bCs/>
                <w:noProof/>
                <w:webHidden/>
                <w:sz w:val="22"/>
                <w:szCs w:val="22"/>
              </w:rPr>
              <w:t>4</w:t>
            </w:r>
            <w:r w:rsidRPr="00DC7EF9">
              <w:rPr>
                <w:rFonts w:ascii="Cambria" w:hAnsi="Cambria"/>
                <w:b/>
                <w:bCs/>
                <w:noProof/>
                <w:webHidden/>
                <w:sz w:val="22"/>
                <w:szCs w:val="22"/>
              </w:rPr>
              <w:fldChar w:fldCharType="end"/>
            </w:r>
          </w:hyperlink>
        </w:p>
        <w:p w14:paraId="54FD3F35" w14:textId="2DED3F2C" w:rsidR="00DC7EF9" w:rsidRPr="00DC7EF9" w:rsidRDefault="00DC7EF9">
          <w:pPr>
            <w:pStyle w:val="TOC2"/>
            <w:rPr>
              <w:rFonts w:ascii="Cambria" w:eastAsiaTheme="minorEastAsia" w:hAnsi="Cambria"/>
              <w:b/>
              <w:bCs/>
              <w:noProof/>
              <w:sz w:val="22"/>
              <w:szCs w:val="22"/>
            </w:rPr>
          </w:pPr>
          <w:hyperlink w:anchor="_Toc204331272" w:history="1">
            <w:r w:rsidRPr="00DC7EF9">
              <w:rPr>
                <w:rStyle w:val="Hyperlink"/>
                <w:rFonts w:ascii="Cambria" w:hAnsi="Cambria"/>
                <w:b/>
                <w:bCs/>
                <w:noProof/>
                <w:color w:val="auto"/>
                <w:sz w:val="22"/>
                <w:szCs w:val="22"/>
              </w:rPr>
              <w:t>Figure 3. Protein targets of therapy and their PTM status in cell lysates</w:t>
            </w:r>
            <w:r w:rsidRPr="00DC7EF9">
              <w:rPr>
                <w:rFonts w:ascii="Cambria" w:hAnsi="Cambria"/>
                <w:b/>
                <w:bCs/>
                <w:noProof/>
                <w:webHidden/>
                <w:sz w:val="22"/>
                <w:szCs w:val="22"/>
              </w:rPr>
              <w:tab/>
            </w:r>
            <w:r w:rsidRPr="00DC7EF9">
              <w:rPr>
                <w:rFonts w:ascii="Cambria" w:hAnsi="Cambria"/>
                <w:b/>
                <w:bCs/>
                <w:noProof/>
                <w:webHidden/>
                <w:sz w:val="22"/>
                <w:szCs w:val="22"/>
              </w:rPr>
              <w:fldChar w:fldCharType="begin"/>
            </w:r>
            <w:r w:rsidRPr="00DC7EF9">
              <w:rPr>
                <w:rFonts w:ascii="Cambria" w:hAnsi="Cambria"/>
                <w:b/>
                <w:bCs/>
                <w:noProof/>
                <w:webHidden/>
                <w:sz w:val="22"/>
                <w:szCs w:val="22"/>
              </w:rPr>
              <w:instrText xml:space="preserve"> PAGEREF _Toc204331272 \h </w:instrText>
            </w:r>
            <w:r w:rsidRPr="00DC7EF9">
              <w:rPr>
                <w:rFonts w:ascii="Cambria" w:hAnsi="Cambria"/>
                <w:b/>
                <w:bCs/>
                <w:noProof/>
                <w:webHidden/>
                <w:sz w:val="22"/>
                <w:szCs w:val="22"/>
              </w:rPr>
            </w:r>
            <w:r w:rsidRPr="00DC7EF9">
              <w:rPr>
                <w:rFonts w:ascii="Cambria" w:hAnsi="Cambria"/>
                <w:b/>
                <w:bCs/>
                <w:noProof/>
                <w:webHidden/>
                <w:sz w:val="22"/>
                <w:szCs w:val="22"/>
              </w:rPr>
              <w:fldChar w:fldCharType="separate"/>
            </w:r>
            <w:r w:rsidRPr="00DC7EF9">
              <w:rPr>
                <w:rFonts w:ascii="Cambria" w:hAnsi="Cambria"/>
                <w:b/>
                <w:bCs/>
                <w:noProof/>
                <w:webHidden/>
                <w:sz w:val="22"/>
                <w:szCs w:val="22"/>
              </w:rPr>
              <w:t>5</w:t>
            </w:r>
            <w:r w:rsidRPr="00DC7EF9">
              <w:rPr>
                <w:rFonts w:ascii="Cambria" w:hAnsi="Cambria"/>
                <w:b/>
                <w:bCs/>
                <w:noProof/>
                <w:webHidden/>
                <w:sz w:val="22"/>
                <w:szCs w:val="22"/>
              </w:rPr>
              <w:fldChar w:fldCharType="end"/>
            </w:r>
          </w:hyperlink>
        </w:p>
        <w:p w14:paraId="084443D9" w14:textId="019D46AB" w:rsidR="00DC7EF9" w:rsidRDefault="00DC7EF9">
          <w:r w:rsidRPr="00DC7EF9">
            <w:rPr>
              <w:rFonts w:ascii="Cambria" w:hAnsi="Cambria"/>
              <w:b/>
              <w:bCs/>
              <w:noProof/>
              <w:sz w:val="22"/>
              <w:szCs w:val="22"/>
            </w:rPr>
            <w:fldChar w:fldCharType="end"/>
          </w:r>
        </w:p>
      </w:sdtContent>
    </w:sdt>
    <w:p w14:paraId="6DE7CF3B" w14:textId="041D8A5D" w:rsidR="005C5496" w:rsidRDefault="005C5496" w:rsidP="005C5496">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1956FEC6" w14:textId="6DB45FAB" w:rsidR="005C5496" w:rsidRDefault="00C52113" w:rsidP="005C5496">
      <w:pPr>
        <w:keepNext/>
      </w:pPr>
      <w:r>
        <w:rPr>
          <w:noProof/>
        </w:rPr>
        <w:lastRenderedPageBreak/>
        <w:drawing>
          <wp:inline distT="0" distB="0" distL="0" distR="0" wp14:anchorId="3BC701E8" wp14:editId="389385F8">
            <wp:extent cx="6332220" cy="4742815"/>
            <wp:effectExtent l="0" t="0" r="5080" b="0"/>
            <wp:docPr id="19905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0177" name=""/>
                    <pic:cNvPicPr/>
                  </pic:nvPicPr>
                  <pic:blipFill>
                    <a:blip r:embed="rId9"/>
                    <a:stretch>
                      <a:fillRect/>
                    </a:stretch>
                  </pic:blipFill>
                  <pic:spPr>
                    <a:xfrm>
                      <a:off x="0" y="0"/>
                      <a:ext cx="6332220" cy="4742815"/>
                    </a:xfrm>
                    <a:prstGeom prst="rect">
                      <a:avLst/>
                    </a:prstGeom>
                  </pic:spPr>
                </pic:pic>
              </a:graphicData>
            </a:graphic>
          </wp:inline>
        </w:drawing>
      </w:r>
    </w:p>
    <w:p w14:paraId="01564DCF" w14:textId="5F6EF59C" w:rsidR="005C5496" w:rsidRDefault="005C5496" w:rsidP="00C92E10">
      <w:pPr>
        <w:pStyle w:val="Caption"/>
        <w:jc w:val="both"/>
        <w:rPr>
          <w:rFonts w:ascii="Cambria" w:hAnsi="Cambria"/>
          <w:i w:val="0"/>
          <w:iCs w:val="0"/>
          <w:color w:val="auto"/>
          <w:sz w:val="20"/>
          <w:szCs w:val="20"/>
        </w:rPr>
      </w:pPr>
      <w:bookmarkStart w:id="2" w:name="_Toc204331270"/>
      <w:r w:rsidRPr="005C5496">
        <w:rPr>
          <w:rStyle w:val="Heading2Char"/>
          <w:i w:val="0"/>
          <w:iCs w:val="0"/>
        </w:rPr>
        <w:t xml:space="preserve">Figure </w:t>
      </w:r>
      <w:r w:rsidRPr="005C5496">
        <w:rPr>
          <w:rStyle w:val="Heading2Char"/>
          <w:i w:val="0"/>
          <w:iCs w:val="0"/>
        </w:rPr>
        <w:fldChar w:fldCharType="begin"/>
      </w:r>
      <w:r w:rsidRPr="005C5496">
        <w:rPr>
          <w:rStyle w:val="Heading2Char"/>
          <w:i w:val="0"/>
          <w:iCs w:val="0"/>
        </w:rPr>
        <w:instrText xml:space="preserve"> SEQ Figure \* ARABIC </w:instrText>
      </w:r>
      <w:r w:rsidRPr="005C5496">
        <w:rPr>
          <w:rStyle w:val="Heading2Char"/>
          <w:i w:val="0"/>
          <w:iCs w:val="0"/>
        </w:rPr>
        <w:fldChar w:fldCharType="separate"/>
      </w:r>
      <w:r w:rsidR="00C92E10">
        <w:rPr>
          <w:rStyle w:val="Heading2Char"/>
          <w:i w:val="0"/>
          <w:iCs w:val="0"/>
          <w:noProof/>
        </w:rPr>
        <w:t>1</w:t>
      </w:r>
      <w:r w:rsidRPr="005C5496">
        <w:rPr>
          <w:rStyle w:val="Heading2Char"/>
          <w:i w:val="0"/>
          <w:iCs w:val="0"/>
        </w:rPr>
        <w:fldChar w:fldCharType="end"/>
      </w:r>
      <w:r w:rsidRPr="005C5496">
        <w:rPr>
          <w:rStyle w:val="Heading2Char"/>
          <w:i w:val="0"/>
          <w:iCs w:val="0"/>
        </w:rPr>
        <w:t xml:space="preserve">. Upset plot showing AML gene overlaps across </w:t>
      </w:r>
      <w:proofErr w:type="spellStart"/>
      <w:r w:rsidRPr="005C5496">
        <w:rPr>
          <w:rStyle w:val="Heading2Char"/>
          <w:i w:val="0"/>
          <w:iCs w:val="0"/>
        </w:rPr>
        <w:t>CoPISA</w:t>
      </w:r>
      <w:proofErr w:type="spellEnd"/>
      <w:r w:rsidRPr="005C5496">
        <w:rPr>
          <w:rStyle w:val="Heading2Char"/>
          <w:i w:val="0"/>
          <w:iCs w:val="0"/>
        </w:rPr>
        <w:t xml:space="preserve"> treatment conditions.</w:t>
      </w:r>
      <w:bookmarkEnd w:id="2"/>
      <w:r w:rsidRPr="005C5496">
        <w:rPr>
          <w:i w:val="0"/>
          <w:iCs w:val="0"/>
          <w:color w:val="auto"/>
        </w:rPr>
        <w:t xml:space="preserve"> </w:t>
      </w:r>
      <w:r w:rsidRPr="005C5496">
        <w:rPr>
          <w:rFonts w:ascii="Cambria" w:hAnsi="Cambria"/>
          <w:i w:val="0"/>
          <w:iCs w:val="0"/>
          <w:color w:val="auto"/>
          <w:sz w:val="20"/>
          <w:szCs w:val="20"/>
        </w:rPr>
        <w:t>Rows denote treatments; bar plots indicate the number of genes perturbed per treatment. Connected dots represent intersections between treatments, while bar heights above indicate intersection sizes. Colors map to individual treatments for visual clarity. This visualization highlights shared and unique AML gene responses, providing insights into convergent and divergent mechanisms of action.</w:t>
      </w:r>
    </w:p>
    <w:p w14:paraId="4AE5E436" w14:textId="77777777" w:rsidR="005C5496" w:rsidRDefault="005C5496">
      <w:pPr>
        <w:rPr>
          <w:rFonts w:ascii="Cambria" w:hAnsi="Cambria"/>
          <w:sz w:val="20"/>
          <w:szCs w:val="20"/>
        </w:rPr>
      </w:pPr>
      <w:r>
        <w:rPr>
          <w:rFonts w:ascii="Cambria" w:hAnsi="Cambria"/>
          <w:i/>
          <w:iCs/>
          <w:sz w:val="20"/>
          <w:szCs w:val="20"/>
        </w:rPr>
        <w:br w:type="page"/>
      </w:r>
    </w:p>
    <w:p w14:paraId="6D4BF1DF" w14:textId="77777777" w:rsidR="00B56CD6" w:rsidRDefault="00B56CD6" w:rsidP="00B56CD6">
      <w:pPr>
        <w:pStyle w:val="Caption"/>
        <w:keepNext/>
      </w:pPr>
      <w:r>
        <w:rPr>
          <w:rFonts w:ascii="Cambria" w:hAnsi="Cambria"/>
          <w:i w:val="0"/>
          <w:iCs w:val="0"/>
          <w:noProof/>
          <w:color w:val="auto"/>
          <w:sz w:val="20"/>
          <w:szCs w:val="20"/>
        </w:rPr>
        <w:lastRenderedPageBreak/>
        <w:drawing>
          <wp:inline distT="0" distB="0" distL="0" distR="0" wp14:anchorId="2E61D6C9" wp14:editId="033ED7B6">
            <wp:extent cx="6332220" cy="4918075"/>
            <wp:effectExtent l="0" t="0" r="0" b="0"/>
            <wp:docPr id="1176905736" name="Picture 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05736" name="Picture 2" descr="A graph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4918075"/>
                    </a:xfrm>
                    <a:prstGeom prst="rect">
                      <a:avLst/>
                    </a:prstGeom>
                  </pic:spPr>
                </pic:pic>
              </a:graphicData>
            </a:graphic>
          </wp:inline>
        </w:drawing>
      </w:r>
    </w:p>
    <w:p w14:paraId="69459EC9" w14:textId="4575DDB1" w:rsidR="00B56CD6" w:rsidRPr="00C92E10" w:rsidRDefault="00B56CD6" w:rsidP="00C92E10">
      <w:pPr>
        <w:pStyle w:val="Caption"/>
        <w:jc w:val="both"/>
        <w:rPr>
          <w:rFonts w:ascii="Cambria" w:hAnsi="Cambria"/>
          <w:i w:val="0"/>
          <w:iCs w:val="0"/>
          <w:color w:val="auto"/>
          <w:sz w:val="20"/>
          <w:szCs w:val="20"/>
        </w:rPr>
      </w:pPr>
      <w:bookmarkStart w:id="3" w:name="_Toc204331271"/>
      <w:r w:rsidRPr="00C92E10">
        <w:rPr>
          <w:rStyle w:val="Heading2Char"/>
          <w:i w:val="0"/>
          <w:iCs w:val="0"/>
        </w:rPr>
        <w:t xml:space="preserve">Figure </w:t>
      </w:r>
      <w:r w:rsidRPr="00C92E10">
        <w:rPr>
          <w:rStyle w:val="Heading2Char"/>
          <w:i w:val="0"/>
          <w:iCs w:val="0"/>
        </w:rPr>
        <w:fldChar w:fldCharType="begin"/>
      </w:r>
      <w:r w:rsidRPr="00C92E10">
        <w:rPr>
          <w:rStyle w:val="Heading2Char"/>
          <w:i w:val="0"/>
          <w:iCs w:val="0"/>
        </w:rPr>
        <w:instrText xml:space="preserve"> SEQ Figure \* ARABIC </w:instrText>
      </w:r>
      <w:r w:rsidRPr="00C92E10">
        <w:rPr>
          <w:rStyle w:val="Heading2Char"/>
          <w:i w:val="0"/>
          <w:iCs w:val="0"/>
        </w:rPr>
        <w:fldChar w:fldCharType="separate"/>
      </w:r>
      <w:r w:rsidR="00C92E10" w:rsidRPr="00C92E10">
        <w:rPr>
          <w:rStyle w:val="Heading2Char"/>
          <w:i w:val="0"/>
          <w:iCs w:val="0"/>
        </w:rPr>
        <w:t>2</w:t>
      </w:r>
      <w:r w:rsidRPr="00C92E10">
        <w:rPr>
          <w:rStyle w:val="Heading2Char"/>
          <w:i w:val="0"/>
          <w:iCs w:val="0"/>
        </w:rPr>
        <w:fldChar w:fldCharType="end"/>
      </w:r>
      <w:r w:rsidRPr="00C92E10">
        <w:rPr>
          <w:rStyle w:val="Heading2Char"/>
          <w:i w:val="0"/>
          <w:iCs w:val="0"/>
        </w:rPr>
        <w:t xml:space="preserve">. Bubble plots </w:t>
      </w:r>
      <w:r w:rsidR="00DC7EF9">
        <w:rPr>
          <w:rStyle w:val="Heading2Char"/>
          <w:i w:val="0"/>
          <w:iCs w:val="0"/>
        </w:rPr>
        <w:t>from</w:t>
      </w:r>
      <w:r w:rsidRPr="00C92E10">
        <w:rPr>
          <w:rStyle w:val="Heading2Char"/>
          <w:i w:val="0"/>
          <w:iCs w:val="0"/>
        </w:rPr>
        <w:t xml:space="preserve"> PEIMAN2 </w:t>
      </w:r>
      <w:r w:rsidR="00DC7EF9">
        <w:rPr>
          <w:rStyle w:val="Heading2Char"/>
          <w:i w:val="0"/>
          <w:iCs w:val="0"/>
        </w:rPr>
        <w:t xml:space="preserve">enrichment </w:t>
      </w:r>
      <w:r w:rsidRPr="00C92E10">
        <w:rPr>
          <w:rStyle w:val="Heading2Char"/>
          <w:i w:val="0"/>
          <w:iCs w:val="0"/>
        </w:rPr>
        <w:t xml:space="preserve">for all </w:t>
      </w:r>
      <w:r w:rsidR="00DC7EF9">
        <w:rPr>
          <w:rStyle w:val="Heading2Char"/>
          <w:i w:val="0"/>
          <w:iCs w:val="0"/>
        </w:rPr>
        <w:t xml:space="preserve">treatment </w:t>
      </w:r>
      <w:r w:rsidRPr="00C92E10">
        <w:rPr>
          <w:rStyle w:val="Heading2Char"/>
          <w:i w:val="0"/>
          <w:iCs w:val="0"/>
        </w:rPr>
        <w:t>comparisons in living cells</w:t>
      </w:r>
      <w:bookmarkEnd w:id="3"/>
      <w:r w:rsidRPr="00C92E10">
        <w:rPr>
          <w:i w:val="0"/>
          <w:iCs w:val="0"/>
          <w:color w:val="auto"/>
        </w:rPr>
        <w:t xml:space="preserve">: </w:t>
      </w:r>
      <w:r w:rsidRPr="00C92E10">
        <w:rPr>
          <w:rFonts w:ascii="Cambria" w:hAnsi="Cambria"/>
          <w:i w:val="0"/>
          <w:iCs w:val="0"/>
          <w:color w:val="auto"/>
          <w:sz w:val="20"/>
          <w:szCs w:val="20"/>
        </w:rPr>
        <w:t xml:space="preserve">(a) treatment with drug L; (b) treatment with drug S; (c) treatment with combination LS; (d) treatment with drug R; (e) treatment with drug U; (f) treatment with combination RU. The red circles with PTM highlighted in red denote the selected PTMs for the refined </w:t>
      </w:r>
      <w:proofErr w:type="spellStart"/>
      <w:r w:rsidRPr="00C92E10">
        <w:rPr>
          <w:rFonts w:ascii="Cambria" w:hAnsi="Cambria"/>
          <w:i w:val="0"/>
          <w:iCs w:val="0"/>
          <w:color w:val="auto"/>
          <w:sz w:val="20"/>
          <w:szCs w:val="20"/>
        </w:rPr>
        <w:t>MaxQuant</w:t>
      </w:r>
      <w:proofErr w:type="spellEnd"/>
      <w:r w:rsidRPr="00C92E10">
        <w:rPr>
          <w:rFonts w:ascii="Cambria" w:hAnsi="Cambria"/>
          <w:i w:val="0"/>
          <w:iCs w:val="0"/>
          <w:color w:val="auto"/>
          <w:sz w:val="20"/>
          <w:szCs w:val="20"/>
        </w:rPr>
        <w:t xml:space="preserve"> search.</w:t>
      </w:r>
    </w:p>
    <w:p w14:paraId="4C57C5D0" w14:textId="60B1A205" w:rsidR="00B56CD6" w:rsidRDefault="00B56CD6">
      <w:pPr>
        <w:rPr>
          <w:i/>
          <w:iCs/>
          <w:color w:val="0E2841" w:themeColor="text2"/>
          <w:sz w:val="18"/>
          <w:szCs w:val="18"/>
        </w:rPr>
      </w:pPr>
      <w:r>
        <w:br w:type="page"/>
      </w:r>
    </w:p>
    <w:p w14:paraId="43384376" w14:textId="7F9D707B" w:rsidR="005C5496" w:rsidRDefault="00C92E10" w:rsidP="00C92E10">
      <w:pPr>
        <w:pStyle w:val="Caption"/>
        <w:keepNext/>
        <w:rPr>
          <w:rFonts w:ascii="Cambria" w:hAnsi="Cambria"/>
          <w:i w:val="0"/>
          <w:iCs w:val="0"/>
          <w:color w:val="auto"/>
          <w:sz w:val="20"/>
          <w:szCs w:val="20"/>
        </w:rPr>
      </w:pPr>
      <w:r>
        <w:rPr>
          <w:rFonts w:ascii="Cambria" w:hAnsi="Cambria"/>
          <w:i w:val="0"/>
          <w:iCs w:val="0"/>
          <w:noProof/>
          <w:color w:val="auto"/>
          <w:sz w:val="20"/>
          <w:szCs w:val="20"/>
        </w:rPr>
        <w:lastRenderedPageBreak/>
        <w:drawing>
          <wp:inline distT="0" distB="0" distL="0" distR="0" wp14:anchorId="6238EC13" wp14:editId="5E669BD4">
            <wp:extent cx="3134520" cy="2425700"/>
            <wp:effectExtent l="0" t="0" r="8890" b="0"/>
            <wp:docPr id="1691014214" name="Picture 5" descr="A graph showing a diagram of lys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14214" name="Picture 5" descr="A graph showing a diagram of lysat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6932" cy="2450782"/>
                    </a:xfrm>
                    <a:prstGeom prst="rect">
                      <a:avLst/>
                    </a:prstGeom>
                  </pic:spPr>
                </pic:pic>
              </a:graphicData>
            </a:graphic>
          </wp:inline>
        </w:drawing>
      </w:r>
      <w:r>
        <w:rPr>
          <w:rFonts w:ascii="Cambria" w:hAnsi="Cambria"/>
          <w:i w:val="0"/>
          <w:iCs w:val="0"/>
          <w:noProof/>
          <w:color w:val="auto"/>
          <w:sz w:val="20"/>
          <w:szCs w:val="20"/>
        </w:rPr>
        <w:drawing>
          <wp:inline distT="0" distB="0" distL="0" distR="0" wp14:anchorId="55F116DE" wp14:editId="6F0CF02B">
            <wp:extent cx="3111500" cy="2421615"/>
            <wp:effectExtent l="0" t="0" r="0" b="0"/>
            <wp:docPr id="1665248628" name="Picture 6" descr="A graph showing a number of lys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48628" name="Picture 6" descr="A graph showing a number of lysat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6571" cy="2433345"/>
                    </a:xfrm>
                    <a:prstGeom prst="rect">
                      <a:avLst/>
                    </a:prstGeom>
                  </pic:spPr>
                </pic:pic>
              </a:graphicData>
            </a:graphic>
          </wp:inline>
        </w:drawing>
      </w:r>
    </w:p>
    <w:p w14:paraId="1F26C1BF" w14:textId="77777777" w:rsidR="00C92E10" w:rsidRPr="00C92E10" w:rsidRDefault="00C92E10" w:rsidP="00C92E10">
      <w:pPr>
        <w:pStyle w:val="Caption"/>
        <w:jc w:val="both"/>
        <w:rPr>
          <w:rFonts w:ascii="Cambria" w:hAnsi="Cambria"/>
          <w:i w:val="0"/>
          <w:iCs w:val="0"/>
          <w:color w:val="auto"/>
          <w:sz w:val="20"/>
          <w:szCs w:val="20"/>
        </w:rPr>
      </w:pPr>
      <w:bookmarkStart w:id="4" w:name="_Toc204331272"/>
      <w:r w:rsidRPr="00C92E10">
        <w:rPr>
          <w:rStyle w:val="Heading2Char"/>
          <w:i w:val="0"/>
          <w:iCs w:val="0"/>
        </w:rPr>
        <w:t xml:space="preserve">Figure </w:t>
      </w:r>
      <w:r w:rsidRPr="00C92E10">
        <w:rPr>
          <w:rStyle w:val="Heading2Char"/>
          <w:i w:val="0"/>
          <w:iCs w:val="0"/>
        </w:rPr>
        <w:fldChar w:fldCharType="begin"/>
      </w:r>
      <w:r w:rsidRPr="00C92E10">
        <w:rPr>
          <w:rStyle w:val="Heading2Char"/>
          <w:i w:val="0"/>
          <w:iCs w:val="0"/>
        </w:rPr>
        <w:instrText xml:space="preserve"> SEQ Figure \* ARABIC </w:instrText>
      </w:r>
      <w:r w:rsidRPr="00C92E10">
        <w:rPr>
          <w:rStyle w:val="Heading2Char"/>
          <w:i w:val="0"/>
          <w:iCs w:val="0"/>
        </w:rPr>
        <w:fldChar w:fldCharType="separate"/>
      </w:r>
      <w:r w:rsidRPr="00C92E10">
        <w:rPr>
          <w:rStyle w:val="Heading2Char"/>
          <w:i w:val="0"/>
          <w:iCs w:val="0"/>
        </w:rPr>
        <w:t>3</w:t>
      </w:r>
      <w:r w:rsidRPr="00C92E10">
        <w:rPr>
          <w:rStyle w:val="Heading2Char"/>
          <w:i w:val="0"/>
          <w:iCs w:val="0"/>
        </w:rPr>
        <w:fldChar w:fldCharType="end"/>
      </w:r>
      <w:r w:rsidRPr="00C92E10">
        <w:rPr>
          <w:rStyle w:val="Heading2Char"/>
          <w:i w:val="0"/>
          <w:iCs w:val="0"/>
        </w:rPr>
        <w:t>. Protein targets of therapy and their PTM status in cell lysates</w:t>
      </w:r>
      <w:bookmarkEnd w:id="4"/>
      <w:r w:rsidRPr="00C92E10">
        <w:rPr>
          <w:i w:val="0"/>
          <w:iCs w:val="0"/>
          <w:color w:val="auto"/>
        </w:rPr>
        <w:t xml:space="preserve"> </w:t>
      </w:r>
      <w:r w:rsidRPr="00C92E10">
        <w:rPr>
          <w:rFonts w:ascii="Cambria" w:hAnsi="Cambria"/>
          <w:i w:val="0"/>
          <w:iCs w:val="0"/>
          <w:color w:val="auto"/>
          <w:sz w:val="20"/>
          <w:szCs w:val="20"/>
        </w:rPr>
        <w:t xml:space="preserve">treated with (a) ruxolitinib (3 </w:t>
      </w:r>
      <w:proofErr w:type="spellStart"/>
      <w:r w:rsidRPr="00C92E10">
        <w:rPr>
          <w:rFonts w:ascii="Cambria" w:hAnsi="Cambria"/>
          <w:i w:val="0"/>
          <w:iCs w:val="0"/>
          <w:color w:val="auto"/>
          <w:sz w:val="20"/>
          <w:szCs w:val="20"/>
        </w:rPr>
        <w:t>μM</w:t>
      </w:r>
      <w:proofErr w:type="spellEnd"/>
      <w:r w:rsidRPr="00C92E10">
        <w:rPr>
          <w:rFonts w:ascii="Cambria" w:hAnsi="Cambria"/>
          <w:i w:val="0"/>
          <w:iCs w:val="0"/>
          <w:color w:val="auto"/>
          <w:sz w:val="20"/>
          <w:szCs w:val="20"/>
        </w:rPr>
        <w:t xml:space="preserve">) (red), ulixertinib (3 </w:t>
      </w:r>
      <w:proofErr w:type="spellStart"/>
      <w:r w:rsidRPr="00C92E10">
        <w:rPr>
          <w:rFonts w:ascii="Cambria" w:hAnsi="Cambria"/>
          <w:i w:val="0"/>
          <w:iCs w:val="0"/>
          <w:color w:val="auto"/>
          <w:sz w:val="20"/>
          <w:szCs w:val="20"/>
        </w:rPr>
        <w:t>μM</w:t>
      </w:r>
      <w:proofErr w:type="spellEnd"/>
      <w:r w:rsidRPr="00C92E10">
        <w:rPr>
          <w:rFonts w:ascii="Cambria" w:hAnsi="Cambria"/>
          <w:i w:val="0"/>
          <w:iCs w:val="0"/>
          <w:color w:val="auto"/>
          <w:sz w:val="20"/>
          <w:szCs w:val="20"/>
        </w:rPr>
        <w:t xml:space="preserve">) (blue), and their combination, RU (purple); and (b) LY3009120 (red), sapanisertib (500 </w:t>
      </w:r>
      <w:proofErr w:type="spellStart"/>
      <w:r w:rsidRPr="00C92E10">
        <w:rPr>
          <w:rFonts w:ascii="Cambria" w:hAnsi="Cambria"/>
          <w:i w:val="0"/>
          <w:iCs w:val="0"/>
          <w:color w:val="auto"/>
          <w:sz w:val="20"/>
          <w:szCs w:val="20"/>
        </w:rPr>
        <w:t>nM</w:t>
      </w:r>
      <w:proofErr w:type="spellEnd"/>
      <w:r w:rsidRPr="00C92E10">
        <w:rPr>
          <w:rFonts w:ascii="Cambria" w:hAnsi="Cambria"/>
          <w:i w:val="0"/>
          <w:iCs w:val="0"/>
          <w:color w:val="auto"/>
          <w:sz w:val="20"/>
          <w:szCs w:val="20"/>
        </w:rPr>
        <w:t>) (blue), and their combination, LS (purple). Highlighted points indicate proteins with PTM(s) identified in mass spectrometry data. The PTM(s) name and the site of modification are listed after the protein identifier through a hyphen. PTMs listed through commas were identified on the same peptide. Arrows indicate solubility change in the same protein from different treatments. P(Y)-tyrosine phosphorylation, P(T)-threonine phosphorylation, P(S)-serine phosphorylation, and Ac(K)-lysine acetylation.</w:t>
      </w:r>
    </w:p>
    <w:p w14:paraId="5D9074A8" w14:textId="2CE376C2" w:rsidR="00C92E10" w:rsidRPr="00C92E10" w:rsidRDefault="00C92E10" w:rsidP="00C92E10">
      <w:pPr>
        <w:pStyle w:val="Caption"/>
      </w:pPr>
    </w:p>
    <w:sectPr w:rsidR="00C92E10" w:rsidRPr="00C92E10">
      <w:footerReference w:type="default" r:id="rId13"/>
      <w:pgSz w:w="12240" w:h="15840"/>
      <w:pgMar w:top="1417" w:right="1134" w:bottom="141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8DF46" w14:textId="77777777" w:rsidR="008763DD" w:rsidRDefault="008763DD" w:rsidP="00DC7EF9">
      <w:pPr>
        <w:spacing w:after="0" w:line="240" w:lineRule="auto"/>
      </w:pPr>
      <w:r>
        <w:separator/>
      </w:r>
    </w:p>
  </w:endnote>
  <w:endnote w:type="continuationSeparator" w:id="0">
    <w:p w14:paraId="5E4212A9" w14:textId="77777777" w:rsidR="008763DD" w:rsidRDefault="008763DD" w:rsidP="00DC7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870278"/>
      <w:docPartObj>
        <w:docPartGallery w:val="Page Numbers (Bottom of Page)"/>
        <w:docPartUnique/>
      </w:docPartObj>
    </w:sdtPr>
    <w:sdtEndPr>
      <w:rPr>
        <w:noProof/>
      </w:rPr>
    </w:sdtEndPr>
    <w:sdtContent>
      <w:p w14:paraId="6ABA5BB1" w14:textId="1AEC1E0A" w:rsidR="00DC7EF9" w:rsidRDefault="00DC7E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925DDD" w14:textId="77777777" w:rsidR="00DC7EF9" w:rsidRDefault="00DC7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D3E33" w14:textId="77777777" w:rsidR="008763DD" w:rsidRDefault="008763DD" w:rsidP="00DC7EF9">
      <w:pPr>
        <w:spacing w:after="0" w:line="240" w:lineRule="auto"/>
      </w:pPr>
      <w:r>
        <w:separator/>
      </w:r>
    </w:p>
  </w:footnote>
  <w:footnote w:type="continuationSeparator" w:id="0">
    <w:p w14:paraId="29A2665B" w14:textId="77777777" w:rsidR="008763DD" w:rsidRDefault="008763DD" w:rsidP="00DC7E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496"/>
    <w:rsid w:val="002D2234"/>
    <w:rsid w:val="005C5496"/>
    <w:rsid w:val="008763DD"/>
    <w:rsid w:val="008A10C9"/>
    <w:rsid w:val="00B56CD6"/>
    <w:rsid w:val="00C52113"/>
    <w:rsid w:val="00C92E10"/>
    <w:rsid w:val="00DC7EF9"/>
    <w:rsid w:val="00E726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75B69"/>
  <w15:chartTrackingRefBased/>
  <w15:docId w15:val="{BAB4189A-BE24-488B-8EA8-5B7FC1D0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4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5496"/>
    <w:pPr>
      <w:keepNext/>
      <w:keepLines/>
      <w:spacing w:before="160" w:after="80"/>
      <w:outlineLvl w:val="1"/>
    </w:pPr>
    <w:rPr>
      <w:rFonts w:ascii="Cambria" w:eastAsiaTheme="majorEastAsia" w:hAnsi="Cambria" w:cstheme="majorBidi"/>
      <w:b/>
      <w:color w:val="000000" w:themeColor="text1"/>
      <w:sz w:val="20"/>
      <w:szCs w:val="32"/>
    </w:rPr>
  </w:style>
  <w:style w:type="paragraph" w:styleId="Heading3">
    <w:name w:val="heading 3"/>
    <w:basedOn w:val="Normal"/>
    <w:next w:val="Normal"/>
    <w:link w:val="Heading3Char"/>
    <w:uiPriority w:val="9"/>
    <w:semiHidden/>
    <w:unhideWhenUsed/>
    <w:qFormat/>
    <w:rsid w:val="005C54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54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54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54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54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54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54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4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5496"/>
    <w:rPr>
      <w:rFonts w:ascii="Cambria" w:eastAsiaTheme="majorEastAsia" w:hAnsi="Cambria" w:cstheme="majorBidi"/>
      <w:b/>
      <w:color w:val="000000" w:themeColor="text1"/>
      <w:sz w:val="20"/>
      <w:szCs w:val="32"/>
    </w:rPr>
  </w:style>
  <w:style w:type="character" w:customStyle="1" w:styleId="Heading3Char">
    <w:name w:val="Heading 3 Char"/>
    <w:basedOn w:val="DefaultParagraphFont"/>
    <w:link w:val="Heading3"/>
    <w:uiPriority w:val="9"/>
    <w:semiHidden/>
    <w:rsid w:val="005C54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54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54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54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54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54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5496"/>
    <w:rPr>
      <w:rFonts w:eastAsiaTheme="majorEastAsia" w:cstheme="majorBidi"/>
      <w:color w:val="272727" w:themeColor="text1" w:themeTint="D8"/>
    </w:rPr>
  </w:style>
  <w:style w:type="paragraph" w:styleId="Title">
    <w:name w:val="Title"/>
    <w:basedOn w:val="Normal"/>
    <w:next w:val="Normal"/>
    <w:link w:val="TitleChar"/>
    <w:uiPriority w:val="10"/>
    <w:qFormat/>
    <w:rsid w:val="005C54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54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54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54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5496"/>
    <w:pPr>
      <w:spacing w:before="160"/>
      <w:jc w:val="center"/>
    </w:pPr>
    <w:rPr>
      <w:i/>
      <w:iCs/>
      <w:color w:val="404040" w:themeColor="text1" w:themeTint="BF"/>
    </w:rPr>
  </w:style>
  <w:style w:type="character" w:customStyle="1" w:styleId="QuoteChar">
    <w:name w:val="Quote Char"/>
    <w:basedOn w:val="DefaultParagraphFont"/>
    <w:link w:val="Quote"/>
    <w:uiPriority w:val="29"/>
    <w:rsid w:val="005C5496"/>
    <w:rPr>
      <w:i/>
      <w:iCs/>
      <w:color w:val="404040" w:themeColor="text1" w:themeTint="BF"/>
    </w:rPr>
  </w:style>
  <w:style w:type="paragraph" w:styleId="ListParagraph">
    <w:name w:val="List Paragraph"/>
    <w:basedOn w:val="Normal"/>
    <w:uiPriority w:val="34"/>
    <w:qFormat/>
    <w:rsid w:val="005C5496"/>
    <w:pPr>
      <w:ind w:left="720"/>
      <w:contextualSpacing/>
    </w:pPr>
  </w:style>
  <w:style w:type="character" w:styleId="IntenseEmphasis">
    <w:name w:val="Intense Emphasis"/>
    <w:basedOn w:val="DefaultParagraphFont"/>
    <w:uiPriority w:val="21"/>
    <w:qFormat/>
    <w:rsid w:val="005C5496"/>
    <w:rPr>
      <w:i/>
      <w:iCs/>
      <w:color w:val="0F4761" w:themeColor="accent1" w:themeShade="BF"/>
    </w:rPr>
  </w:style>
  <w:style w:type="paragraph" w:styleId="IntenseQuote">
    <w:name w:val="Intense Quote"/>
    <w:basedOn w:val="Normal"/>
    <w:next w:val="Normal"/>
    <w:link w:val="IntenseQuoteChar"/>
    <w:uiPriority w:val="30"/>
    <w:qFormat/>
    <w:rsid w:val="005C5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5496"/>
    <w:rPr>
      <w:i/>
      <w:iCs/>
      <w:color w:val="0F4761" w:themeColor="accent1" w:themeShade="BF"/>
    </w:rPr>
  </w:style>
  <w:style w:type="character" w:styleId="IntenseReference">
    <w:name w:val="Intense Reference"/>
    <w:basedOn w:val="DefaultParagraphFont"/>
    <w:uiPriority w:val="32"/>
    <w:qFormat/>
    <w:rsid w:val="005C5496"/>
    <w:rPr>
      <w:b/>
      <w:bCs/>
      <w:smallCaps/>
      <w:color w:val="0F4761" w:themeColor="accent1" w:themeShade="BF"/>
      <w:spacing w:val="5"/>
    </w:rPr>
  </w:style>
  <w:style w:type="character" w:styleId="Hyperlink">
    <w:name w:val="Hyperlink"/>
    <w:basedOn w:val="DefaultParagraphFont"/>
    <w:uiPriority w:val="99"/>
    <w:unhideWhenUsed/>
    <w:rsid w:val="005C5496"/>
    <w:rPr>
      <w:color w:val="467886" w:themeColor="hyperlink"/>
      <w:u w:val="single"/>
    </w:rPr>
  </w:style>
  <w:style w:type="character" w:styleId="UnresolvedMention">
    <w:name w:val="Unresolved Mention"/>
    <w:basedOn w:val="DefaultParagraphFont"/>
    <w:uiPriority w:val="99"/>
    <w:semiHidden/>
    <w:unhideWhenUsed/>
    <w:rsid w:val="005C5496"/>
    <w:rPr>
      <w:color w:val="605E5C"/>
      <w:shd w:val="clear" w:color="auto" w:fill="E1DFDD"/>
    </w:rPr>
  </w:style>
  <w:style w:type="paragraph" w:styleId="Caption">
    <w:name w:val="caption"/>
    <w:basedOn w:val="Normal"/>
    <w:next w:val="Normal"/>
    <w:uiPriority w:val="35"/>
    <w:unhideWhenUsed/>
    <w:qFormat/>
    <w:rsid w:val="005C5496"/>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5C5496"/>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5C5496"/>
    <w:pPr>
      <w:spacing w:after="100"/>
    </w:pPr>
  </w:style>
  <w:style w:type="paragraph" w:styleId="TOC2">
    <w:name w:val="toc 2"/>
    <w:basedOn w:val="Normal"/>
    <w:next w:val="Normal"/>
    <w:autoRedefine/>
    <w:uiPriority w:val="39"/>
    <w:unhideWhenUsed/>
    <w:rsid w:val="00C92E10"/>
    <w:pPr>
      <w:tabs>
        <w:tab w:val="right" w:leader="dot" w:pos="9962"/>
      </w:tabs>
      <w:spacing w:after="100"/>
    </w:pPr>
  </w:style>
  <w:style w:type="paragraph" w:styleId="TOC3">
    <w:name w:val="toc 3"/>
    <w:basedOn w:val="Normal"/>
    <w:next w:val="Normal"/>
    <w:autoRedefine/>
    <w:uiPriority w:val="39"/>
    <w:unhideWhenUsed/>
    <w:rsid w:val="005C5496"/>
    <w:pPr>
      <w:spacing w:after="100" w:line="259" w:lineRule="auto"/>
      <w:ind w:left="440"/>
    </w:pPr>
    <w:rPr>
      <w:rFonts w:eastAsiaTheme="minorEastAsia" w:cs="Times New Roman"/>
      <w:kern w:val="0"/>
      <w:sz w:val="22"/>
      <w:szCs w:val="22"/>
      <w14:ligatures w14:val="none"/>
    </w:rPr>
  </w:style>
  <w:style w:type="paragraph" w:styleId="NormalWeb">
    <w:name w:val="Normal (Web)"/>
    <w:basedOn w:val="Normal"/>
    <w:uiPriority w:val="99"/>
    <w:semiHidden/>
    <w:unhideWhenUsed/>
    <w:rsid w:val="00C92E10"/>
    <w:rPr>
      <w:rFonts w:ascii="Times New Roman" w:hAnsi="Times New Roman" w:cs="Times New Roman"/>
    </w:rPr>
  </w:style>
  <w:style w:type="paragraph" w:styleId="Header">
    <w:name w:val="header"/>
    <w:basedOn w:val="Normal"/>
    <w:link w:val="HeaderChar"/>
    <w:uiPriority w:val="99"/>
    <w:unhideWhenUsed/>
    <w:rsid w:val="00DC7EF9"/>
    <w:pPr>
      <w:tabs>
        <w:tab w:val="center" w:pos="4986"/>
        <w:tab w:val="right" w:pos="9972"/>
      </w:tabs>
      <w:spacing w:after="0" w:line="240" w:lineRule="auto"/>
    </w:pPr>
  </w:style>
  <w:style w:type="character" w:customStyle="1" w:styleId="HeaderChar">
    <w:name w:val="Header Char"/>
    <w:basedOn w:val="DefaultParagraphFont"/>
    <w:link w:val="Header"/>
    <w:uiPriority w:val="99"/>
    <w:rsid w:val="00DC7EF9"/>
  </w:style>
  <w:style w:type="paragraph" w:styleId="Footer">
    <w:name w:val="footer"/>
    <w:basedOn w:val="Normal"/>
    <w:link w:val="FooterChar"/>
    <w:uiPriority w:val="99"/>
    <w:unhideWhenUsed/>
    <w:rsid w:val="00DC7EF9"/>
    <w:pPr>
      <w:tabs>
        <w:tab w:val="center" w:pos="4986"/>
        <w:tab w:val="right" w:pos="9972"/>
      </w:tabs>
      <w:spacing w:after="0" w:line="240" w:lineRule="auto"/>
    </w:pPr>
  </w:style>
  <w:style w:type="character" w:customStyle="1" w:styleId="FooterChar">
    <w:name w:val="Footer Char"/>
    <w:basedOn w:val="DefaultParagraphFont"/>
    <w:link w:val="Footer"/>
    <w:uiPriority w:val="99"/>
    <w:rsid w:val="00DC7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052388">
      <w:bodyDiv w:val="1"/>
      <w:marLeft w:val="0"/>
      <w:marRight w:val="0"/>
      <w:marTop w:val="0"/>
      <w:marBottom w:val="0"/>
      <w:divBdr>
        <w:top w:val="none" w:sz="0" w:space="0" w:color="auto"/>
        <w:left w:val="none" w:sz="0" w:space="0" w:color="auto"/>
        <w:bottom w:val="none" w:sz="0" w:space="0" w:color="auto"/>
        <w:right w:val="none" w:sz="0" w:space="0" w:color="auto"/>
      </w:divBdr>
    </w:div>
    <w:div w:id="942493901">
      <w:bodyDiv w:val="1"/>
      <w:marLeft w:val="0"/>
      <w:marRight w:val="0"/>
      <w:marTop w:val="0"/>
      <w:marBottom w:val="0"/>
      <w:divBdr>
        <w:top w:val="none" w:sz="0" w:space="0" w:color="auto"/>
        <w:left w:val="none" w:sz="0" w:space="0" w:color="auto"/>
        <w:bottom w:val="none" w:sz="0" w:space="0" w:color="auto"/>
        <w:right w:val="none" w:sz="0" w:space="0" w:color="auto"/>
      </w:divBdr>
    </w:div>
    <w:div w:id="1634557083">
      <w:bodyDiv w:val="1"/>
      <w:marLeft w:val="0"/>
      <w:marRight w:val="0"/>
      <w:marTop w:val="0"/>
      <w:marBottom w:val="0"/>
      <w:divBdr>
        <w:top w:val="none" w:sz="0" w:space="0" w:color="auto"/>
        <w:left w:val="none" w:sz="0" w:space="0" w:color="auto"/>
        <w:bottom w:val="none" w:sz="0" w:space="0" w:color="auto"/>
        <w:right w:val="none" w:sz="0" w:space="0" w:color="auto"/>
      </w:divBdr>
    </w:div>
    <w:div w:id="1764648069">
      <w:bodyDiv w:val="1"/>
      <w:marLeft w:val="0"/>
      <w:marRight w:val="0"/>
      <w:marTop w:val="0"/>
      <w:marBottom w:val="0"/>
      <w:divBdr>
        <w:top w:val="none" w:sz="0" w:space="0" w:color="auto"/>
        <w:left w:val="none" w:sz="0" w:space="0" w:color="auto"/>
        <w:bottom w:val="none" w:sz="0" w:space="0" w:color="auto"/>
        <w:right w:val="none" w:sz="0" w:space="0" w:color="auto"/>
      </w:divBdr>
    </w:div>
    <w:div w:id="193975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hieddin.jafari@helsinki.f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cholar.google.com/citations?view_op=view_org&amp;hl=en&amp;org=1384714062669582586"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7A715-B867-457A-B062-4EE51AA26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Gholizadeh, Elham</dc:creator>
  <cp:keywords/>
  <dc:description/>
  <cp:lastModifiedBy>Mohieddin Jafari</cp:lastModifiedBy>
  <cp:revision>2</cp:revision>
  <dcterms:created xsi:type="dcterms:W3CDTF">2025-07-25T06:46:00Z</dcterms:created>
  <dcterms:modified xsi:type="dcterms:W3CDTF">2025-07-31T22:43:00Z</dcterms:modified>
</cp:coreProperties>
</file>