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4D258A" w14:textId="77777777" w:rsidR="00A6436A" w:rsidRPr="009A4968" w:rsidRDefault="00A6436A" w:rsidP="00A6436A">
      <w:pPr>
        <w:spacing w:after="0" w:line="360" w:lineRule="auto"/>
        <w:rPr>
          <w:rFonts w:eastAsia="Times New Roman" w:cstheme="minorHAnsi"/>
          <w:b/>
          <w:bCs/>
          <w:sz w:val="24"/>
          <w:szCs w:val="24"/>
          <w:lang w:val="en-GB" w:eastAsia="cs-CZ"/>
        </w:rPr>
      </w:pPr>
      <w:r w:rsidRPr="009A4968">
        <w:rPr>
          <w:rFonts w:eastAsia="Times New Roman" w:cstheme="minorHAnsi"/>
          <w:b/>
          <w:bCs/>
          <w:sz w:val="24"/>
          <w:szCs w:val="24"/>
          <w:lang w:val="en-GB" w:eastAsia="cs-CZ"/>
        </w:rPr>
        <w:t>Appendix A</w:t>
      </w:r>
    </w:p>
    <w:p w14:paraId="2DA6196B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b/>
          <w:bCs/>
          <w:color w:val="000000"/>
          <w:sz w:val="24"/>
          <w:szCs w:val="24"/>
          <w:lang w:val="en-GB"/>
        </w:rPr>
      </w:pPr>
      <w:r w:rsidRPr="009A4968">
        <w:rPr>
          <w:rFonts w:eastAsiaTheme="minorEastAsia" w:cstheme="minorHAnsi"/>
          <w:b/>
          <w:bCs/>
          <w:color w:val="000000"/>
          <w:sz w:val="24"/>
          <w:szCs w:val="24"/>
          <w:lang w:val="en-GB"/>
        </w:rPr>
        <w:t>List of determinants of health</w:t>
      </w:r>
    </w:p>
    <w:tbl>
      <w:tblPr>
        <w:tblStyle w:val="TableGrid"/>
        <w:tblW w:w="9781" w:type="dxa"/>
        <w:tblInd w:w="-142" w:type="dxa"/>
        <w:tblBorders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559"/>
        <w:gridCol w:w="4961"/>
        <w:gridCol w:w="709"/>
        <w:gridCol w:w="992"/>
      </w:tblGrid>
      <w:tr w:rsidR="00A6436A" w:rsidRPr="009A4968" w14:paraId="6EC8AB70" w14:textId="77777777" w:rsidTr="009652B6">
        <w:trPr>
          <w:trHeight w:val="237"/>
        </w:trPr>
        <w:tc>
          <w:tcPr>
            <w:tcW w:w="1560" w:type="dxa"/>
            <w:noWrap/>
            <w:vAlign w:val="center"/>
            <w:hideMark/>
          </w:tcPr>
          <w:p w14:paraId="5829E22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Category</w:t>
            </w:r>
          </w:p>
        </w:tc>
        <w:tc>
          <w:tcPr>
            <w:tcW w:w="1559" w:type="dxa"/>
            <w:noWrap/>
            <w:vAlign w:val="center"/>
            <w:hideMark/>
          </w:tcPr>
          <w:p w14:paraId="59D4F80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Theme</w:t>
            </w:r>
          </w:p>
        </w:tc>
        <w:tc>
          <w:tcPr>
            <w:tcW w:w="4961" w:type="dxa"/>
            <w:noWrap/>
            <w:vAlign w:val="center"/>
            <w:hideMark/>
          </w:tcPr>
          <w:p w14:paraId="5A3C484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Description</w:t>
            </w:r>
          </w:p>
        </w:tc>
        <w:tc>
          <w:tcPr>
            <w:tcW w:w="709" w:type="dxa"/>
          </w:tcPr>
          <w:p w14:paraId="55AD07C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Year</w:t>
            </w:r>
          </w:p>
        </w:tc>
        <w:tc>
          <w:tcPr>
            <w:tcW w:w="992" w:type="dxa"/>
          </w:tcPr>
          <w:p w14:paraId="6A0F7A0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Source</w:t>
            </w:r>
          </w:p>
        </w:tc>
      </w:tr>
      <w:tr w:rsidR="00A6436A" w:rsidRPr="009A4968" w14:paraId="2E10BA12" w14:textId="77777777" w:rsidTr="009652B6">
        <w:trPr>
          <w:trHeight w:val="227"/>
        </w:trPr>
        <w:tc>
          <w:tcPr>
            <w:tcW w:w="1560" w:type="dxa"/>
            <w:vMerge w:val="restart"/>
            <w:vAlign w:val="center"/>
            <w:hideMark/>
          </w:tcPr>
          <w:p w14:paraId="2365EC8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A.1 </w:t>
            </w:r>
            <w:r w:rsidRPr="009A4968">
              <w:rPr>
                <w:rFonts w:eastAsia="Times New Roman" w:cstheme="minorHAnsi"/>
                <w:lang w:val="en-GB"/>
              </w:rPr>
              <w:br/>
              <w:t>Economic conditions and social protection</w:t>
            </w:r>
          </w:p>
        </w:tc>
        <w:tc>
          <w:tcPr>
            <w:tcW w:w="1559" w:type="dxa"/>
            <w:vMerge w:val="restart"/>
            <w:noWrap/>
            <w:vAlign w:val="center"/>
            <w:hideMark/>
          </w:tcPr>
          <w:p w14:paraId="18301F8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Employment rate</w:t>
            </w:r>
          </w:p>
        </w:tc>
        <w:tc>
          <w:tcPr>
            <w:tcW w:w="4961" w:type="dxa"/>
            <w:tcBorders>
              <w:bottom w:val="nil"/>
            </w:tcBorders>
            <w:vAlign w:val="center"/>
            <w:hideMark/>
          </w:tcPr>
          <w:p w14:paraId="093777F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Unemployed persons (total): number of available jobseekers aged 15-64 compared to persons of the same age; %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002B98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7393D4E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095C1EA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MoLSA</w:t>
            </w:r>
          </w:p>
        </w:tc>
      </w:tr>
      <w:tr w:rsidR="00A6436A" w:rsidRPr="009A4968" w14:paraId="356872D6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52BF105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06E3B91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6940AA7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Unemployed persons (men): number of available jobseekers / men aged 15-64 compared to persons of the same age; %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0D9059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50B7D0E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6D5714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MoLSA</w:t>
            </w:r>
          </w:p>
        </w:tc>
      </w:tr>
      <w:tr w:rsidR="00A6436A" w:rsidRPr="009A4968" w14:paraId="0D7D09A5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030A49B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CBBDB3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DD6652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Unemployed persons (women): number of available jobseekers / women aged 15-64 compared to persons of the same age; %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4F2E67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2580AC5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4604D2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MoLSA</w:t>
            </w:r>
          </w:p>
        </w:tc>
      </w:tr>
      <w:tr w:rsidR="00A6436A" w:rsidRPr="009A4968" w14:paraId="1345F474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10E7BA1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4D9B75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4F5BD2B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Jobseekers aged 50-64: number of jobseekers aged 50-64 compared to people of the same age; %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0B0446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553BD4B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35B5E8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28A63B1F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7DBFBB6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F85B0F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6E2DD7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Jobseekers aged 15-24: number of jobseekers aged 15-24 compared to people of the same age; %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856904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3BEA6F5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BBDBA7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29B15688" w14:textId="77777777" w:rsidTr="009652B6">
        <w:trPr>
          <w:trHeight w:val="454"/>
        </w:trPr>
        <w:tc>
          <w:tcPr>
            <w:tcW w:w="1560" w:type="dxa"/>
            <w:vMerge/>
            <w:vAlign w:val="center"/>
            <w:hideMark/>
          </w:tcPr>
          <w:p w14:paraId="0C36E55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108DC4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BF64C1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Jobseekers with an unemployment duration of 12 months or more: number of jobseekers with an unemployment duration of 12 months or more compared to the total number of jobseekers; %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2D18A6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6BB6B9C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C00E72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147D2A2D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1351673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4F076B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80792B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Jobseekers with basic education: number of jobseekers with basic education compared to the total number of jobseekers; %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59350F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1F95E43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4607BE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2C2E2884" w14:textId="77777777" w:rsidTr="009652B6">
        <w:trPr>
          <w:trHeight w:val="683"/>
        </w:trPr>
        <w:tc>
          <w:tcPr>
            <w:tcW w:w="1560" w:type="dxa"/>
            <w:vMerge/>
            <w:vAlign w:val="center"/>
            <w:hideMark/>
          </w:tcPr>
          <w:p w14:paraId="20C7C61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2B07D7C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</w:tcBorders>
            <w:vAlign w:val="center"/>
            <w:hideMark/>
          </w:tcPr>
          <w:p w14:paraId="66ED71D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Jobseekers with secondary vocational education without completing a leaving exam (incl. apprentices): number of jobseekers with secondary vocational education without completing a leaving exam (incl. apprentices) compared to the total number of jobseekers; %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3E36083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2003 2018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39E548F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FC8C7B2" w14:textId="77777777" w:rsidTr="009652B6">
        <w:trPr>
          <w:trHeight w:val="454"/>
        </w:trPr>
        <w:tc>
          <w:tcPr>
            <w:tcW w:w="1560" w:type="dxa"/>
            <w:vMerge/>
            <w:vAlign w:val="center"/>
            <w:hideMark/>
          </w:tcPr>
          <w:p w14:paraId="01D52D8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 w:val="restart"/>
            <w:vAlign w:val="center"/>
            <w:hideMark/>
          </w:tcPr>
          <w:p w14:paraId="6A40DBF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Living conditions </w:t>
            </w:r>
            <w:r w:rsidRPr="009A4968">
              <w:rPr>
                <w:rFonts w:eastAsia="Times New Roman" w:cstheme="minorHAnsi"/>
                <w:lang w:val="en-GB"/>
              </w:rPr>
              <w:lastRenderedPageBreak/>
              <w:t>and social benefits</w:t>
            </w:r>
          </w:p>
        </w:tc>
        <w:tc>
          <w:tcPr>
            <w:tcW w:w="4961" w:type="dxa"/>
            <w:tcBorders>
              <w:bottom w:val="nil"/>
            </w:tcBorders>
            <w:vAlign w:val="center"/>
            <w:hideMark/>
          </w:tcPr>
          <w:p w14:paraId="5542EAC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lastRenderedPageBreak/>
              <w:t xml:space="preserve">GDP/capita: share of GDP per capita; and 100 thou. CZK; REGIONS (identical value of the region </w:t>
            </w:r>
            <w:r w:rsidRPr="009A4968">
              <w:rPr>
                <w:rFonts w:eastAsia="Times New Roman" w:cstheme="minorHAnsi"/>
                <w:lang w:val="en-GB"/>
              </w:rPr>
              <w:lastRenderedPageBreak/>
              <w:t>level assigned to the districts of the respective region)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033665B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lastRenderedPageBreak/>
              <w:t>2001 2018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58E8A32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7DE4848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04A1DA0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036C4D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602B4F9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Housing allowances: total amount of housing allowances for persons aged 20 and over; in CZK/person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8983C1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347784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0CEE73C4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5587E21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58F9D82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</w:tcBorders>
            <w:vAlign w:val="center"/>
            <w:hideMark/>
          </w:tcPr>
          <w:p w14:paraId="03E6792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Child allowances: total amount of child allowances for persons aged 20-59; in CZK/person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3BC1D7D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2003 2018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681CEF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02E9924C" w14:textId="77777777" w:rsidTr="009652B6">
        <w:trPr>
          <w:trHeight w:val="454"/>
        </w:trPr>
        <w:tc>
          <w:tcPr>
            <w:tcW w:w="1560" w:type="dxa"/>
            <w:vMerge w:val="restart"/>
            <w:noWrap/>
            <w:vAlign w:val="center"/>
            <w:hideMark/>
          </w:tcPr>
          <w:p w14:paraId="32DBCDF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A.2 </w:t>
            </w:r>
            <w:r w:rsidRPr="009A4968">
              <w:rPr>
                <w:rFonts w:eastAsia="Times New Roman" w:cstheme="minorHAnsi"/>
                <w:lang w:val="en-GB"/>
              </w:rPr>
              <w:br/>
              <w:t>Education</w:t>
            </w:r>
          </w:p>
        </w:tc>
        <w:tc>
          <w:tcPr>
            <w:tcW w:w="1559" w:type="dxa"/>
            <w:vMerge w:val="restart"/>
            <w:vAlign w:val="center"/>
            <w:hideMark/>
          </w:tcPr>
          <w:p w14:paraId="357A4E0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Educational structure</w:t>
            </w:r>
          </w:p>
        </w:tc>
        <w:tc>
          <w:tcPr>
            <w:tcW w:w="4961" w:type="dxa"/>
            <w:tcBorders>
              <w:bottom w:val="nil"/>
            </w:tcBorders>
            <w:vAlign w:val="center"/>
            <w:hideMark/>
          </w:tcPr>
          <w:p w14:paraId="3011658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Population with basic incl. incomplete education: share of persons with basic and incomplete education aged 15 and over in relation to persons of the same age; %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6718C5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6D22CA3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2011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6AB37DA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43F9BED" w14:textId="77777777" w:rsidTr="009652B6">
        <w:trPr>
          <w:trHeight w:val="465"/>
        </w:trPr>
        <w:tc>
          <w:tcPr>
            <w:tcW w:w="1560" w:type="dxa"/>
            <w:vMerge/>
            <w:vAlign w:val="center"/>
            <w:hideMark/>
          </w:tcPr>
          <w:p w14:paraId="559E1A6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D68462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14590BE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Population with university education: share of persons with university education aged 15 and over in relation to persons of the same age; % 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3729A74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5403484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1CF7A9F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47578B16" w14:textId="77777777" w:rsidTr="009652B6">
        <w:trPr>
          <w:trHeight w:val="454"/>
        </w:trPr>
        <w:tc>
          <w:tcPr>
            <w:tcW w:w="1560" w:type="dxa"/>
            <w:vMerge w:val="restart"/>
            <w:vAlign w:val="center"/>
            <w:hideMark/>
          </w:tcPr>
          <w:p w14:paraId="774DCC5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A.3</w:t>
            </w:r>
            <w:r w:rsidRPr="009A4968">
              <w:rPr>
                <w:rFonts w:eastAsia="Times New Roman" w:cstheme="minorHAnsi"/>
                <w:lang w:val="en-GB"/>
              </w:rPr>
              <w:br/>
              <w:t>Demographic situation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noWrap/>
            <w:vAlign w:val="center"/>
            <w:hideMark/>
          </w:tcPr>
          <w:p w14:paraId="7EA4AEA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Migration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0ECDD59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Foreigners by most frequent citizenships: sum of the number of most frequent citizenships of foreigners in relation to the whole population; 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987413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2001 2019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CD80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40792C3F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047F93F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D5C8E2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Aging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52C627B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Age index: number of persons aged 65 and over compared to the number of persons aged 0-14; %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EE5E2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2001 2019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19E499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00396CC1" w14:textId="77777777" w:rsidTr="009652B6">
        <w:trPr>
          <w:trHeight w:val="237"/>
        </w:trPr>
        <w:tc>
          <w:tcPr>
            <w:tcW w:w="1560" w:type="dxa"/>
            <w:vMerge/>
            <w:vAlign w:val="center"/>
            <w:hideMark/>
          </w:tcPr>
          <w:p w14:paraId="03A34E4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14:paraId="2AFF722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Urbanisation</w:t>
            </w:r>
          </w:p>
        </w:tc>
        <w:tc>
          <w:tcPr>
            <w:tcW w:w="496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4CC2DD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Level of urbanisation: share of population living in cities; %</w:t>
            </w:r>
          </w:p>
        </w:tc>
        <w:tc>
          <w:tcPr>
            <w:tcW w:w="709" w:type="dxa"/>
            <w:tcBorders>
              <w:top w:val="single" w:sz="4" w:space="0" w:color="auto"/>
            </w:tcBorders>
            <w:vAlign w:val="center"/>
          </w:tcPr>
          <w:p w14:paraId="480891B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2003 2019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0BCADAD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55E2B635" w14:textId="77777777" w:rsidTr="009652B6">
        <w:trPr>
          <w:trHeight w:val="253"/>
        </w:trPr>
        <w:tc>
          <w:tcPr>
            <w:tcW w:w="1560" w:type="dxa"/>
            <w:vMerge w:val="restart"/>
            <w:vAlign w:val="center"/>
            <w:hideMark/>
          </w:tcPr>
          <w:p w14:paraId="360DE00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A.4 </w:t>
            </w:r>
            <w:r w:rsidRPr="009A4968">
              <w:rPr>
                <w:rFonts w:eastAsia="Times New Roman" w:cstheme="minorHAnsi"/>
                <w:lang w:val="en-GB"/>
              </w:rPr>
              <w:br/>
              <w:t>Environmental status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4D5799E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Air quality</w:t>
            </w:r>
          </w:p>
        </w:tc>
        <w:tc>
          <w:tcPr>
            <w:tcW w:w="4961" w:type="dxa"/>
            <w:tcBorders>
              <w:bottom w:val="nil"/>
            </w:tcBorders>
            <w:vAlign w:val="center"/>
            <w:hideMark/>
          </w:tcPr>
          <w:p w14:paraId="34B7E75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Five-year average of annual average concentrations of suspended particulate matter PM</w:t>
            </w:r>
            <w:r w:rsidRPr="009A4968">
              <w:rPr>
                <w:rFonts w:eastAsia="Times New Roman" w:cstheme="minorHAnsi"/>
                <w:vertAlign w:val="subscript"/>
                <w:lang w:val="en-GB"/>
              </w:rPr>
              <w:t>2.5</w:t>
            </w:r>
            <w:r w:rsidRPr="009A4968">
              <w:rPr>
                <w:rFonts w:eastAsia="Times New Roman" w:cstheme="minorHAnsi"/>
                <w:lang w:val="en-GB"/>
              </w:rPr>
              <w:t>; µg.m</w:t>
            </w:r>
            <w:r w:rsidRPr="009A4968">
              <w:rPr>
                <w:rFonts w:eastAsia="Times New Roman" w:cstheme="minorHAnsi"/>
                <w:vertAlign w:val="superscript"/>
                <w:lang w:val="en-GB"/>
              </w:rPr>
              <w:t>-3</w:t>
            </w:r>
            <w:r w:rsidRPr="009A4968">
              <w:rPr>
                <w:rFonts w:eastAsia="Times New Roman" w:cstheme="minorHAnsi"/>
                <w:lang w:val="en-GB"/>
              </w:rPr>
              <w:t xml:space="preserve"> 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0E33E0A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2007 2018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73F63C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CHMI</w:t>
            </w:r>
          </w:p>
        </w:tc>
      </w:tr>
      <w:tr w:rsidR="00A6436A" w:rsidRPr="009A4968" w14:paraId="665C7114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7574FA0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23A8B22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19C7C40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Five-year average of annual average concentration of suspended particulate matter PM</w:t>
            </w:r>
            <w:r w:rsidRPr="009A4968">
              <w:rPr>
                <w:rFonts w:eastAsia="Times New Roman" w:cstheme="minorHAnsi"/>
                <w:vertAlign w:val="subscript"/>
                <w:lang w:val="en-GB"/>
              </w:rPr>
              <w:t>10</w:t>
            </w:r>
            <w:r w:rsidRPr="009A4968">
              <w:rPr>
                <w:rFonts w:eastAsia="Times New Roman" w:cstheme="minorHAnsi"/>
                <w:lang w:val="en-GB"/>
              </w:rPr>
              <w:t>; µg.m</w:t>
            </w:r>
            <w:r w:rsidRPr="009A4968">
              <w:rPr>
                <w:rFonts w:eastAsia="Times New Roman" w:cstheme="minorHAnsi"/>
                <w:vertAlign w:val="superscript"/>
                <w:lang w:val="en-GB"/>
              </w:rPr>
              <w:t>-3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FB756E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2007 2018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78D64A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CHMI</w:t>
            </w:r>
          </w:p>
        </w:tc>
      </w:tr>
      <w:tr w:rsidR="00A6436A" w:rsidRPr="009A4968" w14:paraId="76661585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036AEE8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384C5CF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64987AD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Five-year average of annual average concentration of benzo[a]pyrene; ng.m</w:t>
            </w:r>
            <w:r w:rsidRPr="009A4968">
              <w:rPr>
                <w:rFonts w:eastAsia="Times New Roman" w:cstheme="minorHAnsi"/>
                <w:vertAlign w:val="superscript"/>
                <w:lang w:val="en-GB"/>
              </w:rPr>
              <w:t>-3</w:t>
            </w:r>
            <w:r w:rsidRPr="009A4968">
              <w:rPr>
                <w:rFonts w:eastAsia="Times New Roman" w:cstheme="minorHAnsi"/>
                <w:lang w:val="en-GB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8ACE8D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2007 2018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C6D411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CHMI</w:t>
            </w:r>
          </w:p>
        </w:tc>
      </w:tr>
      <w:tr w:rsidR="00A6436A" w:rsidRPr="009A4968" w14:paraId="26F6D14F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4554822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6130A1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376ACA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Five-year average of annual average NO</w:t>
            </w:r>
            <w:r w:rsidRPr="009A4968">
              <w:rPr>
                <w:rFonts w:eastAsia="Times New Roman" w:cstheme="minorHAnsi"/>
                <w:vertAlign w:val="subscript"/>
                <w:lang w:val="en-GB"/>
              </w:rPr>
              <w:t>2</w:t>
            </w:r>
            <w:r w:rsidRPr="009A4968">
              <w:rPr>
                <w:rFonts w:eastAsia="Times New Roman" w:cstheme="minorHAnsi"/>
                <w:lang w:val="en-GB"/>
              </w:rPr>
              <w:t xml:space="preserve"> concentration; </w:t>
            </w:r>
            <w:r w:rsidRPr="009A4968">
              <w:rPr>
                <w:rFonts w:eastAsia="Times New Roman" w:cstheme="minorHAnsi"/>
                <w:lang w:val="en-GB"/>
              </w:rPr>
              <w:br/>
              <w:t>µg.m</w:t>
            </w:r>
            <w:r w:rsidRPr="009A4968">
              <w:rPr>
                <w:rFonts w:eastAsia="Times New Roman" w:cstheme="minorHAnsi"/>
                <w:vertAlign w:val="superscript"/>
                <w:lang w:val="en-GB"/>
              </w:rPr>
              <w:t>-3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AC996F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2007 2018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2B28DC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CHMI</w:t>
            </w:r>
          </w:p>
        </w:tc>
      </w:tr>
      <w:tr w:rsidR="00A6436A" w:rsidRPr="009A4968" w14:paraId="5629EF6A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65C8836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86555F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29EC46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Five-year average of annual average benzene concentration; µg.m</w:t>
            </w:r>
            <w:r w:rsidRPr="009A4968">
              <w:rPr>
                <w:rFonts w:eastAsia="Times New Roman" w:cstheme="minorHAnsi"/>
                <w:vertAlign w:val="superscript"/>
                <w:lang w:val="en-GB"/>
              </w:rPr>
              <w:t>-3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5FE0C88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2007 2018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D79D69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CHMI</w:t>
            </w:r>
          </w:p>
        </w:tc>
      </w:tr>
      <w:tr w:rsidR="00A6436A" w:rsidRPr="009A4968" w14:paraId="7B39FA70" w14:textId="77777777" w:rsidTr="009652B6">
        <w:trPr>
          <w:trHeight w:val="237"/>
        </w:trPr>
        <w:tc>
          <w:tcPr>
            <w:tcW w:w="1560" w:type="dxa"/>
            <w:vMerge/>
            <w:vAlign w:val="center"/>
            <w:hideMark/>
          </w:tcPr>
          <w:p w14:paraId="21D294D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26A3F19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Countryside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7A7700C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Coefficient of ecological stability KES: share of ecologically stable areas to unstable areas; coefficient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656F2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2003 2019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658F5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3AEE24A2" w14:textId="77777777" w:rsidTr="009652B6">
        <w:trPr>
          <w:trHeight w:val="227"/>
        </w:trPr>
        <w:tc>
          <w:tcPr>
            <w:tcW w:w="1560" w:type="dxa"/>
            <w:vMerge w:val="restart"/>
            <w:vAlign w:val="center"/>
            <w:hideMark/>
          </w:tcPr>
          <w:p w14:paraId="7A498D1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A.5</w:t>
            </w:r>
            <w:r w:rsidRPr="009A4968">
              <w:rPr>
                <w:rFonts w:eastAsia="Times New Roman" w:cstheme="minorHAnsi"/>
                <w:lang w:val="en-GB"/>
              </w:rPr>
              <w:br/>
              <w:t>Individual living status</w:t>
            </w:r>
          </w:p>
        </w:tc>
        <w:tc>
          <w:tcPr>
            <w:tcW w:w="1559" w:type="dxa"/>
            <w:vMerge w:val="restart"/>
            <w:vAlign w:val="center"/>
            <w:hideMark/>
          </w:tcPr>
          <w:p w14:paraId="72B7065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Living conditions</w:t>
            </w:r>
          </w:p>
        </w:tc>
        <w:tc>
          <w:tcPr>
            <w:tcW w:w="4961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727C41F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Average living space per person; m</w:t>
            </w:r>
            <w:r w:rsidRPr="009A4968">
              <w:rPr>
                <w:rFonts w:eastAsia="Times New Roman" w:cstheme="minorHAnsi"/>
                <w:vertAlign w:val="superscript"/>
                <w:lang w:val="en-GB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23FB069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2003 2011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70384CF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137EADF2" w14:textId="77777777" w:rsidTr="009652B6">
        <w:trPr>
          <w:trHeight w:val="227"/>
        </w:trPr>
        <w:tc>
          <w:tcPr>
            <w:tcW w:w="1560" w:type="dxa"/>
            <w:vMerge/>
            <w:vAlign w:val="center"/>
            <w:hideMark/>
          </w:tcPr>
          <w:p w14:paraId="5D00209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8EFDEA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553CBE2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Heating method: share of dwellings heated by electricity or gas to dwellings heated by solid fuels; coefficient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165794B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2001 2011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38F1135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23E62E7" w14:textId="77777777" w:rsidTr="009652B6">
        <w:trPr>
          <w:trHeight w:val="465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DE3D42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hideMark/>
          </w:tcPr>
          <w:p w14:paraId="284E178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Technical infrastructure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vAlign w:val="center"/>
            <w:hideMark/>
          </w:tcPr>
          <w:p w14:paraId="56E9ADE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Share of municipalities in the district with connection to the sewerage system terminated by a WWTP; 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5DC217B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2000 2016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7A13BCC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5DDC757C" w14:textId="77777777" w:rsidTr="009652B6">
        <w:trPr>
          <w:trHeight w:val="227"/>
        </w:trPr>
        <w:tc>
          <w:tcPr>
            <w:tcW w:w="1560" w:type="dxa"/>
            <w:vMerge w:val="restart"/>
            <w:tcBorders>
              <w:bottom w:val="nil"/>
            </w:tcBorders>
            <w:vAlign w:val="center"/>
            <w:hideMark/>
          </w:tcPr>
          <w:p w14:paraId="0E6529B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A.6 </w:t>
            </w:r>
            <w:r w:rsidRPr="009A4968">
              <w:rPr>
                <w:rFonts w:eastAsia="Times New Roman" w:cstheme="minorHAnsi"/>
                <w:lang w:val="en-GB"/>
              </w:rPr>
              <w:br/>
              <w:t>Road safety and crime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9FEE7C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  <w:p w14:paraId="230E153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Traffic accidents</w:t>
            </w:r>
          </w:p>
        </w:tc>
        <w:tc>
          <w:tcPr>
            <w:tcW w:w="4961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6E50654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Total traffic accidents: total number of traffic accidents in relation to the total population; per 1 thousand inhabitants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1D4A122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3DA77FB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6875A0E" w14:textId="77777777" w:rsidTr="009652B6">
        <w:trPr>
          <w:trHeight w:val="454"/>
        </w:trPr>
        <w:tc>
          <w:tcPr>
            <w:tcW w:w="1560" w:type="dxa"/>
            <w:vMerge/>
            <w:tcBorders>
              <w:bottom w:val="nil"/>
            </w:tcBorders>
            <w:vAlign w:val="center"/>
            <w:hideMark/>
          </w:tcPr>
          <w:p w14:paraId="6D94119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4742EF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58399FE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Traffic accidents under the influence of alcohol: number of traffic accidents under the influence of alcohol relative to the total population; per 1 thousand inhabitants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B83E4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2003 2018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83A101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38686E7C" w14:textId="77777777" w:rsidTr="009652B6">
        <w:trPr>
          <w:trHeight w:val="454"/>
        </w:trPr>
        <w:tc>
          <w:tcPr>
            <w:tcW w:w="1560" w:type="dxa"/>
            <w:vMerge/>
            <w:tcBorders>
              <w:bottom w:val="nil"/>
            </w:tcBorders>
            <w:vAlign w:val="center"/>
            <w:hideMark/>
          </w:tcPr>
          <w:p w14:paraId="7196AAE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C27DF6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</w:tcBorders>
            <w:vAlign w:val="center"/>
            <w:hideMark/>
          </w:tcPr>
          <w:p w14:paraId="60B31B5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due to road accidents: number of deaths due to road accidents relative to the number of inhabitants (ESP2013); per 100 thousand inhabitants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522D6C3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339C707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394395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788C01B5" w14:textId="77777777" w:rsidTr="009652B6">
        <w:trPr>
          <w:trHeight w:val="454"/>
        </w:trPr>
        <w:tc>
          <w:tcPr>
            <w:tcW w:w="1560" w:type="dxa"/>
            <w:vMerge/>
            <w:tcBorders>
              <w:bottom w:val="nil"/>
            </w:tcBorders>
            <w:vAlign w:val="center"/>
            <w:hideMark/>
          </w:tcPr>
          <w:p w14:paraId="1963678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 w:val="restart"/>
            <w:tcBorders>
              <w:bottom w:val="single" w:sz="4" w:space="0" w:color="auto"/>
            </w:tcBorders>
            <w:noWrap/>
            <w:vAlign w:val="center"/>
            <w:hideMark/>
          </w:tcPr>
          <w:p w14:paraId="1586C59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Crime</w:t>
            </w:r>
          </w:p>
        </w:tc>
        <w:tc>
          <w:tcPr>
            <w:tcW w:w="4961" w:type="dxa"/>
            <w:tcBorders>
              <w:bottom w:val="nil"/>
            </w:tcBorders>
            <w:vAlign w:val="center"/>
            <w:hideMark/>
          </w:tcPr>
          <w:p w14:paraId="6E57D44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due to assault (attack): number of deaths due to assault (attack) relative to number of inhabitants (ESP2013); per 100 thousand inhabitants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3A77832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15EE730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77BF14C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053E0005" w14:textId="77777777" w:rsidTr="009652B6">
        <w:trPr>
          <w:trHeight w:val="23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E2A759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DEEE16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noWrap/>
            <w:vAlign w:val="center"/>
            <w:hideMark/>
          </w:tcPr>
          <w:p w14:paraId="404AE0D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Registered offenses: number of registered offenses in relation to the total population; per 1 thousand inhabitants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139FCA6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7424C3C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4176CA5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30236A2D" w14:textId="77777777" w:rsidTr="009652B6">
        <w:trPr>
          <w:trHeight w:val="227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3693761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A.7</w:t>
            </w:r>
            <w:r w:rsidRPr="009A4968">
              <w:rPr>
                <w:rFonts w:eastAsia="Times New Roman" w:cstheme="minorHAnsi"/>
                <w:lang w:val="en-GB"/>
              </w:rPr>
              <w:br/>
              <w:t xml:space="preserve">Sources of </w:t>
            </w:r>
            <w:r w:rsidRPr="009A4968">
              <w:rPr>
                <w:rFonts w:eastAsia="Times New Roman" w:cstheme="minorHAnsi"/>
                <w:lang w:val="en-GB"/>
              </w:rPr>
              <w:lastRenderedPageBreak/>
              <w:t>health and social care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5225312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lastRenderedPageBreak/>
              <w:t>Health and social care capacities</w:t>
            </w:r>
          </w:p>
        </w:tc>
        <w:tc>
          <w:tcPr>
            <w:tcW w:w="4961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77DABFB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Physicians in healthcare facilities: number of physicians relative to the total population; per 1 thousand inhabitants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1DF9AB9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0E37BCA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0B4D50D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749C17E3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AD15E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602E9C7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7735F8C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Hospital beds: number of hospital beds in relation to the total population; per 1 thousand inhabitants; REGIONS (identical value of the region level assigned to the districts of the respective region)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C9662F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60600BE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FB66DB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77450D0E" w14:textId="77777777" w:rsidTr="009652B6">
        <w:trPr>
          <w:trHeight w:val="465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34D5CD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9EEB9C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</w:tcBorders>
            <w:vAlign w:val="center"/>
            <w:hideMark/>
          </w:tcPr>
          <w:p w14:paraId="065A112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Places in social services facilities: number of places in social services facilities relative to the total population; per 1 thousand inhabitants; REGIONS (identical value of the region level assigned to the districts of the respective region)</w:t>
            </w:r>
          </w:p>
        </w:tc>
        <w:tc>
          <w:tcPr>
            <w:tcW w:w="709" w:type="dxa"/>
            <w:tcBorders>
              <w:top w:val="nil"/>
            </w:tcBorders>
            <w:vAlign w:val="center"/>
          </w:tcPr>
          <w:p w14:paraId="4851342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6E498E7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</w:tcBorders>
            <w:vAlign w:val="center"/>
          </w:tcPr>
          <w:p w14:paraId="16EC033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630ECF6" w14:textId="77777777" w:rsidTr="009652B6">
        <w:trPr>
          <w:trHeight w:val="227"/>
        </w:trPr>
        <w:tc>
          <w:tcPr>
            <w:tcW w:w="1560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14:paraId="2F12C06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B.1 </w:t>
            </w:r>
            <w:r w:rsidRPr="009A4968">
              <w:rPr>
                <w:rFonts w:eastAsia="Times New Roman" w:cstheme="minorHAnsi"/>
                <w:lang w:val="en-GB"/>
              </w:rPr>
              <w:br/>
              <w:t>Health condition</w:t>
            </w:r>
          </w:p>
        </w:tc>
        <w:tc>
          <w:tcPr>
            <w:tcW w:w="1559" w:type="dxa"/>
            <w:vMerge w:val="restart"/>
            <w:tcBorders>
              <w:bottom w:val="single" w:sz="4" w:space="0" w:color="auto"/>
            </w:tcBorders>
            <w:vAlign w:val="center"/>
            <w:hideMark/>
          </w:tcPr>
          <w:p w14:paraId="7D6B317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Life expectancy and mortality structure</w:t>
            </w:r>
          </w:p>
        </w:tc>
        <w:tc>
          <w:tcPr>
            <w:tcW w:w="4961" w:type="dxa"/>
            <w:tcBorders>
              <w:bottom w:val="nil"/>
            </w:tcBorders>
            <w:vAlign w:val="center"/>
            <w:hideMark/>
          </w:tcPr>
          <w:p w14:paraId="14556F1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Life expectancy at birth men</w:t>
            </w:r>
          </w:p>
        </w:tc>
        <w:tc>
          <w:tcPr>
            <w:tcW w:w="709" w:type="dxa"/>
            <w:tcBorders>
              <w:bottom w:val="nil"/>
            </w:tcBorders>
            <w:vAlign w:val="center"/>
          </w:tcPr>
          <w:p w14:paraId="2C9446B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4F6A71A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bottom w:val="nil"/>
            </w:tcBorders>
            <w:vAlign w:val="center"/>
          </w:tcPr>
          <w:p w14:paraId="419758A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7ABB24D0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DFF819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E1B711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DCE8DA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Life expectancy at birth women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81CCA4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138A0A9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31C5578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62D67D24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88032C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929CA6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346828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Life expectancy at age 65 men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3091B0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4F5DB92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995CC9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0D2A213C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98BC86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953BE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122867F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Life expectancy at age 65 women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328133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237510B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2019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D0E6AF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39F6125C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449A15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7BE3B7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17FC80C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Total mortality: total number of deaths relative to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CE41FE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66A8350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E067CF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3FA5F8CC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02B377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4FB236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18ACE9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Male mortality: number of male deaths relative to total male number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25117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6A1CA19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76F9B4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4E7F8F20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466E7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207D81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1F8D70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Female mortality: number of female deaths relative to total women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25EBD4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779119E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49C629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76CD8A5B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0EA2AF0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22117F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1AA19E6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Infant mortality: number of deaths within 1 year relative to the total number of live births; per 1 thousand live births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5467AF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3BE7E2E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9F92A0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70D8D16A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641BA0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28A407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6CD8B9C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Neonatal mortality: number of deaths within 28 days of birth versus number of live births; per 1 thousand live births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15AD96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25526E5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65F4B4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0E09DEA4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8E6C6C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8653A2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E75C7C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from infectious and parasitic disease : number of deaths from infectious and parasitic diseases relative to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77E320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4F51FF5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7BECEA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2A0684D1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BAEFF7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38C23F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624BC3F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from circulatory system diseases: number of deaths from circulatory system diseases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FA9DED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02D64DC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27267D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666C4EC2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7220B1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010179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146507F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from respiratory diseases: number of deaths from respiratory diseases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2EE827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130FE7E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43F2B4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089B6A41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164E0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6BB5AE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1C9BF26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from malignant neoplasms: number of deaths from malignant neoplasms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5AFAED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5FD2476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1099B66" w14:textId="77777777" w:rsidR="00A6436A" w:rsidRPr="009A4968" w:rsidRDefault="00A6436A" w:rsidP="009652B6">
            <w:pPr>
              <w:tabs>
                <w:tab w:val="left" w:pos="690"/>
              </w:tabs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3E174A09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D47FD0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DC3D9D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D88686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from gastrointestinal diseases: number of deaths from gastrointestinal diseases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5199E0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32CFE98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6D3FA7D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4704E621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E800E3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31AE30B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290BDE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from other causes: number of deaths from other causes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5D2B27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7F16689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9B81B8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1E7FE0B7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1FD62E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0C7BC0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5985A51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Intentional self-harm men: number of men who died as a result of self-harm relative to the total number of men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71B854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75D4BC6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D4D6DF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3DFB0F89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ADC937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B110A0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07BB70D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Intentional self-harm woman: number of women who died as a result of self-harm relative to the total number of women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CE3982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0251F48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D1EB46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330A4E1B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38FD5E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00D142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nil"/>
            </w:tcBorders>
            <w:vAlign w:val="center"/>
            <w:hideMark/>
          </w:tcPr>
          <w:p w14:paraId="30CAAF8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 xml:space="preserve">Deaths due to liver disease: number of deaths from liver disease (alcoholic, toxic, cirrhosis, chronic and other inflammations and diseases) </w:t>
            </w:r>
            <w:r w:rsidRPr="009A4968">
              <w:rPr>
                <w:rFonts w:eastAsia="Times New Roman" w:cstheme="minorHAnsi"/>
                <w:lang w:val="en-GB"/>
              </w:rPr>
              <w:lastRenderedPageBreak/>
              <w:t>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ABB961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lastRenderedPageBreak/>
              <w:t>2001</w:t>
            </w:r>
          </w:p>
          <w:p w14:paraId="3979F35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678CAD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6CA74016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2D633DE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534A5D1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66E258ED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Deaths due to smoking tobacco: number of deaths due to smoking tobacco (malignant neoplasm of larynx, trachea, bronchi and lungs)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147A7BE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39F1084B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6ED7ECE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5F0FA372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7528FC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656325B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Abortion rate</w:t>
            </w:r>
          </w:p>
        </w:tc>
        <w:tc>
          <w:tcPr>
            <w:tcW w:w="4961" w:type="dxa"/>
            <w:tcBorders>
              <w:top w:val="single" w:sz="4" w:space="0" w:color="auto"/>
              <w:bottom w:val="nil"/>
            </w:tcBorders>
            <w:vAlign w:val="center"/>
            <w:hideMark/>
          </w:tcPr>
          <w:p w14:paraId="27AA44C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Spontaneous abortion index: number of spontaneous abortions versus number of live births; per 100 live births; %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4A1C7C33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41D5936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3985DA2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36F85A1A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5FE47F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vAlign w:val="center"/>
            <w:hideMark/>
          </w:tcPr>
          <w:p w14:paraId="371BE31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3E3B5B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Induced abortion index: number of abortions versus number of live births; per 100 live births; %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11BEBE1E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5D9044D0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02ACB71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264BAEC0" w14:textId="77777777" w:rsidTr="009652B6">
        <w:trPr>
          <w:trHeight w:val="227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70A5572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 w:val="restart"/>
            <w:noWrap/>
            <w:vAlign w:val="center"/>
            <w:hideMark/>
          </w:tcPr>
          <w:p w14:paraId="120CB35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Diabetes</w:t>
            </w:r>
          </w:p>
        </w:tc>
        <w:tc>
          <w:tcPr>
            <w:tcW w:w="4961" w:type="dxa"/>
            <w:tcBorders>
              <w:top w:val="single" w:sz="4" w:space="0" w:color="auto"/>
              <w:bottom w:val="nil"/>
            </w:tcBorders>
            <w:noWrap/>
            <w:vAlign w:val="center"/>
            <w:hideMark/>
          </w:tcPr>
          <w:p w14:paraId="0C4880A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Treated diabetics: number of diabetics treated relative to the total population; per 100 thousand inhabitants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547C1FB1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2003</w:t>
            </w:r>
          </w:p>
          <w:p w14:paraId="38D8BCC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2016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6DCE8185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  <w:tr w:rsidR="00A6436A" w:rsidRPr="009A4968" w14:paraId="55074800" w14:textId="77777777" w:rsidTr="009652B6">
        <w:trPr>
          <w:trHeight w:val="454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407BB0B9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6437932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4961" w:type="dxa"/>
            <w:tcBorders>
              <w:top w:val="nil"/>
              <w:bottom w:val="single" w:sz="4" w:space="0" w:color="auto"/>
            </w:tcBorders>
            <w:vAlign w:val="center"/>
            <w:hideMark/>
          </w:tcPr>
          <w:p w14:paraId="4315393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Diabetes mellitus deaths: number of deaths due to diabetes mellitus relative to the total population (ESP2013); per 100 thousand inhabitants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20413BCA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019F866F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2017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5FF4FFD4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IHIS</w:t>
            </w:r>
          </w:p>
        </w:tc>
      </w:tr>
      <w:tr w:rsidR="00A6436A" w:rsidRPr="009A4968" w14:paraId="2BC764B3" w14:textId="77777777" w:rsidTr="009652B6">
        <w:trPr>
          <w:trHeight w:val="465"/>
        </w:trPr>
        <w:tc>
          <w:tcPr>
            <w:tcW w:w="1560" w:type="dxa"/>
            <w:vMerge/>
            <w:tcBorders>
              <w:bottom w:val="single" w:sz="4" w:space="0" w:color="auto"/>
            </w:tcBorders>
            <w:vAlign w:val="center"/>
            <w:hideMark/>
          </w:tcPr>
          <w:p w14:paraId="1362011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  <w:hideMark/>
          </w:tcPr>
          <w:p w14:paraId="31D0A812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Maturity of a child at birth</w:t>
            </w:r>
          </w:p>
        </w:tc>
        <w:tc>
          <w:tcPr>
            <w:tcW w:w="4961" w:type="dxa"/>
            <w:tcBorders>
              <w:bottom w:val="single" w:sz="4" w:space="0" w:color="auto"/>
            </w:tcBorders>
            <w:vAlign w:val="center"/>
            <w:hideMark/>
          </w:tcPr>
          <w:p w14:paraId="2CCC96C7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Birth weight: share of births to a birth weight of 2,500 g relative to all births; per 100 live births; %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vAlign w:val="center"/>
          </w:tcPr>
          <w:p w14:paraId="3FC11AC6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2001</w:t>
            </w:r>
          </w:p>
          <w:p w14:paraId="6E2CE688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2018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4B94EFFC" w14:textId="77777777" w:rsidR="00A6436A" w:rsidRPr="009A4968" w:rsidRDefault="00A6436A" w:rsidP="009652B6">
            <w:pPr>
              <w:spacing w:line="360" w:lineRule="auto"/>
              <w:ind w:right="1"/>
              <w:rPr>
                <w:rFonts w:eastAsia="Times New Roman" w:cstheme="minorHAnsi"/>
                <w:lang w:val="en-GB"/>
              </w:rPr>
            </w:pPr>
            <w:r w:rsidRPr="009A4968">
              <w:rPr>
                <w:rFonts w:eastAsia="Times New Roman" w:cstheme="minorHAnsi"/>
                <w:lang w:val="en-GB"/>
              </w:rPr>
              <w:t>CZSO</w:t>
            </w:r>
          </w:p>
        </w:tc>
      </w:tr>
    </w:tbl>
    <w:p w14:paraId="1B6EEBD0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09595AAA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43F7E5E7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183BA6F6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4380EF41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446759D1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4BED9286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741AF239" w14:textId="77777777" w:rsidR="00A6436A" w:rsidRPr="009A4968" w:rsidRDefault="00A6436A" w:rsidP="00A6436A">
      <w:pPr>
        <w:spacing w:after="0" w:line="360" w:lineRule="auto"/>
        <w:rPr>
          <w:rFonts w:eastAsiaTheme="minorEastAsia" w:cstheme="minorHAnsi"/>
          <w:sz w:val="24"/>
          <w:szCs w:val="24"/>
          <w:lang w:val="en-GB"/>
        </w:rPr>
      </w:pPr>
    </w:p>
    <w:p w14:paraId="7B1F91E3" w14:textId="77777777" w:rsidR="00755780" w:rsidRDefault="00755780"/>
    <w:sectPr w:rsidR="00755780" w:rsidSect="00A6436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436A"/>
    <w:rsid w:val="00011C58"/>
    <w:rsid w:val="0006021D"/>
    <w:rsid w:val="00331A6B"/>
    <w:rsid w:val="00755780"/>
    <w:rsid w:val="00857596"/>
    <w:rsid w:val="00A6436A"/>
    <w:rsid w:val="00A82615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3EADC2"/>
  <w15:chartTrackingRefBased/>
  <w15:docId w15:val="{F1FF0C91-5FDC-4AA7-9407-150B1C74AB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436A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6436A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6436A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6436A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6436A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6436A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6436A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6436A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6436A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6436A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6436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6436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6436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6436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6436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643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643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643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643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643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643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6436A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643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6436A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643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6436A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6436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6436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6436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6436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6436A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1284</Words>
  <Characters>7321</Characters>
  <Application>Microsoft Office Word</Application>
  <DocSecurity>0</DocSecurity>
  <Lines>61</Lines>
  <Paragraphs>17</Paragraphs>
  <ScaleCrop>false</ScaleCrop>
  <Company>Springer Nature</Company>
  <LinksUpToDate>false</LinksUpToDate>
  <CharactersWithSpaces>8588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2025-08-19T10:09:00Z</dcterms:created>
  <dcterms:modified xsi:type="dcterms:W3CDTF">2025-08-19T10:09:00Z</dcterms:modified>
</cp:coreProperties>
</file>