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E6EA" w14:textId="77777777" w:rsidR="002A180D" w:rsidRPr="002A180D" w:rsidRDefault="002A180D" w:rsidP="002A180D">
      <w:pPr>
        <w:pStyle w:val="Heading2"/>
        <w:spacing w:line="480" w:lineRule="auto"/>
        <w:rPr>
          <w:rFonts w:ascii="Arial" w:hAnsi="Arial" w:cs="Arial"/>
          <w:color w:val="auto"/>
        </w:rPr>
      </w:pPr>
      <w:r w:rsidRPr="002A180D">
        <w:rPr>
          <w:rFonts w:ascii="Arial" w:hAnsi="Arial" w:cs="Arial"/>
          <w:color w:val="auto"/>
        </w:rPr>
        <w:t>Supplementary Material</w:t>
      </w:r>
    </w:p>
    <w:p w14:paraId="64F5A49A" w14:textId="54AEC802" w:rsidR="002A180D" w:rsidRPr="002A180D" w:rsidRDefault="002A180D" w:rsidP="002A180D">
      <w:pPr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Arial" w:eastAsia="Calibri" w:hAnsi="Arial" w:cs="Arial"/>
          <w:b/>
          <w:iCs/>
          <w:color w:val="000000"/>
          <w:sz w:val="22"/>
          <w:szCs w:val="22"/>
        </w:rPr>
      </w:pPr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>Table S1: Participant HCW</w:t>
      </w:r>
      <w:r w:rsidR="00F11B4A">
        <w:rPr>
          <w:rFonts w:ascii="Arial" w:eastAsia="Calibri" w:hAnsi="Arial" w:cs="Arial"/>
          <w:b/>
          <w:iCs/>
          <w:color w:val="000000"/>
          <w:sz w:val="22"/>
          <w:szCs w:val="22"/>
        </w:rPr>
        <w:t>s</w:t>
      </w:r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vaccination and prior infection characteristics at the start of each Omicron sub-lineage predominant circulation period</w:t>
      </w:r>
      <w:bookmarkStart w:id="0" w:name="_Hlk204596348"/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>, multi-centre VEBIS HCW COVID-19 vaccine effectiveness study, 16 Dec 2021</w:t>
      </w:r>
      <w:r w:rsidR="002856E6" w:rsidRPr="002856E6">
        <w:rPr>
          <w:rFonts w:ascii="Arial" w:eastAsia="Calibri" w:hAnsi="Arial" w:cs="Arial"/>
          <w:b/>
          <w:iCs/>
          <w:sz w:val="22"/>
          <w:szCs w:val="22"/>
        </w:rPr>
        <w:t>–</w:t>
      </w:r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>21 May 2024</w:t>
      </w:r>
      <w:bookmarkEnd w:id="0"/>
    </w:p>
    <w:tbl>
      <w:tblPr>
        <w:tblW w:w="9127" w:type="dxa"/>
        <w:tblLayout w:type="fixed"/>
        <w:tblLook w:val="0400" w:firstRow="0" w:lastRow="0" w:firstColumn="0" w:lastColumn="0" w:noHBand="0" w:noVBand="1"/>
      </w:tblPr>
      <w:tblGrid>
        <w:gridCol w:w="3828"/>
        <w:gridCol w:w="1266"/>
        <w:gridCol w:w="1274"/>
        <w:gridCol w:w="1287"/>
        <w:gridCol w:w="1472"/>
      </w:tblGrid>
      <w:tr w:rsidR="002A180D" w:rsidRPr="000F7702" w14:paraId="3E75C28C" w14:textId="77777777" w:rsidTr="002A180D">
        <w:trPr>
          <w:trHeight w:val="612"/>
        </w:trPr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B8A30E" w14:textId="1DC8E385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541445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BA.1/2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9A8025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BA.4/5/BQ.1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32E68E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BA.2/XBB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C3AAA2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XBB.1.5/BA.2.86</w:t>
            </w:r>
          </w:p>
        </w:tc>
      </w:tr>
      <w:tr w:rsidR="002A180D" w:rsidRPr="000F7702" w14:paraId="1DB4F945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54974" w14:textId="77777777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Number of doses of the last COVID-19 vaccine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FC3C1" w14:textId="5708FE7B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1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58A12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441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EAEE7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382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8B000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139</w:t>
            </w:r>
          </w:p>
        </w:tc>
      </w:tr>
      <w:tr w:rsidR="002A180D" w:rsidRPr="000F7702" w14:paraId="7D7B9002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B9CEA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Primary course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F967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69 (6%)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C7527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25 (6%)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720C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 (1%)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224D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</w:tr>
      <w:tr w:rsidR="002A180D" w:rsidRPr="000F7702" w14:paraId="64BFA4DC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0A985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First booster dose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4127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1,149 (94%)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5D73D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346 (78%)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F483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45 (12%)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D546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 (4%)</w:t>
            </w:r>
          </w:p>
        </w:tc>
      </w:tr>
      <w:tr w:rsidR="002A180D" w:rsidRPr="000F7702" w14:paraId="7A1EAF0D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4823C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Second booster dose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50A5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986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70 (16%)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39D7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334 (87%)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C881D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46 (33%)</w:t>
            </w:r>
          </w:p>
        </w:tc>
      </w:tr>
      <w:tr w:rsidR="002A180D" w:rsidRPr="000F7702" w14:paraId="2B846087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2E82EF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Third booster dose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61AC0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11013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67E30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7CA9A1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87 (63%)</w:t>
            </w:r>
          </w:p>
        </w:tc>
      </w:tr>
      <w:tr w:rsidR="002A180D" w:rsidRPr="000F7702" w14:paraId="212499EC" w14:textId="77777777" w:rsidTr="002A180D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7E91F" w14:textId="77777777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Brand of the last COVID-19 vaccine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70813" w14:textId="18E2986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1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BB7C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441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E642E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382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61447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139</w:t>
            </w:r>
          </w:p>
        </w:tc>
      </w:tr>
      <w:tr w:rsidR="002A180D" w:rsidRPr="000F7702" w14:paraId="18D4057D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1BA1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Comirnaty monovalent original (Pfizer/BioNTech)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C0C0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924 (76%)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6009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212 (48%)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1ACD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177 (46%)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FD9D1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 (3%)</w:t>
            </w:r>
          </w:p>
        </w:tc>
      </w:tr>
      <w:tr w:rsidR="002A180D" w:rsidRPr="000F7702" w14:paraId="3915A51E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348BB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Spikevax monovalent original (Moderna)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9E9E0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285 (23%)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E1C3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208 (47%)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CCAF6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54 (14%)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31191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</w:tr>
      <w:tr w:rsidR="002A180D" w:rsidRPr="000F7702" w14:paraId="5C501D7C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C47A5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Vaxzevria (AstraZeneca)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52CF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A665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48EA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 (0%)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2DE8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</w:tr>
      <w:tr w:rsidR="002A180D" w:rsidRPr="000F7702" w14:paraId="5D89CA95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81796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Jcovden (Janssen)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D7A6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EBCD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FF0C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5E11B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</w:tr>
      <w:tr w:rsidR="002A180D" w:rsidRPr="000F7702" w14:paraId="2CDCDCC9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DA70D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Comirnaty bivalent original &amp; Omicron BA.1 (Pfizer/BioNTech)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E46F0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414E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 (1%)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349E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50 (13%)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BDD0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 (4%)</w:t>
            </w:r>
          </w:p>
        </w:tc>
      </w:tr>
      <w:tr w:rsidR="002A180D" w:rsidRPr="000F7702" w14:paraId="368FE5BA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EC730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Comirnaty bivalent original &amp; Omicron BA.4/5 (Pfizer/BioNTech)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C50C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4DCE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 (2%)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B839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82 (21%)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4842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 (6%)</w:t>
            </w:r>
          </w:p>
        </w:tc>
      </w:tr>
      <w:tr w:rsidR="002A180D" w:rsidRPr="000F7702" w14:paraId="2ED21B8D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CE491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Comirnaty Omicron XBB1.5 adapted monovalent (Pfizer/BioNTech)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959E7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ADAD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A67E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12E8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116 (83%)</w:t>
            </w:r>
          </w:p>
        </w:tc>
      </w:tr>
      <w:tr w:rsidR="002A180D" w:rsidRPr="000F7702" w14:paraId="78FE0EE2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7C065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val="fr-FR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  <w:lang w:val="fr-FR"/>
              </w:rPr>
              <w:t>Spikevax Omicron XBB1.5 adapted monovalent (Moderna)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CCA2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4A78B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C43C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02F2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 (2%)</w:t>
            </w:r>
          </w:p>
        </w:tc>
      </w:tr>
      <w:tr w:rsidR="002A180D" w:rsidRPr="000F7702" w14:paraId="092FD185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DEFE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88DA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E8C9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 (0%)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3754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10 (3%)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8415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 (1%)</w:t>
            </w:r>
          </w:p>
        </w:tc>
      </w:tr>
      <w:tr w:rsidR="002A180D" w:rsidRPr="000F7702" w14:paraId="185793AB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859B29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9E2C7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 (0%)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1C546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 (1%)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DEECCD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 (2%)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2F5834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 (1%)</w:t>
            </w:r>
          </w:p>
        </w:tc>
      </w:tr>
      <w:tr w:rsidR="002A180D" w:rsidRPr="000F7702" w14:paraId="001173D2" w14:textId="77777777" w:rsidTr="002A180D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8B340" w14:textId="77777777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Severity of last SARS-CoV-2 prior infection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19DEE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457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47AB8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4B4B8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826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5C273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950</w:t>
            </w:r>
          </w:p>
        </w:tc>
      </w:tr>
      <w:tr w:rsidR="002A180D" w:rsidRPr="000F7702" w14:paraId="707EFA46" w14:textId="77777777" w:rsidTr="002A180D">
        <w:trPr>
          <w:trHeight w:val="288"/>
        </w:trPr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5020D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Hospitalisation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C807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11 (2%)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4C1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14 (2%)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62B4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26 (3%)</w: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6441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36 (4%)</w:t>
            </w:r>
          </w:p>
        </w:tc>
      </w:tr>
      <w:tr w:rsidR="002A180D" w:rsidRPr="000F7702" w14:paraId="5596384B" w14:textId="77777777" w:rsidTr="002A180D">
        <w:trPr>
          <w:trHeight w:val="288"/>
        </w:trPr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43A0D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Symptomatic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3F0D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302 (66%)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B6C6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499 (57%)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B894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470 (57%)</w: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85E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583 (61%)</w:t>
            </w:r>
          </w:p>
        </w:tc>
      </w:tr>
      <w:tr w:rsidR="002A180D" w:rsidRPr="000F7702" w14:paraId="6CBFD37D" w14:textId="77777777" w:rsidTr="002A180D">
        <w:trPr>
          <w:trHeight w:val="288"/>
        </w:trPr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A857C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Asymptomatic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FE9F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17 (4%)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0B08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25 (3%)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1239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10 (1%)</w:t>
            </w: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FAEC0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144 (15%)</w:t>
            </w:r>
          </w:p>
        </w:tc>
      </w:tr>
      <w:tr w:rsidR="002A180D" w:rsidRPr="000F7702" w14:paraId="0A893E69" w14:textId="77777777" w:rsidTr="002A180D">
        <w:trPr>
          <w:trHeight w:val="288"/>
        </w:trPr>
        <w:tc>
          <w:tcPr>
            <w:tcW w:w="3828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215727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i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12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1926A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127 (28%)</w:t>
            </w:r>
          </w:p>
        </w:tc>
        <w:tc>
          <w:tcPr>
            <w:tcW w:w="1274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C599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342 (39%)</w:t>
            </w:r>
          </w:p>
        </w:tc>
        <w:tc>
          <w:tcPr>
            <w:tcW w:w="1287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36B56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320 (39%)</w:t>
            </w:r>
          </w:p>
        </w:tc>
        <w:tc>
          <w:tcPr>
            <w:tcW w:w="147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DAE4D4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187 (20%)</w:t>
            </w:r>
          </w:p>
        </w:tc>
      </w:tr>
      <w:tr w:rsidR="002A180D" w:rsidRPr="000F7702" w14:paraId="039AC384" w14:textId="77777777" w:rsidTr="002A180D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BE7C2" w14:textId="77777777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Number of prior SARS-CoV-2 infections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6DE5D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457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D43F1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44A32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826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F2B3E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950</w:t>
            </w:r>
          </w:p>
        </w:tc>
      </w:tr>
      <w:tr w:rsidR="002A180D" w:rsidRPr="000F7702" w14:paraId="56262CA3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B583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One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36DA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403 (88%)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354D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749 (85%)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9E75D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576 (70%)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DA3E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555 (58%)</w:t>
            </w:r>
          </w:p>
        </w:tc>
      </w:tr>
      <w:tr w:rsidR="002A180D" w:rsidRPr="000F7702" w14:paraId="4E75BCAE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B40E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Two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4E58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53 (12%)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58A0A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125 (14%)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D64F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220 (27%)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8496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281 (30%)</w:t>
            </w:r>
          </w:p>
        </w:tc>
      </w:tr>
      <w:tr w:rsidR="002A180D" w:rsidRPr="000F7702" w14:paraId="216D7B15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D43036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Three or more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4A48A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 (0%)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221F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 (1%)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6E88E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30 (4%)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87D7C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114 (12%)</w:t>
            </w:r>
          </w:p>
        </w:tc>
      </w:tr>
      <w:tr w:rsidR="002A180D" w:rsidRPr="000F7702" w14:paraId="14CA85F8" w14:textId="77777777" w:rsidTr="002A180D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7984B" w14:textId="77777777" w:rsidR="002A180D" w:rsidRPr="000F7702" w:rsidRDefault="002A180D" w:rsidP="0093081A">
            <w:pPr>
              <w:spacing w:after="0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Evidence of the last SARS-CoV-2 prior infection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A298C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457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8B175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880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CB58F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826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E29E8" w14:textId="77777777" w:rsidR="002A180D" w:rsidRPr="000F7702" w:rsidRDefault="002A180D" w:rsidP="0093081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N = 950</w:t>
            </w:r>
          </w:p>
        </w:tc>
      </w:tr>
      <w:tr w:rsidR="002A180D" w:rsidRPr="000F7702" w14:paraId="32E23FDF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24905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Self-diagnosed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1B0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32 (7%)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2EAE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84 (9%)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ACC2D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96 (11%)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7CAF8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183 (19%)</w:t>
            </w:r>
          </w:p>
        </w:tc>
      </w:tr>
      <w:tr w:rsidR="002A180D" w:rsidRPr="000F7702" w14:paraId="42BEDE1F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9153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Confirmed by CT scan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EE812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 (1%)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9CA43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 (1%)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1505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 (0%)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512C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 (0%)</w:t>
            </w:r>
          </w:p>
        </w:tc>
      </w:tr>
      <w:tr w:rsidR="002A180D" w:rsidRPr="000F7702" w14:paraId="3C539FA4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C2613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Laboratory confirmed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D866F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390 (85%)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B40DE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553 (63%)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457E5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505 (61%)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CBE76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763 (80%)</w:t>
            </w:r>
          </w:p>
        </w:tc>
      </w:tr>
      <w:tr w:rsidR="002A180D" w:rsidRPr="000F7702" w14:paraId="7F95FB08" w14:textId="77777777" w:rsidTr="002A180D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202A32" w14:textId="77777777" w:rsidR="002A180D" w:rsidRPr="002A180D" w:rsidRDefault="002A180D" w:rsidP="0093081A">
            <w:pPr>
              <w:spacing w:after="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Not documented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FFB547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31 (7%)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DA3B09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236 (27%)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17A4BC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221 (27%)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177951" w14:textId="77777777" w:rsidR="002A180D" w:rsidRPr="000F7702" w:rsidRDefault="002A180D" w:rsidP="0093081A">
            <w:pPr>
              <w:spacing w:after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 (0%)</w:t>
            </w:r>
          </w:p>
        </w:tc>
      </w:tr>
    </w:tbl>
    <w:p w14:paraId="5E3ED1AD" w14:textId="269D1985" w:rsidR="00F11B4A" w:rsidRDefault="00463236" w:rsidP="00F11B4A">
      <w:pPr>
        <w:rPr>
          <w:rFonts w:ascii="Arial" w:eastAsia="Calibri" w:hAnsi="Arial" w:cs="Arial"/>
          <w:sz w:val="18"/>
          <w:szCs w:val="18"/>
        </w:rPr>
      </w:pPr>
      <w:bookmarkStart w:id="1" w:name="_Hlk204597423"/>
      <w:r w:rsidRPr="006E446B">
        <w:rPr>
          <w:rFonts w:ascii="Arial" w:eastAsia="Calibri" w:hAnsi="Arial" w:cs="Arial"/>
          <w:sz w:val="18"/>
          <w:szCs w:val="18"/>
        </w:rPr>
        <w:t>COVID-19: coronavirus disease 2019</w:t>
      </w:r>
      <w:r w:rsidRPr="00463236">
        <w:rPr>
          <w:rFonts w:ascii="Arial" w:eastAsia="Calibri" w:hAnsi="Arial" w:cs="Arial"/>
          <w:sz w:val="18"/>
          <w:szCs w:val="18"/>
        </w:rPr>
        <w:t xml:space="preserve">, </w:t>
      </w:r>
      <w:bookmarkEnd w:id="1"/>
      <w:r w:rsidR="00F11B4A" w:rsidRPr="00F11B4A">
        <w:rPr>
          <w:rFonts w:ascii="Arial" w:eastAsia="Calibri" w:hAnsi="Arial" w:cs="Arial"/>
          <w:sz w:val="18"/>
          <w:szCs w:val="18"/>
        </w:rPr>
        <w:t>CT: Computerised Tomography</w:t>
      </w:r>
      <w:r w:rsidR="00F11B4A">
        <w:rPr>
          <w:rFonts w:ascii="Arial" w:eastAsia="Calibri" w:hAnsi="Arial" w:cs="Arial"/>
          <w:sz w:val="18"/>
          <w:szCs w:val="18"/>
        </w:rPr>
        <w:t xml:space="preserve">, </w:t>
      </w:r>
      <w:r w:rsidR="00F11B4A" w:rsidRPr="00F11B4A">
        <w:rPr>
          <w:rFonts w:ascii="Arial" w:eastAsia="Calibri" w:hAnsi="Arial" w:cs="Arial"/>
          <w:sz w:val="18"/>
          <w:szCs w:val="18"/>
        </w:rPr>
        <w:t>HCWs: Healthcare workers</w:t>
      </w:r>
      <w:r w:rsidR="00F11B4A">
        <w:rPr>
          <w:rFonts w:ascii="Arial" w:eastAsia="Calibri" w:hAnsi="Arial" w:cs="Arial"/>
          <w:sz w:val="18"/>
          <w:szCs w:val="18"/>
        </w:rPr>
        <w:t xml:space="preserve">, 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SARS-CoV-2: </w:t>
      </w:r>
      <w:r w:rsidR="0004691C">
        <w:rPr>
          <w:rFonts w:ascii="Arial" w:eastAsia="Calibri" w:hAnsi="Arial" w:cs="Arial"/>
          <w:sz w:val="18"/>
          <w:szCs w:val="18"/>
        </w:rPr>
        <w:t>S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evere </w:t>
      </w:r>
      <w:r w:rsidR="0004691C">
        <w:rPr>
          <w:rFonts w:ascii="Arial" w:eastAsia="Calibri" w:hAnsi="Arial" w:cs="Arial"/>
          <w:sz w:val="18"/>
          <w:szCs w:val="18"/>
        </w:rPr>
        <w:t>A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cute </w:t>
      </w:r>
      <w:r w:rsidR="0004691C">
        <w:rPr>
          <w:rFonts w:ascii="Arial" w:eastAsia="Calibri" w:hAnsi="Arial" w:cs="Arial"/>
          <w:sz w:val="18"/>
          <w:szCs w:val="18"/>
        </w:rPr>
        <w:t>R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espiratory </w:t>
      </w:r>
      <w:r w:rsidR="0004691C">
        <w:rPr>
          <w:rFonts w:ascii="Arial" w:eastAsia="Calibri" w:hAnsi="Arial" w:cs="Arial"/>
          <w:sz w:val="18"/>
          <w:szCs w:val="18"/>
        </w:rPr>
        <w:t>S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yndrome </w:t>
      </w:r>
      <w:r w:rsidR="0004691C">
        <w:rPr>
          <w:rFonts w:ascii="Arial" w:eastAsia="Calibri" w:hAnsi="Arial" w:cs="Arial"/>
          <w:sz w:val="18"/>
          <w:szCs w:val="18"/>
        </w:rPr>
        <w:t>C</w:t>
      </w:r>
      <w:r w:rsidR="0004691C" w:rsidRPr="006E446B">
        <w:rPr>
          <w:rFonts w:ascii="Arial" w:eastAsia="Calibri" w:hAnsi="Arial" w:cs="Arial"/>
          <w:sz w:val="18"/>
          <w:szCs w:val="18"/>
        </w:rPr>
        <w:t>oronavirus 2,</w:t>
      </w:r>
      <w:r w:rsidR="0004691C">
        <w:rPr>
          <w:rFonts w:ascii="Arial" w:eastAsia="Calibri" w:hAnsi="Arial" w:cs="Arial"/>
          <w:sz w:val="18"/>
          <w:szCs w:val="18"/>
        </w:rPr>
        <w:t xml:space="preserve"> </w:t>
      </w:r>
      <w:r w:rsidR="00F11B4A" w:rsidRPr="00F11B4A">
        <w:rPr>
          <w:rFonts w:ascii="Arial" w:eastAsia="Calibri" w:hAnsi="Arial" w:cs="Arial"/>
          <w:sz w:val="18"/>
          <w:szCs w:val="18"/>
        </w:rPr>
        <w:t>VEBIS: Vaccine Effectiveness Burden and Impact Studies</w:t>
      </w:r>
    </w:p>
    <w:p w14:paraId="35E9133E" w14:textId="1AFFCBF7" w:rsidR="00F11B4A" w:rsidRDefault="00F11B4A">
      <w:pPr>
        <w:spacing w:after="160" w:line="259" w:lineRule="auto"/>
        <w:rPr>
          <w:rFonts w:ascii="Arial" w:eastAsia="Calibri" w:hAnsi="Arial" w:cs="Arial"/>
          <w:sz w:val="18"/>
          <w:szCs w:val="18"/>
        </w:rPr>
      </w:pPr>
    </w:p>
    <w:p w14:paraId="1DF40AE9" w14:textId="77777777" w:rsidR="002A180D" w:rsidRPr="00F11B4A" w:rsidRDefault="002A180D" w:rsidP="00F11B4A">
      <w:pPr>
        <w:rPr>
          <w:rFonts w:ascii="Arial" w:eastAsia="Calibri" w:hAnsi="Arial" w:cs="Arial"/>
          <w:sz w:val="18"/>
          <w:szCs w:val="18"/>
        </w:rPr>
      </w:pPr>
    </w:p>
    <w:p w14:paraId="37CC543F" w14:textId="1E2F032C" w:rsidR="002A180D" w:rsidRPr="002A180D" w:rsidRDefault="002A180D" w:rsidP="002A180D">
      <w:pPr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Arial" w:eastAsia="Calibri" w:hAnsi="Arial" w:cs="Arial"/>
          <w:b/>
          <w:iCs/>
          <w:color w:val="000000"/>
          <w:sz w:val="22"/>
          <w:szCs w:val="22"/>
        </w:rPr>
      </w:pPr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Table S2: Hybrid, prior SARS-CoV-2 infection and COVID-19 vaccination protection against PCR-confirmed SARS-CoV-2 infection during the Omicron sub-lineage </w:t>
      </w:r>
      <w:r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lastRenderedPageBreak/>
        <w:t>predominant circulation</w:t>
      </w:r>
      <w:r w:rsidR="002856E6"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>, multi-centre VEBIS HCW COVID-19 vaccine effectiveness study, 16 Dec 2021</w:t>
      </w:r>
      <w:r w:rsidR="002856E6" w:rsidRPr="002856E6">
        <w:rPr>
          <w:rFonts w:ascii="Arial" w:eastAsia="Calibri" w:hAnsi="Arial" w:cs="Arial"/>
          <w:b/>
          <w:iCs/>
          <w:sz w:val="22"/>
          <w:szCs w:val="22"/>
        </w:rPr>
        <w:t>–</w:t>
      </w:r>
      <w:r w:rsidR="002856E6" w:rsidRPr="002A180D">
        <w:rPr>
          <w:rFonts w:ascii="Arial" w:eastAsia="Calibri" w:hAnsi="Arial" w:cs="Arial"/>
          <w:b/>
          <w:iCs/>
          <w:color w:val="000000"/>
          <w:sz w:val="22"/>
          <w:szCs w:val="22"/>
        </w:rPr>
        <w:t>21 May 2024</w:t>
      </w:r>
    </w:p>
    <w:tbl>
      <w:tblPr>
        <w:tblW w:w="906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694"/>
        <w:gridCol w:w="611"/>
        <w:gridCol w:w="1020"/>
        <w:gridCol w:w="725"/>
        <w:gridCol w:w="512"/>
        <w:gridCol w:w="1231"/>
        <w:gridCol w:w="992"/>
        <w:gridCol w:w="1276"/>
      </w:tblGrid>
      <w:tr w:rsidR="002A180D" w:rsidRPr="000F7702" w14:paraId="1641E3FF" w14:textId="77777777" w:rsidTr="00F11B4A">
        <w:trPr>
          <w:tblHeader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D5EB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7AD4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E46B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Person-days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A8B4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Events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ADFA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HR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0639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673D" w14:textId="50BB8E4E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aHR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6147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aHR (95% CI)</w:t>
            </w:r>
          </w:p>
        </w:tc>
      </w:tr>
      <w:tr w:rsidR="002A180D" w:rsidRPr="000F7702" w14:paraId="03F40951" w14:textId="77777777" w:rsidTr="002856E6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6335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BA.1/2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E39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CAB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4E9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A47D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1AA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C72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877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</w:tr>
      <w:tr w:rsidR="002A180D" w:rsidRPr="000F7702" w14:paraId="0AF4A9FA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274A" w14:textId="1DB8CCFB" w:rsidR="002A180D" w:rsidRPr="002A180D" w:rsidRDefault="002A180D" w:rsidP="00F11B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2" w:right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(-/-) No prior infection and waned vaccination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2AE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DFA0" w14:textId="5E4CCC96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11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DDE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E76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27A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894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6CA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</w:tr>
      <w:tr w:rsidR="002A180D" w:rsidRPr="000F7702" w14:paraId="7A5771B9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84BB" w14:textId="559C75E0" w:rsidR="002A180D" w:rsidRPr="002A180D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42" w:right="100" w:hanging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(+/+) Hybrid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DA8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D8F7" w14:textId="26F5F70D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24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3B7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40B8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948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0.22–0.65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F0E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247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0.21–0.63</w:t>
            </w:r>
          </w:p>
        </w:tc>
      </w:tr>
      <w:tr w:rsidR="002A180D" w:rsidRPr="000F7702" w14:paraId="6D02C991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CDC2" w14:textId="6E62F128" w:rsidR="002A180D" w:rsidRPr="002A180D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42" w:right="100" w:hanging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(+/-) Infection-induced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2F3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4379" w14:textId="17E00106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416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4BC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346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0.13–0.55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8A8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CDA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0.12–0.53</w:t>
            </w:r>
          </w:p>
        </w:tc>
      </w:tr>
      <w:tr w:rsidR="002A180D" w:rsidRPr="000F7702" w14:paraId="08B288E4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BA56" w14:textId="64CA831D" w:rsidR="002A180D" w:rsidRPr="002A180D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42" w:right="100" w:hanging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2A180D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(-/+) Vaccination-induced immunity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360E" w14:textId="7BA725E5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957F" w14:textId="54308845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76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FDE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8B4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549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0.50–1.08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4CB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1DB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0.49–1.06</w:t>
            </w:r>
          </w:p>
        </w:tc>
      </w:tr>
      <w:tr w:rsidR="002A180D" w:rsidRPr="000F7702" w14:paraId="157970E8" w14:textId="77777777" w:rsidTr="002856E6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4807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BA.4/5/BQ.1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0D0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D99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BFC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6FDE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561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896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8D0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</w:tr>
      <w:tr w:rsidR="002A180D" w:rsidRPr="000F7702" w14:paraId="2AD49CEE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3790" w14:textId="683A4011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(-/-) No prior infection and waned vaccination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93DD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4533" w14:textId="4A55CCEB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32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8D0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BED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B11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C22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180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</w:tr>
      <w:tr w:rsidR="002A180D" w:rsidRPr="000F7702" w14:paraId="14B14064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23A3" w14:textId="65A87E0E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(+/+) Hybrid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018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6ACE" w14:textId="07C7F9C2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16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62D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8B4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ECF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0.22–0.59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DF8E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0EED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0.22–0.58</w:t>
            </w:r>
          </w:p>
        </w:tc>
      </w:tr>
      <w:tr w:rsidR="002A180D" w:rsidRPr="000F7702" w14:paraId="7DD67DB7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E8D5" w14:textId="0BF8CEF5" w:rsidR="002A180D" w:rsidRPr="00782672" w:rsidRDefault="002A180D" w:rsidP="00F11B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(+/-) Infection-induced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2F88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73DC" w14:textId="31DDFB0A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73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97A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247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409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0.35–0.60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DC8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9C1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0.34–0.59</w:t>
            </w:r>
          </w:p>
        </w:tc>
      </w:tr>
      <w:tr w:rsidR="002A180D" w:rsidRPr="000F7702" w14:paraId="389D8C46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C161" w14:textId="1B5553D0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(-/+) Vaccination-induced immunity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6F4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6DE8" w14:textId="5CB1B7D2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391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2E9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785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0.50–1.22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AC7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A79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0.50–1.19</w:t>
            </w:r>
          </w:p>
        </w:tc>
      </w:tr>
      <w:tr w:rsidR="002A180D" w:rsidRPr="000F7702" w14:paraId="69C9EEE3" w14:textId="77777777" w:rsidTr="002856E6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1E4B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BA.2/XBB</w:t>
            </w:r>
          </w:p>
        </w:tc>
        <w:tc>
          <w:tcPr>
            <w:tcW w:w="61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D3F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EDA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6B2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5DB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EA1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EEB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8A9A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</w:tr>
      <w:tr w:rsidR="002A180D" w:rsidRPr="000F7702" w14:paraId="6940F964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7C78" w14:textId="77777777" w:rsidR="002A180D" w:rsidRPr="00782672" w:rsidRDefault="002A180D" w:rsidP="00F11B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2" w:right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(-/-) No prior infection and waned vaccination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0B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0984" w14:textId="155121C3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D4D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EA7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5B8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24E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7EDE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</w:tr>
      <w:tr w:rsidR="002A180D" w:rsidRPr="000F7702" w14:paraId="29052592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5D26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(+/+) Hybrid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634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968C" w14:textId="77202F6B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21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3BE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960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E3C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0.50–1.86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333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EB7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0.45–1.85</w:t>
            </w:r>
          </w:p>
        </w:tc>
      </w:tr>
      <w:tr w:rsidR="002A180D" w:rsidRPr="000F7702" w14:paraId="53806C44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0B82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(+/-) Infection-induced immunity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6048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6CC4" w14:textId="1D43752C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72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876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38F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E8B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0.39–1.24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DE7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671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0.36–1.22</w:t>
            </w:r>
          </w:p>
        </w:tc>
      </w:tr>
      <w:tr w:rsidR="002A180D" w:rsidRPr="000F7702" w14:paraId="79EAB95D" w14:textId="77777777" w:rsidTr="002856E6">
        <w:trPr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4C2A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(-/+) Vaccination-induced immunity</w:t>
            </w:r>
          </w:p>
        </w:tc>
        <w:tc>
          <w:tcPr>
            <w:tcW w:w="6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AA78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94CF" w14:textId="639A1A02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BEF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B81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3AF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0.91–4.23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166D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3C8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0.96–4.40</w:t>
            </w:r>
          </w:p>
        </w:tc>
      </w:tr>
      <w:tr w:rsidR="002A180D" w:rsidRPr="000F7702" w14:paraId="1DACFFBF" w14:textId="77777777" w:rsidTr="002856E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0DD6" w14:textId="77777777" w:rsidR="002A180D" w:rsidRPr="000F770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Omicron XBB.1.5/BA.2.86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97B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500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A1D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B76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BFA8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6B7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BEF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Arial" w:eastAsia="Calibri" w:hAnsi="Arial" w:cs="Arial"/>
              </w:rPr>
            </w:pPr>
          </w:p>
        </w:tc>
      </w:tr>
      <w:tr w:rsidR="002A180D" w:rsidRPr="000F7702" w14:paraId="744275B7" w14:textId="77777777" w:rsidTr="00F11B4A">
        <w:trPr>
          <w:jc w:val="center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F916" w14:textId="77777777" w:rsidR="002A180D" w:rsidRPr="00782672" w:rsidRDefault="002A180D" w:rsidP="00F11B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2" w:right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(-/-) No prior infection and waned vaccination</w:t>
            </w:r>
          </w:p>
        </w:tc>
        <w:tc>
          <w:tcPr>
            <w:tcW w:w="6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8B6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169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89B1" w14:textId="4381100B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13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564</w:t>
            </w:r>
          </w:p>
        </w:tc>
        <w:tc>
          <w:tcPr>
            <w:tcW w:w="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29A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1FFD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1B94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E17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973B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Ref</w:t>
            </w:r>
          </w:p>
        </w:tc>
      </w:tr>
      <w:tr w:rsidR="002A180D" w:rsidRPr="000F7702" w14:paraId="6908A4AE" w14:textId="77777777" w:rsidTr="00F11B4A">
        <w:trPr>
          <w:jc w:val="center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F208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(+/+) Hybrid immunity</w:t>
            </w:r>
          </w:p>
        </w:tc>
        <w:tc>
          <w:tcPr>
            <w:tcW w:w="6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DCD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3BCF" w14:textId="5025AE44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23</w:t>
            </w:r>
            <w:r w:rsidR="003247A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2DA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DF2C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51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83F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30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–0.87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3A3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51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9B75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30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–0.87</w:t>
            </w:r>
          </w:p>
        </w:tc>
      </w:tr>
      <w:tr w:rsidR="002A180D" w:rsidRPr="000F7702" w14:paraId="75BD7334" w14:textId="77777777" w:rsidTr="00F11B4A">
        <w:trPr>
          <w:jc w:val="center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8480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(+/-) Infection-induced immunity</w:t>
            </w:r>
          </w:p>
        </w:tc>
        <w:tc>
          <w:tcPr>
            <w:tcW w:w="6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DB71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46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800D" w14:textId="704CB78D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3247A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545</w:t>
            </w:r>
          </w:p>
        </w:tc>
        <w:tc>
          <w:tcPr>
            <w:tcW w:w="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524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782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69A0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49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–2.55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09D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1.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B04F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0.49–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2.53</w:t>
            </w:r>
          </w:p>
        </w:tc>
      </w:tr>
      <w:tr w:rsidR="002A180D" w:rsidRPr="000F7702" w14:paraId="5227D983" w14:textId="77777777" w:rsidTr="00F11B4A">
        <w:trPr>
          <w:jc w:val="center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8E0B" w14:textId="77777777" w:rsidR="002A180D" w:rsidRPr="00782672" w:rsidRDefault="002A180D" w:rsidP="007826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 w:hanging="100"/>
              <w:rPr>
                <w:rFonts w:ascii="Arial" w:eastAsia="Calibri" w:hAnsi="Arial" w:cs="Arial"/>
                <w:bCs/>
              </w:rPr>
            </w:pPr>
            <w:r w:rsidRPr="0078267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(-/+) Vaccination-induced immunity</w:t>
            </w:r>
          </w:p>
        </w:tc>
        <w:tc>
          <w:tcPr>
            <w:tcW w:w="6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3B73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917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8391" w14:textId="5EE27D60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92</w:t>
            </w:r>
            <w:r w:rsidR="003247A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006</w:t>
            </w:r>
          </w:p>
        </w:tc>
        <w:tc>
          <w:tcPr>
            <w:tcW w:w="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34E2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143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887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54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DFD9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0.38–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0.76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5E86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sz w:val="16"/>
                <w:szCs w:val="16"/>
              </w:rPr>
              <w:t>0.53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1A97" w14:textId="77777777" w:rsidR="002A180D" w:rsidRPr="000F7702" w:rsidRDefault="002A180D" w:rsidP="009308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right"/>
              <w:rPr>
                <w:rFonts w:ascii="Arial" w:eastAsia="Calibri" w:hAnsi="Arial" w:cs="Arial"/>
              </w:rPr>
            </w:pP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0.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37</w:t>
            </w:r>
            <w:r w:rsidRPr="000F7702">
              <w:rPr>
                <w:rFonts w:ascii="Arial" w:eastAsia="Calibri" w:hAnsi="Arial" w:cs="Arial"/>
                <w:color w:val="000000"/>
                <w:sz w:val="16"/>
                <w:szCs w:val="16"/>
              </w:rPr>
              <w:t>–</w:t>
            </w:r>
            <w:r w:rsidRPr="000F7702">
              <w:rPr>
                <w:rFonts w:ascii="Arial" w:eastAsia="Calibri" w:hAnsi="Arial" w:cs="Arial"/>
                <w:sz w:val="16"/>
                <w:szCs w:val="16"/>
              </w:rPr>
              <w:t>0.74</w:t>
            </w:r>
          </w:p>
        </w:tc>
      </w:tr>
    </w:tbl>
    <w:p w14:paraId="5487A5E7" w14:textId="5D04A9FE" w:rsidR="00F11B4A" w:rsidRPr="00F11B4A" w:rsidRDefault="00F11B4A" w:rsidP="00F11B4A">
      <w:pPr>
        <w:rPr>
          <w:rFonts w:ascii="Arial" w:eastAsia="Calibri" w:hAnsi="Arial" w:cs="Arial"/>
          <w:sz w:val="18"/>
          <w:szCs w:val="18"/>
        </w:rPr>
      </w:pPr>
      <w:r w:rsidRPr="00F11B4A">
        <w:rPr>
          <w:rFonts w:ascii="Arial" w:eastAsia="Calibri" w:hAnsi="Arial" w:cs="Arial"/>
          <w:sz w:val="18"/>
          <w:szCs w:val="18"/>
        </w:rPr>
        <w:t>aHR: adjusted Hazard Ratios, CI: Confidence Interval</w:t>
      </w:r>
      <w:r>
        <w:rPr>
          <w:rFonts w:ascii="Arial" w:eastAsia="Calibri" w:hAnsi="Arial" w:cs="Arial"/>
          <w:sz w:val="18"/>
          <w:szCs w:val="18"/>
        </w:rPr>
        <w:t xml:space="preserve">, </w:t>
      </w:r>
      <w:r w:rsidRPr="00F11B4A">
        <w:rPr>
          <w:rFonts w:ascii="Arial" w:eastAsia="Calibri" w:hAnsi="Arial" w:cs="Arial"/>
          <w:sz w:val="18"/>
          <w:szCs w:val="18"/>
        </w:rPr>
        <w:t>HCWs: Healthcare workers</w:t>
      </w:r>
      <w:r>
        <w:rPr>
          <w:rFonts w:ascii="Arial" w:eastAsia="Calibri" w:hAnsi="Arial" w:cs="Arial"/>
          <w:sz w:val="18"/>
          <w:szCs w:val="18"/>
        </w:rPr>
        <w:t xml:space="preserve">, </w:t>
      </w:r>
      <w:r w:rsidRPr="00F11B4A">
        <w:rPr>
          <w:rFonts w:ascii="Arial" w:eastAsia="Calibri" w:hAnsi="Arial" w:cs="Arial"/>
          <w:sz w:val="18"/>
          <w:szCs w:val="18"/>
        </w:rPr>
        <w:t>HR: hazard ratios</w:t>
      </w:r>
      <w:r>
        <w:rPr>
          <w:rFonts w:ascii="Arial" w:eastAsia="Calibri" w:hAnsi="Arial" w:cs="Arial"/>
          <w:sz w:val="18"/>
          <w:szCs w:val="18"/>
        </w:rPr>
        <w:t>,</w:t>
      </w:r>
      <w:r w:rsidRPr="00F11B4A">
        <w:rPr>
          <w:rFonts w:ascii="Arial" w:eastAsia="Calibri" w:hAnsi="Arial" w:cs="Arial"/>
          <w:sz w:val="18"/>
          <w:szCs w:val="18"/>
        </w:rPr>
        <w:t xml:space="preserve"> PCR: polymerase chain reaction,</w:t>
      </w:r>
      <w:r>
        <w:rPr>
          <w:rFonts w:ascii="Arial" w:eastAsia="Calibri" w:hAnsi="Arial" w:cs="Arial"/>
          <w:sz w:val="18"/>
          <w:szCs w:val="18"/>
        </w:rPr>
        <w:t xml:space="preserve"> Ref: reference group, </w:t>
      </w:r>
      <w:bookmarkStart w:id="2" w:name="_Hlk204599913"/>
      <w:r w:rsidR="0004691C" w:rsidRPr="006E446B">
        <w:rPr>
          <w:rFonts w:ascii="Arial" w:eastAsia="Calibri" w:hAnsi="Arial" w:cs="Arial"/>
          <w:sz w:val="18"/>
          <w:szCs w:val="18"/>
        </w:rPr>
        <w:t xml:space="preserve">SARS-CoV-2: </w:t>
      </w:r>
      <w:r w:rsidR="0004691C">
        <w:rPr>
          <w:rFonts w:ascii="Arial" w:eastAsia="Calibri" w:hAnsi="Arial" w:cs="Arial"/>
          <w:sz w:val="18"/>
          <w:szCs w:val="18"/>
        </w:rPr>
        <w:t>S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evere </w:t>
      </w:r>
      <w:r w:rsidR="0004691C">
        <w:rPr>
          <w:rFonts w:ascii="Arial" w:eastAsia="Calibri" w:hAnsi="Arial" w:cs="Arial"/>
          <w:sz w:val="18"/>
          <w:szCs w:val="18"/>
        </w:rPr>
        <w:t>A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cute </w:t>
      </w:r>
      <w:r w:rsidR="0004691C">
        <w:rPr>
          <w:rFonts w:ascii="Arial" w:eastAsia="Calibri" w:hAnsi="Arial" w:cs="Arial"/>
          <w:sz w:val="18"/>
          <w:szCs w:val="18"/>
        </w:rPr>
        <w:t>R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espiratory </w:t>
      </w:r>
      <w:r w:rsidR="0004691C">
        <w:rPr>
          <w:rFonts w:ascii="Arial" w:eastAsia="Calibri" w:hAnsi="Arial" w:cs="Arial"/>
          <w:sz w:val="18"/>
          <w:szCs w:val="18"/>
        </w:rPr>
        <w:t>S</w:t>
      </w:r>
      <w:r w:rsidR="0004691C" w:rsidRPr="006E446B">
        <w:rPr>
          <w:rFonts w:ascii="Arial" w:eastAsia="Calibri" w:hAnsi="Arial" w:cs="Arial"/>
          <w:sz w:val="18"/>
          <w:szCs w:val="18"/>
        </w:rPr>
        <w:t xml:space="preserve">yndrome </w:t>
      </w:r>
      <w:r w:rsidR="0004691C">
        <w:rPr>
          <w:rFonts w:ascii="Arial" w:eastAsia="Calibri" w:hAnsi="Arial" w:cs="Arial"/>
          <w:sz w:val="18"/>
          <w:szCs w:val="18"/>
        </w:rPr>
        <w:t>C</w:t>
      </w:r>
      <w:r w:rsidR="0004691C" w:rsidRPr="006E446B">
        <w:rPr>
          <w:rFonts w:ascii="Arial" w:eastAsia="Calibri" w:hAnsi="Arial" w:cs="Arial"/>
          <w:sz w:val="18"/>
          <w:szCs w:val="18"/>
        </w:rPr>
        <w:t>oronavirus 2,</w:t>
      </w:r>
      <w:r w:rsidR="0004691C">
        <w:rPr>
          <w:rFonts w:ascii="Arial" w:eastAsia="Calibri" w:hAnsi="Arial" w:cs="Arial"/>
          <w:sz w:val="18"/>
          <w:szCs w:val="18"/>
        </w:rPr>
        <w:t xml:space="preserve"> </w:t>
      </w:r>
      <w:bookmarkEnd w:id="2"/>
      <w:r w:rsidRPr="00F11B4A">
        <w:rPr>
          <w:rFonts w:ascii="Arial" w:eastAsia="Calibri" w:hAnsi="Arial" w:cs="Arial"/>
          <w:sz w:val="18"/>
          <w:szCs w:val="18"/>
        </w:rPr>
        <w:t>VEBIS: Vaccine Effectiveness Burden and Impact Studies</w:t>
      </w:r>
    </w:p>
    <w:p w14:paraId="5CC8DD5A" w14:textId="77777777" w:rsidR="002856E6" w:rsidRDefault="002856E6" w:rsidP="0078267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b/>
          <w:iCs/>
          <w:color w:val="000000"/>
          <w:sz w:val="22"/>
          <w:szCs w:val="22"/>
        </w:rPr>
      </w:pPr>
    </w:p>
    <w:p w14:paraId="68E81DB2" w14:textId="77777777" w:rsidR="002856E6" w:rsidRDefault="00782672" w:rsidP="002A18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b/>
          <w:iCs/>
          <w:sz w:val="22"/>
          <w:szCs w:val="22"/>
        </w:rPr>
      </w:pPr>
      <w:r w:rsidRPr="00F11B4A">
        <w:rPr>
          <w:rFonts w:ascii="Arial" w:eastAsia="Calibri" w:hAnsi="Arial" w:cs="Arial"/>
          <w:b/>
          <w:iCs/>
          <w:color w:val="000000"/>
          <w:sz w:val="22"/>
          <w:szCs w:val="22"/>
        </w:rPr>
        <w:t>Figure S1: Participation of the hospitals by calendar month follow-up period</w:t>
      </w:r>
      <w:r w:rsidR="002856E6">
        <w:rPr>
          <w:rFonts w:ascii="Arial" w:eastAsia="Calibri" w:hAnsi="Arial" w:cs="Arial"/>
          <w:b/>
          <w:iCs/>
          <w:color w:val="000000"/>
          <w:sz w:val="22"/>
          <w:szCs w:val="22"/>
        </w:rPr>
        <w:t>,</w:t>
      </w:r>
      <w:r w:rsidRPr="00F11B4A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</w:t>
      </w:r>
      <w:r w:rsidR="002856E6" w:rsidRPr="002856E6">
        <w:rPr>
          <w:rFonts w:ascii="Arial" w:eastAsia="Calibri" w:hAnsi="Arial" w:cs="Arial"/>
          <w:b/>
          <w:iCs/>
          <w:sz w:val="22"/>
          <w:szCs w:val="22"/>
        </w:rPr>
        <w:t>multi–centre VEBIS HCW COVID-19 vaccine effectiveness study, 16 Dec 202</w:t>
      </w:r>
      <w:r w:rsidR="002856E6">
        <w:rPr>
          <w:rFonts w:ascii="Arial" w:eastAsia="Calibri" w:hAnsi="Arial" w:cs="Arial"/>
          <w:b/>
          <w:iCs/>
          <w:sz w:val="22"/>
          <w:szCs w:val="22"/>
        </w:rPr>
        <w:t>1</w:t>
      </w:r>
      <w:r w:rsidR="002856E6" w:rsidRPr="002856E6">
        <w:rPr>
          <w:rFonts w:ascii="Arial" w:eastAsia="Calibri" w:hAnsi="Arial" w:cs="Arial"/>
          <w:b/>
          <w:iCs/>
          <w:sz w:val="22"/>
          <w:szCs w:val="22"/>
        </w:rPr>
        <w:t>–21 May 2024</w:t>
      </w:r>
    </w:p>
    <w:p w14:paraId="1D50EAA0" w14:textId="4A7AED22" w:rsidR="002A180D" w:rsidRDefault="002A180D" w:rsidP="002A18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b/>
          <w:i/>
          <w:color w:val="000000"/>
        </w:rPr>
      </w:pPr>
      <w:r w:rsidRPr="000F7702">
        <w:rPr>
          <w:rFonts w:ascii="Arial" w:hAnsi="Arial" w:cs="Arial"/>
          <w:noProof/>
        </w:rPr>
        <w:drawing>
          <wp:inline distT="0" distB="0" distL="0" distR="0" wp14:anchorId="349499C5" wp14:editId="43DBE3FF">
            <wp:extent cx="5943600" cy="2644775"/>
            <wp:effectExtent l="0" t="0" r="0" b="0"/>
            <wp:docPr id="17678480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BA039A" w14:textId="1E15F4D9" w:rsidR="00774E1D" w:rsidRDefault="002856E6" w:rsidP="002A18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sz w:val="18"/>
          <w:szCs w:val="18"/>
        </w:rPr>
      </w:pPr>
      <w:bookmarkStart w:id="3" w:name="_Hlk204599578"/>
      <w:r w:rsidRPr="00774E1D">
        <w:rPr>
          <w:rFonts w:ascii="Arial" w:eastAsia="Calibri" w:hAnsi="Arial" w:cs="Arial"/>
          <w:sz w:val="18"/>
          <w:szCs w:val="18"/>
        </w:rPr>
        <w:t>Green indicates periods of active follow-up in participating hospitals; light grey represents periods without follow-up.</w:t>
      </w:r>
      <w:bookmarkEnd w:id="3"/>
      <w:r>
        <w:rPr>
          <w:rFonts w:ascii="Arial" w:eastAsia="Calibri" w:hAnsi="Arial" w:cs="Arial"/>
          <w:sz w:val="18"/>
          <w:szCs w:val="18"/>
        </w:rPr>
        <w:t xml:space="preserve"> </w:t>
      </w:r>
      <w:bookmarkStart w:id="4" w:name="_Hlk204599895"/>
      <w:r w:rsidR="00F11B4A" w:rsidRPr="00F11B4A">
        <w:rPr>
          <w:rFonts w:ascii="Arial" w:eastAsia="Calibri" w:hAnsi="Arial" w:cs="Arial"/>
          <w:sz w:val="18"/>
          <w:szCs w:val="18"/>
        </w:rPr>
        <w:t>HCW: Healthcare workers</w:t>
      </w:r>
      <w:r w:rsidR="00F11B4A">
        <w:rPr>
          <w:rFonts w:ascii="Arial" w:eastAsia="Calibri" w:hAnsi="Arial" w:cs="Arial"/>
          <w:sz w:val="18"/>
          <w:szCs w:val="18"/>
        </w:rPr>
        <w:t xml:space="preserve">, </w:t>
      </w:r>
      <w:r w:rsidR="00F11B4A" w:rsidRPr="00F11B4A">
        <w:rPr>
          <w:rFonts w:ascii="Arial" w:eastAsia="Calibri" w:hAnsi="Arial" w:cs="Arial"/>
          <w:sz w:val="18"/>
          <w:szCs w:val="18"/>
        </w:rPr>
        <w:t>VEBIS: Vaccine Effectiveness Burden and Impact Studies</w:t>
      </w:r>
      <w:r w:rsidR="00774E1D">
        <w:rPr>
          <w:rFonts w:ascii="Arial" w:eastAsia="Calibri" w:hAnsi="Arial" w:cs="Arial"/>
          <w:sz w:val="18"/>
          <w:szCs w:val="18"/>
        </w:rPr>
        <w:t>.</w:t>
      </w:r>
      <w:bookmarkEnd w:id="4"/>
      <w:r w:rsidR="00774E1D">
        <w:rPr>
          <w:rFonts w:ascii="Arial" w:eastAsia="Calibri" w:hAnsi="Arial" w:cs="Arial"/>
          <w:sz w:val="18"/>
          <w:szCs w:val="18"/>
        </w:rPr>
        <w:t xml:space="preserve"> </w:t>
      </w:r>
    </w:p>
    <w:p w14:paraId="3A3F6ED7" w14:textId="77777777" w:rsidR="00774E1D" w:rsidRDefault="00774E1D" w:rsidP="002A18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sz w:val="18"/>
          <w:szCs w:val="18"/>
        </w:rPr>
      </w:pPr>
    </w:p>
    <w:p w14:paraId="4087F0A5" w14:textId="5F5AF014" w:rsidR="001D1160" w:rsidRPr="002856E6" w:rsidRDefault="001D1160" w:rsidP="001D1160">
      <w:pPr>
        <w:spacing w:before="240" w:after="240"/>
        <w:rPr>
          <w:rFonts w:ascii="Arial" w:eastAsia="Calibri" w:hAnsi="Arial" w:cs="Arial"/>
          <w:b/>
          <w:iCs/>
          <w:sz w:val="22"/>
          <w:szCs w:val="22"/>
        </w:rPr>
      </w:pPr>
      <w:r w:rsidRPr="002856E6">
        <w:rPr>
          <w:rFonts w:ascii="Arial" w:eastAsia="Calibri" w:hAnsi="Arial" w:cs="Arial"/>
          <w:b/>
          <w:iCs/>
          <w:sz w:val="22"/>
          <w:szCs w:val="22"/>
        </w:rPr>
        <w:t>Figure S</w:t>
      </w:r>
      <w:r>
        <w:rPr>
          <w:rFonts w:ascii="Arial" w:eastAsia="Calibri" w:hAnsi="Arial" w:cs="Arial"/>
          <w:b/>
          <w:iCs/>
          <w:sz w:val="22"/>
          <w:szCs w:val="22"/>
        </w:rPr>
        <w:t>2</w:t>
      </w:r>
      <w:r w:rsidRPr="002856E6">
        <w:rPr>
          <w:rFonts w:ascii="Arial" w:eastAsia="Calibri" w:hAnsi="Arial" w:cs="Arial"/>
          <w:b/>
          <w:iCs/>
          <w:sz w:val="22"/>
          <w:szCs w:val="22"/>
        </w:rPr>
        <w:t>: Data inclusion flow chart</w:t>
      </w:r>
      <w:r>
        <w:rPr>
          <w:rFonts w:ascii="Arial" w:eastAsia="Calibri" w:hAnsi="Arial" w:cs="Arial"/>
          <w:b/>
          <w:iCs/>
          <w:sz w:val="22"/>
          <w:szCs w:val="22"/>
        </w:rPr>
        <w:t xml:space="preserve"> for analysis pandemic </w:t>
      </w:r>
      <w:r w:rsidR="003247A6">
        <w:rPr>
          <w:rFonts w:ascii="Arial" w:eastAsia="Calibri" w:hAnsi="Arial" w:cs="Arial"/>
          <w:b/>
          <w:iCs/>
          <w:sz w:val="22"/>
          <w:szCs w:val="22"/>
        </w:rPr>
        <w:t xml:space="preserve">Omicron </w:t>
      </w:r>
      <w:r>
        <w:rPr>
          <w:rFonts w:ascii="Arial" w:eastAsia="Calibri" w:hAnsi="Arial" w:cs="Arial"/>
          <w:b/>
          <w:iCs/>
          <w:sz w:val="22"/>
          <w:szCs w:val="22"/>
        </w:rPr>
        <w:t xml:space="preserve">period and post-pandemic </w:t>
      </w:r>
      <w:r w:rsidR="003247A6">
        <w:rPr>
          <w:rFonts w:ascii="Arial" w:eastAsia="Calibri" w:hAnsi="Arial" w:cs="Arial"/>
          <w:b/>
          <w:iCs/>
          <w:sz w:val="22"/>
          <w:szCs w:val="22"/>
        </w:rPr>
        <w:t xml:space="preserve">Omicron </w:t>
      </w:r>
      <w:r>
        <w:rPr>
          <w:rFonts w:ascii="Arial" w:eastAsia="Calibri" w:hAnsi="Arial" w:cs="Arial"/>
          <w:b/>
          <w:iCs/>
          <w:sz w:val="22"/>
          <w:szCs w:val="22"/>
        </w:rPr>
        <w:t>period</w:t>
      </w:r>
      <w:r w:rsidRPr="002856E6">
        <w:rPr>
          <w:rFonts w:ascii="Arial" w:eastAsia="Calibri" w:hAnsi="Arial" w:cs="Arial"/>
          <w:b/>
          <w:iCs/>
          <w:sz w:val="22"/>
          <w:szCs w:val="22"/>
        </w:rPr>
        <w:t>, multi–centre VEBIS HCW COVID-19 vaccine effectiveness study, 16 Dec 202</w:t>
      </w:r>
      <w:r>
        <w:rPr>
          <w:rFonts w:ascii="Arial" w:eastAsia="Calibri" w:hAnsi="Arial" w:cs="Arial"/>
          <w:b/>
          <w:iCs/>
          <w:sz w:val="22"/>
          <w:szCs w:val="22"/>
        </w:rPr>
        <w:t>1</w:t>
      </w:r>
      <w:r w:rsidRPr="002856E6">
        <w:rPr>
          <w:rFonts w:ascii="Arial" w:eastAsia="Calibri" w:hAnsi="Arial" w:cs="Arial"/>
          <w:b/>
          <w:iCs/>
          <w:sz w:val="22"/>
          <w:szCs w:val="22"/>
        </w:rPr>
        <w:t>–21 May 2024</w:t>
      </w:r>
    </w:p>
    <w:p w14:paraId="1F69C58B" w14:textId="17E04269" w:rsidR="001D1160" w:rsidRPr="00412649" w:rsidRDefault="00412649" w:rsidP="00412649">
      <w:pPr>
        <w:spacing w:before="240" w:after="240"/>
        <w:rPr>
          <w:rFonts w:ascii="Arial" w:eastAsia="Calibri" w:hAnsi="Arial" w:cs="Arial"/>
          <w:i/>
          <w:sz w:val="22"/>
          <w:szCs w:val="22"/>
        </w:rPr>
      </w:pPr>
      <w:r w:rsidRPr="00412649">
        <w:rPr>
          <w:rFonts w:ascii="Arial" w:eastAsia="Calibri" w:hAnsi="Arial" w:cs="Arial"/>
          <w:i/>
          <w:sz w:val="22"/>
          <w:szCs w:val="22"/>
        </w:rPr>
        <w:lastRenderedPageBreak/>
        <w:drawing>
          <wp:inline distT="0" distB="0" distL="0" distR="0" wp14:anchorId="2B764F79" wp14:editId="13D794DF">
            <wp:extent cx="5731510" cy="3094990"/>
            <wp:effectExtent l="0" t="0" r="2540" b="0"/>
            <wp:docPr id="216388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heading=h.26in1rg" w:colFirst="0" w:colLast="0"/>
      <w:bookmarkEnd w:id="5"/>
      <w:r w:rsidR="001D1160" w:rsidRPr="002856E6">
        <w:rPr>
          <w:rFonts w:ascii="Arial" w:eastAsia="Calibri" w:hAnsi="Arial" w:cs="Arial"/>
          <w:iCs/>
          <w:color w:val="000000"/>
          <w:sz w:val="18"/>
          <w:szCs w:val="18"/>
        </w:rPr>
        <w:t>As HCWs can be enrolled in one or more Omicron sub-lineage predominant circulation periods, numbers may not directly add up</w:t>
      </w:r>
      <w:r w:rsidR="001D1160">
        <w:rPr>
          <w:rFonts w:ascii="Arial" w:eastAsia="Calibri" w:hAnsi="Arial" w:cs="Arial"/>
          <w:iCs/>
          <w:color w:val="000000"/>
          <w:sz w:val="18"/>
          <w:szCs w:val="18"/>
        </w:rPr>
        <w:t xml:space="preserve">. </w:t>
      </w:r>
      <w:r w:rsidR="001D1160" w:rsidRPr="00F11B4A">
        <w:rPr>
          <w:rFonts w:ascii="Arial" w:eastAsia="Calibri" w:hAnsi="Arial" w:cs="Arial"/>
          <w:sz w:val="18"/>
          <w:szCs w:val="18"/>
        </w:rPr>
        <w:t>HCW: Healthcare workers</w:t>
      </w:r>
      <w:r w:rsidR="001D1160">
        <w:rPr>
          <w:rFonts w:ascii="Arial" w:eastAsia="Calibri" w:hAnsi="Arial" w:cs="Arial"/>
          <w:sz w:val="18"/>
          <w:szCs w:val="18"/>
        </w:rPr>
        <w:t xml:space="preserve">, </w:t>
      </w:r>
      <w:r w:rsidR="001D1160" w:rsidRPr="00F11B4A">
        <w:rPr>
          <w:rFonts w:ascii="Arial" w:eastAsia="Calibri" w:hAnsi="Arial" w:cs="Arial"/>
          <w:sz w:val="18"/>
          <w:szCs w:val="18"/>
        </w:rPr>
        <w:t>VEBIS: Vaccine Effectiveness Burden and Impact Studies</w:t>
      </w:r>
      <w:r w:rsidR="001D1160">
        <w:rPr>
          <w:rFonts w:ascii="Arial" w:eastAsia="Calibri" w:hAnsi="Arial" w:cs="Arial"/>
          <w:sz w:val="18"/>
          <w:szCs w:val="18"/>
        </w:rPr>
        <w:t>.</w:t>
      </w:r>
    </w:p>
    <w:p w14:paraId="7F5D943D" w14:textId="377E9216" w:rsidR="00774E1D" w:rsidRPr="00774E1D" w:rsidRDefault="00774E1D" w:rsidP="00774E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iCs/>
          <w:color w:val="000000"/>
          <w:sz w:val="22"/>
          <w:szCs w:val="22"/>
        </w:rPr>
      </w:pPr>
      <w:r w:rsidRPr="00774E1D">
        <w:rPr>
          <w:rFonts w:ascii="Arial" w:eastAsia="Calibri" w:hAnsi="Arial" w:cs="Arial"/>
          <w:b/>
          <w:iCs/>
          <w:color w:val="000000"/>
          <w:sz w:val="22"/>
          <w:szCs w:val="22"/>
        </w:rPr>
        <w:t>Figure S</w:t>
      </w:r>
      <w:r w:rsidR="001D1160">
        <w:rPr>
          <w:rFonts w:ascii="Arial" w:eastAsia="Calibri" w:hAnsi="Arial" w:cs="Arial"/>
          <w:b/>
          <w:iCs/>
          <w:color w:val="000000"/>
          <w:sz w:val="22"/>
          <w:szCs w:val="22"/>
        </w:rPr>
        <w:t>3</w:t>
      </w:r>
      <w:r w:rsidRPr="00774E1D">
        <w:rPr>
          <w:rFonts w:ascii="Arial" w:eastAsia="Calibri" w:hAnsi="Arial" w:cs="Arial"/>
          <w:b/>
          <w:iCs/>
          <w:color w:val="000000"/>
          <w:sz w:val="22"/>
          <w:szCs w:val="22"/>
        </w:rPr>
        <w:t>:</w:t>
      </w:r>
      <w:r w:rsidRPr="00774E1D">
        <w:rPr>
          <w:rFonts w:ascii="Arial" w:eastAsia="Calibri" w:hAnsi="Arial" w:cs="Arial"/>
          <w:iCs/>
          <w:color w:val="000000"/>
          <w:sz w:val="22"/>
          <w:szCs w:val="22"/>
        </w:rPr>
        <w:t xml:space="preserve"> Proportions of SARS-CoV-2 Omicron sub-lineage in sequenced samples over time and by country in the multi-centre VEBIS HCW vaccine effectiveness study: Analysis of ERVIS data, Dec 2021-May 2024</w:t>
      </w:r>
    </w:p>
    <w:p w14:paraId="400AF4C9" w14:textId="77777777" w:rsidR="00774E1D" w:rsidRPr="00F11B4A" w:rsidRDefault="00774E1D" w:rsidP="002A180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sz w:val="18"/>
          <w:szCs w:val="18"/>
        </w:rPr>
      </w:pPr>
    </w:p>
    <w:p w14:paraId="4190CB8E" w14:textId="77777777" w:rsidR="002A180D" w:rsidRPr="000F7702" w:rsidRDefault="002A180D" w:rsidP="002A180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F7702"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5C687C6" wp14:editId="0C53A47A">
            <wp:extent cx="5686260" cy="6402013"/>
            <wp:effectExtent l="0" t="0" r="0" b="0"/>
            <wp:docPr id="1767848039" name="image4.png" descr="Figure SM2: Proportions of SARS-CoV-2 Omicron sub-lineage in sequenced samples over time and by country in the multi-centre VEBIS HCW VE study: Analysis of European Respiratory Virus Surveillance Summary (ERVIS) data, Dec 2021-May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Figure SM2: Proportions of SARS-CoV-2 Omicron sub-lineage in sequenced samples over time and by country in the multi-centre VEBIS HCW VE study: Analysis of European Respiratory Virus Surveillance Summary (ERVIS) data, Dec 2021-May 202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260" cy="6402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A4E705" w14:textId="162B19C6" w:rsidR="0084091D" w:rsidRPr="00774E1D" w:rsidRDefault="00774E1D" w:rsidP="00774E1D">
      <w:pPr>
        <w:rPr>
          <w:rFonts w:ascii="Arial" w:eastAsia="Calibri" w:hAnsi="Arial" w:cs="Arial"/>
          <w:sz w:val="18"/>
          <w:szCs w:val="18"/>
        </w:rPr>
      </w:pPr>
      <w:r w:rsidRPr="00774E1D">
        <w:rPr>
          <w:rFonts w:ascii="Arial" w:eastAsia="Calibri" w:hAnsi="Arial" w:cs="Arial"/>
          <w:sz w:val="18"/>
          <w:szCs w:val="18"/>
        </w:rPr>
        <w:t>ERVISS: European Respiratory Virus Surveillance Summary, HCW: Healthcare workers, VEBIS: Vaccine Effectiveness Burden and Impact Studies</w:t>
      </w:r>
    </w:p>
    <w:sectPr w:rsidR="0084091D" w:rsidRPr="007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0D"/>
    <w:rsid w:val="0004691C"/>
    <w:rsid w:val="000C3287"/>
    <w:rsid w:val="001D1160"/>
    <w:rsid w:val="002856E6"/>
    <w:rsid w:val="002A180D"/>
    <w:rsid w:val="003247A6"/>
    <w:rsid w:val="003271C0"/>
    <w:rsid w:val="00412649"/>
    <w:rsid w:val="00463236"/>
    <w:rsid w:val="005A5854"/>
    <w:rsid w:val="00774E1D"/>
    <w:rsid w:val="00782672"/>
    <w:rsid w:val="0084091D"/>
    <w:rsid w:val="00C74EB3"/>
    <w:rsid w:val="00D83522"/>
    <w:rsid w:val="00E328EE"/>
    <w:rsid w:val="00F11B4A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3F8B"/>
  <w15:chartTrackingRefBased/>
  <w15:docId w15:val="{A8FD22A3-EF84-42F4-8168-FD88D95A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80D"/>
    <w:pPr>
      <w:spacing w:after="200" w:line="240" w:lineRule="auto"/>
    </w:pPr>
    <w:rPr>
      <w:rFonts w:ascii="Cambria" w:eastAsia="Cambria" w:hAnsi="Cambria" w:cs="Cambria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8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8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0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0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0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0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D5BC6"/>
    <w:pPr>
      <w:spacing w:after="0" w:line="240" w:lineRule="auto"/>
      <w:jc w:val="right"/>
    </w:pPr>
    <w:rPr>
      <w:rFonts w:ascii="Times New Roman" w:hAnsi="Times New Roman"/>
      <w:sz w:val="16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2A1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1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Rojas</dc:creator>
  <cp:keywords/>
  <dc:description/>
  <cp:lastModifiedBy>Madelyn Rojas</cp:lastModifiedBy>
  <cp:revision>5</cp:revision>
  <dcterms:created xsi:type="dcterms:W3CDTF">2025-07-28T08:46:00Z</dcterms:created>
  <dcterms:modified xsi:type="dcterms:W3CDTF">2025-07-28T11:28:00Z</dcterms:modified>
</cp:coreProperties>
</file>