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9E6C63">
      <w:pPr>
        <w:pStyle w:val="8"/>
        <w:rPr>
          <w:rFonts w:hint="eastAsia" w:eastAsia="宋体"/>
          <w:i w:val="0"/>
          <w:iCs/>
          <w:sz w:val="24"/>
          <w:szCs w:val="24"/>
          <w:lang w:val="en-US" w:eastAsia="zh-CN"/>
        </w:rPr>
      </w:pPr>
      <w:r>
        <w:rPr>
          <w:rFonts w:hint="eastAsia" w:eastAsia="宋体"/>
          <w:i w:val="0"/>
          <w:iCs/>
          <w:sz w:val="24"/>
          <w:szCs w:val="24"/>
          <w:lang w:val="en-US" w:eastAsia="zh-CN"/>
        </w:rPr>
        <w:t>SUPPLEMENTARY MATERIAL</w:t>
      </w:r>
    </w:p>
    <w:p w14:paraId="7EC235FE">
      <w:pPr>
        <w:pStyle w:val="4"/>
        <w:rPr>
          <w:rFonts w:hint="default"/>
          <w:lang w:val="en-US" w:eastAsia="zh-CN"/>
        </w:rPr>
      </w:pPr>
      <w:r>
        <w:rPr>
          <w:rFonts w:hint="default"/>
          <w:lang w:val="en-US" w:eastAsia="zh-CN"/>
        </w:rPr>
        <w:drawing>
          <wp:inline distT="0" distB="0" distL="114300" distR="114300">
            <wp:extent cx="5264150" cy="2717800"/>
            <wp:effectExtent l="0" t="0" r="6350" b="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6"/>
                    <a:stretch>
                      <a:fillRect/>
                    </a:stretch>
                  </pic:blipFill>
                  <pic:spPr>
                    <a:xfrm>
                      <a:off x="0" y="0"/>
                      <a:ext cx="5264150" cy="2717800"/>
                    </a:xfrm>
                    <a:prstGeom prst="rect">
                      <a:avLst/>
                    </a:prstGeom>
                  </pic:spPr>
                </pic:pic>
              </a:graphicData>
            </a:graphic>
          </wp:inline>
        </w:drawing>
      </w:r>
    </w:p>
    <w:p w14:paraId="035F2272">
      <w:pPr>
        <w:jc w:val="center"/>
        <w:rPr>
          <w:rFonts w:hint="default"/>
          <w:sz w:val="21"/>
          <w:szCs w:val="21"/>
          <w:lang w:val="en-US" w:eastAsia="zh-CN"/>
        </w:rPr>
      </w:pPr>
      <w:r>
        <w:rPr>
          <w:rFonts w:cs="Times New Roman"/>
          <w:b/>
          <w:sz w:val="21"/>
          <w:szCs w:val="21"/>
        </w:rPr>
        <w:t xml:space="preserve">Supplementary Figure </w:t>
      </w:r>
      <w:r>
        <w:rPr>
          <w:rFonts w:cs="Times New Roman"/>
          <w:b/>
          <w:sz w:val="21"/>
          <w:szCs w:val="21"/>
        </w:rPr>
        <w:fldChar w:fldCharType="begin"/>
      </w:r>
      <w:r>
        <w:rPr>
          <w:rFonts w:cs="Times New Roman"/>
          <w:b/>
          <w:sz w:val="21"/>
          <w:szCs w:val="21"/>
        </w:rPr>
        <w:instrText xml:space="preserve"> SEQ Figure \* ARABIC </w:instrText>
      </w:r>
      <w:r>
        <w:rPr>
          <w:rFonts w:cs="Times New Roman"/>
          <w:b/>
          <w:sz w:val="21"/>
          <w:szCs w:val="21"/>
        </w:rPr>
        <w:fldChar w:fldCharType="separate"/>
      </w:r>
      <w:r>
        <w:rPr>
          <w:rFonts w:cs="Times New Roman"/>
          <w:b/>
          <w:sz w:val="21"/>
          <w:szCs w:val="21"/>
        </w:rPr>
        <w:t>1</w:t>
      </w:r>
      <w:r>
        <w:rPr>
          <w:rFonts w:cs="Times New Roman"/>
          <w:b/>
          <w:sz w:val="21"/>
          <w:szCs w:val="21"/>
        </w:rPr>
        <w:fldChar w:fldCharType="end"/>
      </w:r>
      <w:r>
        <w:rPr>
          <w:rFonts w:cs="Times New Roman"/>
          <w:b/>
          <w:sz w:val="21"/>
          <w:szCs w:val="21"/>
        </w:rPr>
        <w:t>.</w:t>
      </w:r>
      <w:r>
        <w:rPr>
          <w:rFonts w:cs="Times New Roman"/>
          <w:sz w:val="21"/>
          <w:szCs w:val="21"/>
        </w:rPr>
        <w:t xml:space="preserve"> </w:t>
      </w:r>
      <w:r>
        <w:rPr>
          <w:rFonts w:hint="eastAsia" w:ascii="Times New Roman" w:hAnsi="Times New Roman" w:cs="Times New Roman"/>
          <w:b w:val="0"/>
          <w:bCs/>
          <w:color w:val="000000"/>
          <w:sz w:val="21"/>
          <w:szCs w:val="21"/>
        </w:rPr>
        <w:t>The flow chart of this study.</w:t>
      </w:r>
    </w:p>
    <w:p w14:paraId="2B9E8B9E">
      <w:pPr>
        <w:rPr>
          <w:rFonts w:hint="default"/>
          <w:lang w:val="en-US" w:eastAsia="zh-CN"/>
        </w:rPr>
      </w:pPr>
      <w:r>
        <w:rPr>
          <w:rFonts w:hint="default"/>
          <w:lang w:val="en-US" w:eastAsia="zh-CN"/>
        </w:rPr>
        <w:drawing>
          <wp:inline distT="0" distB="0" distL="114300" distR="114300">
            <wp:extent cx="5263515" cy="6501765"/>
            <wp:effectExtent l="0" t="0" r="6985" b="635"/>
            <wp:docPr id="3" name="图片 3"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2"/>
                    <pic:cNvPicPr>
                      <a:picLocks noChangeAspect="1"/>
                    </pic:cNvPicPr>
                  </pic:nvPicPr>
                  <pic:blipFill>
                    <a:blip r:embed="rId7"/>
                    <a:stretch>
                      <a:fillRect/>
                    </a:stretch>
                  </pic:blipFill>
                  <pic:spPr>
                    <a:xfrm>
                      <a:off x="0" y="0"/>
                      <a:ext cx="5263515" cy="6501765"/>
                    </a:xfrm>
                    <a:prstGeom prst="rect">
                      <a:avLst/>
                    </a:prstGeom>
                  </pic:spPr>
                </pic:pic>
              </a:graphicData>
            </a:graphic>
          </wp:inline>
        </w:drawing>
      </w:r>
    </w:p>
    <w:p w14:paraId="50695B49">
      <w:pPr>
        <w:spacing w:line="360" w:lineRule="auto"/>
        <w:jc w:val="both"/>
        <w:rPr>
          <w:rFonts w:hint="eastAsia" w:eastAsia="宋体" w:cs="Times New Roman"/>
          <w:color w:val="000000"/>
          <w:sz w:val="21"/>
          <w:szCs w:val="21"/>
          <w:lang w:val="en-US" w:eastAsia="zh-CN"/>
        </w:rPr>
      </w:pPr>
      <w:r>
        <w:rPr>
          <w:rFonts w:cs="Times New Roman"/>
          <w:b/>
          <w:sz w:val="21"/>
          <w:szCs w:val="21"/>
        </w:rPr>
        <w:t xml:space="preserve">Supplementary Figure </w:t>
      </w:r>
      <w:r>
        <w:rPr>
          <w:rFonts w:hint="eastAsia" w:eastAsia="宋体" w:cs="Times New Roman"/>
          <w:b/>
          <w:sz w:val="21"/>
          <w:szCs w:val="21"/>
          <w:lang w:val="en-US" w:eastAsia="zh-CN"/>
        </w:rPr>
        <w:t>2</w:t>
      </w:r>
      <w:r>
        <w:rPr>
          <w:rFonts w:cs="Times New Roman"/>
          <w:b/>
          <w:sz w:val="21"/>
          <w:szCs w:val="21"/>
        </w:rPr>
        <w:t>.</w:t>
      </w:r>
      <w:r>
        <w:rPr>
          <w:rFonts w:cs="Times New Roman"/>
          <w:sz w:val="21"/>
          <w:szCs w:val="21"/>
        </w:rPr>
        <w:t xml:space="preserve"> </w:t>
      </w:r>
      <w:r>
        <w:rPr>
          <w:rFonts w:hint="eastAsia" w:eastAsia="宋体" w:cs="Times New Roman"/>
          <w:b/>
          <w:bCs/>
          <w:sz w:val="21"/>
          <w:szCs w:val="21"/>
          <w:lang w:val="en-US" w:eastAsia="zh-CN"/>
        </w:rPr>
        <w:t xml:space="preserve">Exploring the molecular </w:t>
      </w:r>
      <w:r>
        <w:rPr>
          <w:rFonts w:hint="eastAsia" w:eastAsia="宋体"/>
          <w:b/>
          <w:bCs/>
          <w:sz w:val="21"/>
          <w:szCs w:val="21"/>
          <w:lang w:eastAsia="zh-CN"/>
        </w:rPr>
        <w:t>characterization</w:t>
      </w:r>
      <w:r>
        <w:rPr>
          <w:rFonts w:hint="eastAsia" w:eastAsia="宋体"/>
          <w:b/>
          <w:bCs/>
          <w:sz w:val="21"/>
          <w:szCs w:val="21"/>
          <w:lang w:val="en-US" w:eastAsia="zh-CN"/>
        </w:rPr>
        <w:t xml:space="preserve"> of RE-related subtype in BCa. </w:t>
      </w:r>
      <w:r>
        <w:rPr>
          <w:rFonts w:hint="eastAsia" w:ascii="Times New Roman" w:hAnsi="Times New Roman" w:cs="Times New Roman"/>
          <w:color w:val="000000"/>
          <w:sz w:val="21"/>
          <w:szCs w:val="21"/>
        </w:rPr>
        <w:t xml:space="preserve">(A) </w:t>
      </w:r>
      <w:r>
        <w:rPr>
          <w:rFonts w:ascii="Times New Roman" w:hAnsi="Times New Roman" w:cs="Times New Roman"/>
          <w:sz w:val="21"/>
          <w:szCs w:val="21"/>
        </w:rPr>
        <w:t>The result of LASSO analysis</w:t>
      </w:r>
      <w:r>
        <w:rPr>
          <w:rFonts w:hint="eastAsia" w:ascii="Times New Roman" w:hAnsi="Times New Roman" w:cs="Times New Roman"/>
          <w:color w:val="000000"/>
          <w:sz w:val="21"/>
          <w:szCs w:val="21"/>
        </w:rPr>
        <w:t xml:space="preserve">. (B) </w:t>
      </w:r>
      <w:r>
        <w:rPr>
          <w:rFonts w:ascii="Times New Roman" w:hAnsi="Times New Roman" w:cs="Times New Roman"/>
          <w:sz w:val="21"/>
          <w:szCs w:val="21"/>
        </w:rPr>
        <w:t>The result of consensus clustering, and Bca patients were divided into Cluster A and Cluster B</w:t>
      </w:r>
      <w:r>
        <w:rPr>
          <w:rFonts w:hint="eastAsia" w:ascii="Times New Roman" w:hAnsi="Times New Roman" w:cs="Times New Roman"/>
          <w:color w:val="000000"/>
          <w:sz w:val="21"/>
          <w:szCs w:val="21"/>
        </w:rPr>
        <w:t xml:space="preserve">. (C) </w:t>
      </w:r>
      <w:r>
        <w:rPr>
          <w:rFonts w:ascii="Times New Roman" w:hAnsi="Times New Roman" w:cs="Times New Roman"/>
          <w:color w:val="000000"/>
          <w:sz w:val="21"/>
          <w:szCs w:val="21"/>
        </w:rPr>
        <w:t>Correlations between RE clusters and classical molecular subtype classifications</w:t>
      </w:r>
      <w:r>
        <w:rPr>
          <w:rFonts w:hint="eastAsia" w:ascii="Times New Roman" w:hAnsi="Times New Roman" w:cs="Times New Roman"/>
          <w:color w:val="000000"/>
          <w:sz w:val="21"/>
          <w:szCs w:val="21"/>
        </w:rPr>
        <w:t xml:space="preserve">. (D) </w:t>
      </w:r>
      <w:r>
        <w:rPr>
          <w:rFonts w:ascii="Times New Roman" w:hAnsi="Times New Roman" w:cs="Times New Roman"/>
          <w:color w:val="000000"/>
          <w:sz w:val="21"/>
          <w:szCs w:val="21"/>
        </w:rPr>
        <w:t>Correlation analysis in RE-related subtypes and EUA subtype scores, p value calculated using the Wilcoxon-test</w:t>
      </w:r>
      <w:r>
        <w:rPr>
          <w:rFonts w:hint="eastAsia" w:ascii="Times New Roman" w:hAnsi="Times New Roman" w:cs="Times New Roman"/>
          <w:color w:val="000000"/>
          <w:sz w:val="21"/>
          <w:szCs w:val="21"/>
        </w:rPr>
        <w:t xml:space="preserve">. (E) </w:t>
      </w:r>
      <w:r>
        <w:rPr>
          <w:rFonts w:ascii="Times New Roman" w:hAnsi="Times New Roman" w:eastAsia="微软雅黑" w:cs="Times New Roman"/>
          <w:color w:val="000000" w:themeColor="text1"/>
          <w:sz w:val="21"/>
          <w:szCs w:val="21"/>
          <w14:textFill>
            <w14:solidFill>
              <w14:schemeClr w14:val="tx1"/>
            </w14:solidFill>
          </w14:textFill>
        </w:rPr>
        <w:t>Heat map showing expression clustering of differential genes between tumor and normal samples.</w:t>
      </w:r>
      <w:r>
        <w:rPr>
          <w:rFonts w:hint="eastAsia" w:eastAsia="微软雅黑" w:cs="Times New Roman"/>
          <w:color w:val="000000" w:themeColor="text1"/>
          <w:sz w:val="21"/>
          <w:szCs w:val="21"/>
          <w:lang w:val="en-US" w:eastAsia="zh-CN"/>
          <w14:textFill>
            <w14:solidFill>
              <w14:schemeClr w14:val="tx1"/>
            </w14:solidFill>
          </w14:textFill>
        </w:rPr>
        <w:t xml:space="preserve"> (F) </w:t>
      </w:r>
      <w:r>
        <w:rPr>
          <w:rFonts w:ascii="Times New Roman" w:hAnsi="Times New Roman" w:eastAsia="微软雅黑" w:cs="Times New Roman"/>
          <w:color w:val="000000" w:themeColor="text1"/>
          <w:sz w:val="21"/>
          <w:szCs w:val="21"/>
          <w14:textFill>
            <w14:solidFill>
              <w14:schemeClr w14:val="tx1"/>
            </w14:solidFill>
          </w14:textFill>
        </w:rPr>
        <w:t>Clustering dendrogram of TCGA-</w:t>
      </w:r>
      <w:r>
        <w:rPr>
          <w:rFonts w:hint="eastAsia" w:ascii="Times New Roman" w:hAnsi="Times New Roman" w:eastAsia="微软雅黑" w:cs="Times New Roman"/>
          <w:color w:val="000000" w:themeColor="text1"/>
          <w:sz w:val="21"/>
          <w:szCs w:val="21"/>
          <w:lang w:eastAsia="zh-CN"/>
          <w14:textFill>
            <w14:solidFill>
              <w14:schemeClr w14:val="tx1"/>
            </w14:solidFill>
          </w14:textFill>
        </w:rPr>
        <w:t>BCa</w:t>
      </w:r>
      <w:r>
        <w:rPr>
          <w:rFonts w:ascii="Times New Roman" w:hAnsi="Times New Roman" w:eastAsia="微软雅黑" w:cs="Times New Roman"/>
          <w:color w:val="000000" w:themeColor="text1"/>
          <w:sz w:val="21"/>
          <w:szCs w:val="21"/>
          <w14:textFill>
            <w14:solidFill>
              <w14:schemeClr w14:val="tx1"/>
            </w14:solidFill>
          </w14:textFill>
        </w:rPr>
        <w:t xml:space="preserve"> samples</w:t>
      </w:r>
      <w:r>
        <w:rPr>
          <w:rFonts w:hint="eastAsia" w:eastAsia="微软雅黑" w:cs="Times New Roman"/>
          <w:color w:val="000000" w:themeColor="text1"/>
          <w:sz w:val="21"/>
          <w:szCs w:val="21"/>
          <w:lang w:val="en-US" w:eastAsia="zh-CN"/>
          <w14:textFill>
            <w14:solidFill>
              <w14:schemeClr w14:val="tx1"/>
            </w14:solidFill>
          </w14:textFill>
        </w:rPr>
        <w:t xml:space="preserve">. (G) </w:t>
      </w:r>
      <w:r>
        <w:rPr>
          <w:rFonts w:ascii="Times New Roman" w:hAnsi="Times New Roman" w:cs="Times New Roman"/>
          <w:color w:val="000000"/>
          <w:sz w:val="21"/>
          <w:szCs w:val="21"/>
        </w:rPr>
        <w:t>The GSVA indicates the KEGG pathway involved in cluster</w:t>
      </w:r>
      <w:r>
        <w:rPr>
          <w:rFonts w:hint="eastAsia" w:ascii="Times New Roman" w:hAnsi="Times New Roman" w:cs="Times New Roman"/>
          <w:color w:val="000000"/>
          <w:sz w:val="21"/>
          <w:szCs w:val="21"/>
        </w:rPr>
        <w:t>1 and cluster2</w:t>
      </w:r>
      <w:r>
        <w:rPr>
          <w:rFonts w:hint="eastAsia" w:eastAsia="宋体" w:cs="Times New Roman"/>
          <w:color w:val="000000"/>
          <w:sz w:val="21"/>
          <w:szCs w:val="21"/>
          <w:lang w:val="en-US" w:eastAsia="zh-CN"/>
        </w:rPr>
        <w:t xml:space="preserve">. (H) </w:t>
      </w:r>
      <w:r>
        <w:rPr>
          <w:rFonts w:hint="eastAsia" w:ascii="Times New Roman" w:hAnsi="Times New Roman" w:cs="Times New Roman"/>
          <w:color w:val="000000"/>
          <w:sz w:val="21"/>
          <w:szCs w:val="21"/>
        </w:rPr>
        <w:t xml:space="preserve">The expression level of PD-L1 in </w:t>
      </w:r>
      <w:r>
        <w:rPr>
          <w:rFonts w:hint="eastAsia" w:eastAsia="宋体" w:cs="Times New Roman"/>
          <w:color w:val="000000"/>
          <w:sz w:val="21"/>
          <w:szCs w:val="21"/>
          <w:lang w:val="en-US" w:eastAsia="zh-CN"/>
        </w:rPr>
        <w:t xml:space="preserve">difference </w:t>
      </w:r>
      <w:r>
        <w:rPr>
          <w:rFonts w:hint="eastAsia" w:ascii="Times New Roman" w:hAnsi="Times New Roman" w:cs="Times New Roman"/>
          <w:color w:val="000000"/>
          <w:sz w:val="21"/>
          <w:szCs w:val="21"/>
        </w:rPr>
        <w:t>clusters</w:t>
      </w:r>
      <w:r>
        <w:rPr>
          <w:rFonts w:hint="eastAsia" w:eastAsia="宋体" w:cs="Times New Roman"/>
          <w:color w:val="000000"/>
          <w:sz w:val="21"/>
          <w:szCs w:val="21"/>
          <w:lang w:val="en-US" w:eastAsia="zh-CN"/>
        </w:rPr>
        <w:t xml:space="preserve">. (I) </w:t>
      </w:r>
      <w:r>
        <w:rPr>
          <w:rFonts w:ascii="Times New Roman" w:hAnsi="Times New Roman" w:cs="Times New Roman"/>
          <w:color w:val="000000"/>
          <w:sz w:val="21"/>
          <w:szCs w:val="21"/>
        </w:rPr>
        <w:t>The infiltration levels of TIICs between RE clusters in the MCPcounter algorithms</w:t>
      </w:r>
      <w:r>
        <w:rPr>
          <w:rFonts w:hint="eastAsia" w:eastAsia="宋体" w:cs="Times New Roman"/>
          <w:color w:val="000000"/>
          <w:sz w:val="21"/>
          <w:szCs w:val="21"/>
          <w:lang w:val="en-US" w:eastAsia="zh-CN"/>
        </w:rPr>
        <w:t>.</w:t>
      </w:r>
      <w:r>
        <w:rPr>
          <w:rFonts w:ascii="Times New Roman" w:hAnsi="Times New Roman" w:cs="Times New Roman"/>
          <w:color w:val="000000"/>
          <w:sz w:val="21"/>
          <w:szCs w:val="21"/>
        </w:rPr>
        <w:t>The asterisks indicate a statistically significant p value calculated using the t-test or Mann-Whitney U</w:t>
      </w:r>
      <w:r>
        <w:rPr>
          <w:rFonts w:hint="eastAsia" w:eastAsia="宋体" w:cs="Times New Roman"/>
          <w:color w:val="000000"/>
          <w:sz w:val="21"/>
          <w:szCs w:val="21"/>
          <w:lang w:val="en-US" w:eastAsia="zh-CN"/>
        </w:rPr>
        <w:t xml:space="preserve"> (J) </w:t>
      </w:r>
      <w:r>
        <w:rPr>
          <w:rFonts w:hint="eastAsia" w:ascii="Times New Roman" w:hAnsi="Times New Roman" w:cs="Times New Roman"/>
          <w:color w:val="000000"/>
          <w:sz w:val="21"/>
          <w:szCs w:val="21"/>
        </w:rPr>
        <w:t>The expression of marker genes of subtypes Basal and Luminal</w:t>
      </w:r>
      <w:r>
        <w:rPr>
          <w:rFonts w:hint="eastAsia" w:eastAsia="宋体" w:cs="Times New Roman"/>
          <w:color w:val="000000"/>
          <w:sz w:val="21"/>
          <w:szCs w:val="21"/>
          <w:lang w:val="en-US" w:eastAsia="zh-CN"/>
        </w:rPr>
        <w:t xml:space="preserve">. </w:t>
      </w:r>
      <w:r>
        <w:rPr>
          <w:rFonts w:ascii="Times New Roman" w:hAnsi="Times New Roman" w:cs="Times New Roman"/>
          <w:color w:val="000000"/>
          <w:sz w:val="21"/>
          <w:szCs w:val="21"/>
        </w:rPr>
        <w:t>(*P &lt; 0.05; **P &lt; 0.01; ***P &lt; 0.001</w:t>
      </w:r>
      <w:r>
        <w:rPr>
          <w:rFonts w:hint="eastAsia" w:ascii="Times New Roman" w:hAnsi="Times New Roman" w:cs="Times New Roman"/>
          <w:color w:val="000000"/>
          <w:sz w:val="21"/>
          <w:szCs w:val="21"/>
        </w:rPr>
        <w:t xml:space="preserve">; </w:t>
      </w:r>
      <w:r>
        <w:rPr>
          <w:rFonts w:ascii="Times New Roman" w:hAnsi="Times New Roman" w:cs="Times New Roman"/>
          <w:color w:val="000000"/>
          <w:sz w:val="21"/>
          <w:szCs w:val="21"/>
        </w:rPr>
        <w:t>****P &lt; 0.0</w:t>
      </w:r>
      <w:r>
        <w:rPr>
          <w:rFonts w:hint="eastAsia" w:ascii="Times New Roman" w:hAnsi="Times New Roman" w:cs="Times New Roman"/>
          <w:color w:val="000000"/>
          <w:sz w:val="21"/>
          <w:szCs w:val="21"/>
        </w:rPr>
        <w:t>0</w:t>
      </w:r>
      <w:r>
        <w:rPr>
          <w:rFonts w:ascii="Times New Roman" w:hAnsi="Times New Roman" w:cs="Times New Roman"/>
          <w:color w:val="000000"/>
          <w:sz w:val="21"/>
          <w:szCs w:val="21"/>
        </w:rPr>
        <w:t>01)</w:t>
      </w:r>
      <w:r>
        <w:rPr>
          <w:rFonts w:hint="eastAsia" w:eastAsia="宋体" w:cs="Times New Roman"/>
          <w:color w:val="000000"/>
          <w:sz w:val="21"/>
          <w:szCs w:val="21"/>
          <w:lang w:val="en-US" w:eastAsia="zh-CN"/>
        </w:rPr>
        <w:t>.</w:t>
      </w:r>
    </w:p>
    <w:p w14:paraId="3DB66C40">
      <w:pPr>
        <w:jc w:val="center"/>
        <w:rPr>
          <w:rFonts w:hint="default" w:eastAsia="宋体"/>
          <w:lang w:val="en-US" w:eastAsia="zh-CN"/>
        </w:rPr>
      </w:pPr>
      <w:r>
        <w:rPr>
          <w:rFonts w:hint="eastAsia" w:eastAsia="宋体"/>
          <w:b/>
          <w:bCs/>
          <w:sz w:val="21"/>
          <w:szCs w:val="21"/>
          <w:lang w:val="en-US" w:eastAsia="zh-CN"/>
        </w:rPr>
        <w:t xml:space="preserve"> </w:t>
      </w:r>
    </w:p>
    <w:p w14:paraId="58BD00C0">
      <w:pPr>
        <w:rPr>
          <w:rFonts w:hint="default"/>
          <w:lang w:val="en-US" w:eastAsia="zh-CN"/>
        </w:rPr>
      </w:pPr>
    </w:p>
    <w:p w14:paraId="619A8133">
      <w:pPr>
        <w:rPr>
          <w:rFonts w:hint="default"/>
          <w:lang w:val="en-US" w:eastAsia="zh-CN"/>
        </w:rPr>
      </w:pPr>
      <w:r>
        <w:rPr>
          <w:rFonts w:hint="default"/>
          <w:lang w:val="en-US" w:eastAsia="zh-CN"/>
        </w:rPr>
        <w:drawing>
          <wp:inline distT="0" distB="0" distL="114300" distR="114300">
            <wp:extent cx="5263515" cy="4525010"/>
            <wp:effectExtent l="0" t="0" r="6985" b="8890"/>
            <wp:docPr id="4" name="图片 4"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3"/>
                    <pic:cNvPicPr>
                      <a:picLocks noChangeAspect="1"/>
                    </pic:cNvPicPr>
                  </pic:nvPicPr>
                  <pic:blipFill>
                    <a:blip r:embed="rId8"/>
                    <a:stretch>
                      <a:fillRect/>
                    </a:stretch>
                  </pic:blipFill>
                  <pic:spPr>
                    <a:xfrm>
                      <a:off x="0" y="0"/>
                      <a:ext cx="5263515" cy="4525010"/>
                    </a:xfrm>
                    <a:prstGeom prst="rect">
                      <a:avLst/>
                    </a:prstGeom>
                  </pic:spPr>
                </pic:pic>
              </a:graphicData>
            </a:graphic>
          </wp:inline>
        </w:drawing>
      </w:r>
    </w:p>
    <w:p w14:paraId="1959288F">
      <w:pPr>
        <w:jc w:val="both"/>
        <w:rPr>
          <w:rFonts w:hint="eastAsia" w:eastAsia="宋体" w:cs="Times New Roman"/>
          <w:color w:val="000000"/>
          <w:sz w:val="21"/>
          <w:szCs w:val="21"/>
          <w:lang w:val="en-US" w:eastAsia="zh-CN"/>
        </w:rPr>
      </w:pPr>
      <w:r>
        <w:rPr>
          <w:rFonts w:cs="Times New Roman"/>
          <w:b/>
          <w:bCs w:val="0"/>
          <w:sz w:val="21"/>
          <w:szCs w:val="21"/>
        </w:rPr>
        <w:t xml:space="preserve">Supplementary Figure </w:t>
      </w:r>
      <w:r>
        <w:rPr>
          <w:rFonts w:hint="eastAsia" w:eastAsia="宋体" w:cs="Times New Roman"/>
          <w:b/>
          <w:bCs w:val="0"/>
          <w:sz w:val="21"/>
          <w:szCs w:val="21"/>
          <w:lang w:val="en-US" w:eastAsia="zh-CN"/>
        </w:rPr>
        <w:t>3</w:t>
      </w:r>
      <w:r>
        <w:rPr>
          <w:rFonts w:cs="Times New Roman"/>
          <w:b/>
          <w:bCs w:val="0"/>
          <w:sz w:val="21"/>
          <w:szCs w:val="21"/>
        </w:rPr>
        <w:t xml:space="preserve">. </w:t>
      </w:r>
      <w:r>
        <w:rPr>
          <w:rFonts w:hint="eastAsia" w:eastAsia="宋体" w:cs="Times New Roman"/>
          <w:b/>
          <w:bCs w:val="0"/>
          <w:sz w:val="21"/>
          <w:szCs w:val="21"/>
          <w:lang w:val="en-US" w:eastAsia="zh-CN"/>
        </w:rPr>
        <w:t xml:space="preserve">Exploring the clinical </w:t>
      </w:r>
      <w:r>
        <w:rPr>
          <w:rFonts w:hint="eastAsia" w:eastAsia="宋体"/>
          <w:b/>
          <w:bCs w:val="0"/>
          <w:sz w:val="21"/>
          <w:szCs w:val="21"/>
          <w:lang w:eastAsia="zh-CN"/>
        </w:rPr>
        <w:t>characterization</w:t>
      </w:r>
      <w:r>
        <w:rPr>
          <w:rFonts w:hint="eastAsia" w:eastAsia="宋体" w:cs="Times New Roman"/>
          <w:b/>
          <w:bCs w:val="0"/>
          <w:sz w:val="21"/>
          <w:szCs w:val="21"/>
          <w:lang w:val="en-US" w:eastAsia="zh-CN"/>
        </w:rPr>
        <w:t xml:space="preserve"> of RE-related subtypes in BCa</w:t>
      </w:r>
      <w:r>
        <w:rPr>
          <w:rFonts w:hint="eastAsia" w:eastAsia="宋体"/>
          <w:b/>
          <w:bCs w:val="0"/>
          <w:sz w:val="21"/>
          <w:szCs w:val="21"/>
          <w:lang w:val="en-US" w:eastAsia="zh-CN"/>
        </w:rPr>
        <w:t xml:space="preserve">. </w:t>
      </w:r>
      <w:r>
        <w:rPr>
          <w:rFonts w:hint="eastAsia" w:ascii="Times New Roman" w:hAnsi="Times New Roman" w:cs="Times New Roman"/>
          <w:color w:val="000000"/>
          <w:sz w:val="21"/>
          <w:szCs w:val="21"/>
        </w:rPr>
        <w:t>(A) Results of KEGG analysis of principal component genes in the Low RE group. (B) Correlation analysis between RE score and clinical characteristics. (C) The lower left part indicates the correlation between RE scores and TIICs</w:t>
      </w:r>
      <w:r>
        <w:rPr>
          <w:rFonts w:ascii="Times New Roman" w:hAnsi="Times New Roman" w:cs="Times New Roman"/>
          <w:color w:val="000000"/>
          <w:sz w:val="21"/>
          <w:szCs w:val="21"/>
        </w:rPr>
        <w:t xml:space="preserve"> in the </w:t>
      </w:r>
      <w:r>
        <w:rPr>
          <w:rFonts w:hint="eastAsia" w:ascii="Times New Roman" w:hAnsi="Times New Roman" w:cs="Times New Roman"/>
          <w:color w:val="000000"/>
          <w:sz w:val="21"/>
          <w:szCs w:val="21"/>
        </w:rPr>
        <w:t xml:space="preserve">ssGSEA </w:t>
      </w:r>
      <w:r>
        <w:rPr>
          <w:rFonts w:ascii="Times New Roman" w:hAnsi="Times New Roman" w:cs="Times New Roman"/>
          <w:color w:val="000000"/>
          <w:sz w:val="21"/>
          <w:szCs w:val="21"/>
        </w:rPr>
        <w:t>algorithm</w:t>
      </w:r>
      <w:r>
        <w:rPr>
          <w:rFonts w:hint="eastAsia" w:ascii="Times New Roman" w:hAnsi="Times New Roman" w:cs="Times New Roman"/>
          <w:color w:val="000000"/>
          <w:sz w:val="21"/>
          <w:szCs w:val="21"/>
        </w:rPr>
        <w:t>; the upper right part indicates the correlation between RE scores and TIICs</w:t>
      </w:r>
      <w:r>
        <w:rPr>
          <w:rFonts w:ascii="Times New Roman" w:hAnsi="Times New Roman" w:cs="Times New Roman"/>
          <w:color w:val="000000"/>
          <w:sz w:val="21"/>
          <w:szCs w:val="21"/>
        </w:rPr>
        <w:t xml:space="preserve"> in the </w:t>
      </w:r>
      <w:r>
        <w:rPr>
          <w:rFonts w:hint="eastAsia" w:ascii="Times New Roman" w:hAnsi="Times New Roman" w:cs="Times New Roman"/>
          <w:color w:val="000000"/>
          <w:sz w:val="21"/>
          <w:szCs w:val="21"/>
        </w:rPr>
        <w:t xml:space="preserve">MCPcounter </w:t>
      </w:r>
      <w:r>
        <w:rPr>
          <w:rFonts w:ascii="Times New Roman" w:hAnsi="Times New Roman" w:cs="Times New Roman"/>
          <w:color w:val="000000"/>
          <w:sz w:val="21"/>
          <w:szCs w:val="21"/>
        </w:rPr>
        <w:t>algorithm</w:t>
      </w:r>
      <w:r>
        <w:rPr>
          <w:rFonts w:hint="eastAsia" w:ascii="Times New Roman" w:hAnsi="Times New Roman" w:cs="Times New Roman"/>
          <w:color w:val="000000"/>
          <w:sz w:val="21"/>
          <w:szCs w:val="21"/>
        </w:rPr>
        <w:t xml:space="preserve"> in STPH cohort. (D) </w:t>
      </w:r>
      <w:r>
        <w:rPr>
          <w:rFonts w:hint="eastAsia" w:eastAsia="宋体" w:cs="Times New Roman"/>
          <w:color w:val="000000"/>
          <w:sz w:val="21"/>
          <w:szCs w:val="21"/>
          <w:lang w:val="en-US" w:eastAsia="zh-CN"/>
        </w:rPr>
        <w:t>T</w:t>
      </w:r>
      <w:r>
        <w:rPr>
          <w:rFonts w:hint="eastAsia" w:ascii="Times New Roman" w:hAnsi="Times New Roman" w:cs="Times New Roman"/>
          <w:color w:val="000000"/>
          <w:sz w:val="21"/>
          <w:szCs w:val="21"/>
        </w:rPr>
        <w:t xml:space="preserve">he survival analysis </w:t>
      </w:r>
      <w:r>
        <w:rPr>
          <w:rFonts w:hint="eastAsia" w:eastAsia="宋体" w:cs="Times New Roman"/>
          <w:color w:val="000000"/>
          <w:sz w:val="21"/>
          <w:szCs w:val="21"/>
          <w:lang w:val="en-US" w:eastAsia="zh-CN"/>
        </w:rPr>
        <w:t xml:space="preserve">in patient </w:t>
      </w:r>
      <w:r>
        <w:rPr>
          <w:rFonts w:hint="eastAsia" w:ascii="Times New Roman" w:hAnsi="Times New Roman" w:cs="Times New Roman"/>
          <w:color w:val="000000"/>
          <w:sz w:val="21"/>
          <w:szCs w:val="21"/>
        </w:rPr>
        <w:t xml:space="preserve">(including </w:t>
      </w:r>
      <w:r>
        <w:rPr>
          <w:rFonts w:ascii="Times New Roman" w:hAnsi="Times New Roman" w:cs="Times New Roman"/>
          <w:color w:val="000000"/>
          <w:sz w:val="21"/>
          <w:szCs w:val="21"/>
        </w:rPr>
        <w:t>IMvigor210C, GSE78220, GSE176307</w:t>
      </w:r>
      <w:r>
        <w:rPr>
          <w:rFonts w:hint="eastAsia" w:ascii="Times New Roman" w:hAnsi="Times New Roman" w:cs="Times New Roman"/>
          <w:color w:val="000000"/>
          <w:sz w:val="21"/>
          <w:szCs w:val="21"/>
        </w:rPr>
        <w:t xml:space="preserve">) </w:t>
      </w:r>
      <w:r>
        <w:rPr>
          <w:rFonts w:hint="eastAsia" w:eastAsia="宋体" w:cs="Times New Roman"/>
          <w:color w:val="000000"/>
          <w:sz w:val="21"/>
          <w:szCs w:val="21"/>
          <w:lang w:val="en-US" w:eastAsia="zh-CN"/>
        </w:rPr>
        <w:t xml:space="preserve">with different </w:t>
      </w:r>
      <w:r>
        <w:rPr>
          <w:rFonts w:hint="eastAsia" w:ascii="Times New Roman" w:hAnsi="Times New Roman" w:cs="Times New Roman"/>
          <w:color w:val="000000"/>
          <w:sz w:val="21"/>
          <w:szCs w:val="21"/>
        </w:rPr>
        <w:t>RE score</w:t>
      </w:r>
      <w:r>
        <w:rPr>
          <w:rFonts w:hint="eastAsia" w:eastAsia="宋体" w:cs="Times New Roman"/>
          <w:color w:val="000000"/>
          <w:sz w:val="21"/>
          <w:szCs w:val="21"/>
          <w:lang w:val="en-US" w:eastAsia="zh-CN"/>
        </w:rPr>
        <w:t xml:space="preserve"> and PD-L1 expression.</w:t>
      </w:r>
    </w:p>
    <w:p w14:paraId="0901D95A">
      <w:pPr>
        <w:jc w:val="both"/>
        <w:rPr>
          <w:rFonts w:hint="default" w:eastAsia="宋体" w:cs="Times New Roman"/>
          <w:color w:val="000000"/>
          <w:sz w:val="21"/>
          <w:szCs w:val="21"/>
          <w:lang w:val="en-US" w:eastAsia="zh-CN"/>
        </w:rPr>
      </w:pPr>
      <w:r>
        <w:rPr>
          <w:rFonts w:hint="default" w:eastAsia="宋体" w:cs="Times New Roman"/>
          <w:color w:val="000000"/>
          <w:sz w:val="21"/>
          <w:szCs w:val="21"/>
          <w:lang w:val="en-US" w:eastAsia="zh-CN"/>
        </w:rPr>
        <w:drawing>
          <wp:inline distT="0" distB="0" distL="114300" distR="114300">
            <wp:extent cx="5300980" cy="6238240"/>
            <wp:effectExtent l="0" t="0" r="7620" b="10160"/>
            <wp:docPr id="2" name="图片 2"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4"/>
                    <pic:cNvPicPr>
                      <a:picLocks noChangeAspect="1"/>
                    </pic:cNvPicPr>
                  </pic:nvPicPr>
                  <pic:blipFill>
                    <a:blip r:embed="rId9"/>
                    <a:stretch>
                      <a:fillRect/>
                    </a:stretch>
                  </pic:blipFill>
                  <pic:spPr>
                    <a:xfrm>
                      <a:off x="0" y="0"/>
                      <a:ext cx="5300980" cy="6238240"/>
                    </a:xfrm>
                    <a:prstGeom prst="rect">
                      <a:avLst/>
                    </a:prstGeom>
                  </pic:spPr>
                </pic:pic>
              </a:graphicData>
            </a:graphic>
          </wp:inline>
        </w:drawing>
      </w:r>
    </w:p>
    <w:p w14:paraId="18B26957">
      <w:pPr>
        <w:spacing w:line="360" w:lineRule="auto"/>
        <w:jc w:val="both"/>
        <w:rPr>
          <w:rFonts w:hint="eastAsia" w:eastAsia="宋体" w:cs="Times New Roman"/>
          <w:color w:val="000000"/>
          <w:sz w:val="21"/>
          <w:szCs w:val="21"/>
          <w:lang w:val="en-US" w:eastAsia="zh-CN"/>
        </w:rPr>
      </w:pPr>
      <w:r>
        <w:rPr>
          <w:rFonts w:cs="Times New Roman"/>
          <w:b/>
          <w:bCs w:val="0"/>
          <w:sz w:val="21"/>
          <w:szCs w:val="21"/>
        </w:rPr>
        <w:t xml:space="preserve">Supplementary Figure </w:t>
      </w:r>
      <w:r>
        <w:rPr>
          <w:rFonts w:hint="eastAsia" w:eastAsia="宋体" w:cs="Times New Roman"/>
          <w:b/>
          <w:bCs w:val="0"/>
          <w:sz w:val="21"/>
          <w:szCs w:val="21"/>
          <w:lang w:val="en-US" w:eastAsia="zh-CN"/>
        </w:rPr>
        <w:t>4</w:t>
      </w:r>
      <w:r>
        <w:rPr>
          <w:rFonts w:cs="Times New Roman"/>
          <w:b/>
          <w:bCs w:val="0"/>
          <w:sz w:val="21"/>
          <w:szCs w:val="21"/>
        </w:rPr>
        <w:t xml:space="preserve">. </w:t>
      </w:r>
      <w:r>
        <w:rPr>
          <w:rFonts w:hint="eastAsia" w:ascii="Times New Roman" w:hAnsi="Times New Roman" w:cs="Times New Roman"/>
          <w:b/>
          <w:bCs/>
          <w:color w:val="000000"/>
          <w:sz w:val="21"/>
          <w:szCs w:val="21"/>
        </w:rPr>
        <w:t xml:space="preserve">Combined prognostic analysis of PD-L1, TMB and RE score. </w:t>
      </w:r>
      <w:r>
        <w:rPr>
          <w:rFonts w:hint="eastAsia" w:ascii="Times New Roman" w:hAnsi="Times New Roman" w:cs="Times New Roman"/>
          <w:color w:val="000000"/>
          <w:sz w:val="21"/>
          <w:szCs w:val="21"/>
        </w:rPr>
        <w:t>(A) The prognostic analysis of TMB in TCGA-</w:t>
      </w:r>
      <w:r>
        <w:rPr>
          <w:rFonts w:hint="eastAsia" w:ascii="Times New Roman" w:hAnsi="Times New Roman" w:cs="Times New Roman"/>
          <w:color w:val="000000"/>
          <w:sz w:val="21"/>
          <w:szCs w:val="21"/>
          <w:lang w:eastAsia="zh-CN"/>
        </w:rPr>
        <w:t>BCa</w:t>
      </w:r>
      <w:r>
        <w:rPr>
          <w:rFonts w:hint="eastAsia" w:ascii="Times New Roman" w:hAnsi="Times New Roman" w:cs="Times New Roman"/>
          <w:color w:val="000000"/>
          <w:sz w:val="21"/>
          <w:szCs w:val="21"/>
        </w:rPr>
        <w:t xml:space="preserve"> cohort. (B) The combined prognostic analysis of TMB and RE score. (C) The prognostic analysis of PD-L1 in TCGA-</w:t>
      </w:r>
      <w:r>
        <w:rPr>
          <w:rFonts w:hint="eastAsia" w:ascii="Times New Roman" w:hAnsi="Times New Roman" w:cs="Times New Roman"/>
          <w:color w:val="000000"/>
          <w:sz w:val="21"/>
          <w:szCs w:val="21"/>
          <w:lang w:eastAsia="zh-CN"/>
        </w:rPr>
        <w:t>BCa</w:t>
      </w:r>
      <w:r>
        <w:rPr>
          <w:rFonts w:hint="eastAsia" w:ascii="Times New Roman" w:hAnsi="Times New Roman" w:cs="Times New Roman"/>
          <w:color w:val="000000"/>
          <w:sz w:val="21"/>
          <w:szCs w:val="21"/>
        </w:rPr>
        <w:t xml:space="preserve"> cohort. (D) The combined prognostic analysis of PD-L1 and RE score. (E) The correlation analysis of PD-L1 and RE score</w:t>
      </w:r>
      <w:r>
        <w:rPr>
          <w:rFonts w:hint="eastAsia" w:eastAsia="宋体" w:cs="Times New Roman"/>
          <w:color w:val="000000"/>
          <w:sz w:val="21"/>
          <w:szCs w:val="21"/>
          <w:lang w:val="en-US" w:eastAsia="zh-CN"/>
        </w:rPr>
        <w:t>.</w:t>
      </w:r>
    </w:p>
    <w:p w14:paraId="2892BADE">
      <w:pPr>
        <w:jc w:val="both"/>
        <w:rPr>
          <w:rFonts w:hint="eastAsia" w:eastAsia="宋体" w:cs="Times New Roman"/>
          <w:color w:val="000000"/>
          <w:sz w:val="21"/>
          <w:szCs w:val="21"/>
          <w:lang w:val="en-US" w:eastAsia="zh-CN"/>
        </w:rPr>
      </w:pPr>
    </w:p>
    <w:p w14:paraId="6ABA8514">
      <w:pPr>
        <w:jc w:val="both"/>
        <w:rPr>
          <w:rFonts w:hint="default" w:eastAsia="宋体" w:cs="Times New Roman"/>
          <w:color w:val="000000"/>
          <w:sz w:val="21"/>
          <w:szCs w:val="21"/>
          <w:lang w:val="en-US" w:eastAsia="zh-CN"/>
        </w:rPr>
      </w:pPr>
    </w:p>
    <w:p w14:paraId="0BBBACC0">
      <w:pPr>
        <w:rPr>
          <w:rFonts w:hint="eastAsia" w:eastAsia="宋体"/>
          <w:lang w:eastAsia="zh-CN"/>
        </w:rPr>
      </w:pPr>
      <w:r>
        <w:rPr>
          <w:rFonts w:hint="eastAsia" w:eastAsia="宋体"/>
          <w:lang w:eastAsia="zh-CN"/>
        </w:rPr>
        <w:drawing>
          <wp:inline distT="0" distB="0" distL="114300" distR="114300">
            <wp:extent cx="5281930" cy="4972685"/>
            <wp:effectExtent l="0" t="0" r="1270" b="5715"/>
            <wp:docPr id="5" name="图片 5"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5"/>
                    <pic:cNvPicPr>
                      <a:picLocks noChangeAspect="1"/>
                    </pic:cNvPicPr>
                  </pic:nvPicPr>
                  <pic:blipFill>
                    <a:blip r:embed="rId10"/>
                    <a:stretch>
                      <a:fillRect/>
                    </a:stretch>
                  </pic:blipFill>
                  <pic:spPr>
                    <a:xfrm>
                      <a:off x="0" y="0"/>
                      <a:ext cx="5281930" cy="4972685"/>
                    </a:xfrm>
                    <a:prstGeom prst="rect">
                      <a:avLst/>
                    </a:prstGeom>
                  </pic:spPr>
                </pic:pic>
              </a:graphicData>
            </a:graphic>
          </wp:inline>
        </w:drawing>
      </w:r>
    </w:p>
    <w:p w14:paraId="015718A1">
      <w:pPr>
        <w:jc w:val="both"/>
        <w:rPr>
          <w:rFonts w:hint="eastAsia" w:eastAsia="宋体" w:cs="Times New Roman"/>
          <w:color w:val="000000"/>
          <w:sz w:val="21"/>
          <w:szCs w:val="21"/>
          <w:lang w:val="en-US" w:eastAsia="zh-CN"/>
        </w:rPr>
      </w:pPr>
      <w:r>
        <w:rPr>
          <w:rFonts w:cs="Times New Roman"/>
          <w:b/>
          <w:bCs w:val="0"/>
          <w:sz w:val="21"/>
          <w:szCs w:val="21"/>
        </w:rPr>
        <w:t xml:space="preserve">Supplementary Figure </w:t>
      </w:r>
      <w:r>
        <w:rPr>
          <w:rFonts w:hint="eastAsia" w:eastAsia="宋体" w:cs="Times New Roman"/>
          <w:b/>
          <w:bCs w:val="0"/>
          <w:sz w:val="21"/>
          <w:szCs w:val="21"/>
          <w:lang w:val="en-US" w:eastAsia="zh-CN"/>
        </w:rPr>
        <w:t>5</w:t>
      </w:r>
      <w:r>
        <w:rPr>
          <w:rFonts w:cs="Times New Roman"/>
          <w:b/>
          <w:bCs w:val="0"/>
          <w:sz w:val="21"/>
          <w:szCs w:val="21"/>
        </w:rPr>
        <w:t>.</w:t>
      </w:r>
      <w:r>
        <w:rPr>
          <w:rFonts w:hint="eastAsia" w:eastAsia="宋体" w:cs="Times New Roman"/>
          <w:b/>
          <w:bCs w:val="0"/>
          <w:sz w:val="21"/>
          <w:szCs w:val="21"/>
          <w:lang w:val="en-US" w:eastAsia="zh-CN"/>
        </w:rPr>
        <w:t xml:space="preserve"> Validation of </w:t>
      </w:r>
      <w:r>
        <w:rPr>
          <w:rFonts w:hint="eastAsia" w:eastAsia="宋体" w:cs="Times New Roman"/>
          <w:b/>
          <w:bCs w:val="0"/>
          <w:color w:val="000000"/>
          <w:sz w:val="21"/>
          <w:szCs w:val="21"/>
          <w:lang w:val="en-US" w:eastAsia="zh-CN"/>
        </w:rPr>
        <w:t>knockdown efficiency of si-RASAL2 and si-ANXA1.</w:t>
      </w:r>
      <w:r>
        <w:rPr>
          <w:rFonts w:hint="eastAsia" w:eastAsia="宋体" w:cs="Times New Roman"/>
          <w:color w:val="000000"/>
          <w:sz w:val="21"/>
          <w:szCs w:val="21"/>
          <w:lang w:val="en-US" w:eastAsia="zh-CN"/>
        </w:rPr>
        <w:t xml:space="preserve"> (A-B) </w:t>
      </w:r>
      <w:r>
        <w:rPr>
          <w:rFonts w:hint="eastAsia" w:ascii="Times New Roman" w:hAnsi="Times New Roman" w:cs="Times New Roman"/>
          <w:color w:val="000000"/>
          <w:sz w:val="21"/>
          <w:szCs w:val="21"/>
        </w:rPr>
        <w:t>Immunofluorescence results demonstrating the location of RASAL2 and ANXA1 expression in cells</w:t>
      </w:r>
      <w:r>
        <w:rPr>
          <w:rFonts w:hint="eastAsia" w:eastAsia="宋体" w:cs="Times New Roman"/>
          <w:color w:val="000000"/>
          <w:sz w:val="21"/>
          <w:szCs w:val="21"/>
          <w:lang w:val="en-US" w:eastAsia="zh-CN"/>
        </w:rPr>
        <w:t>. (C-D) RT-Qpcr validation of knockdown efficiency of si-RASAL2 and si-ANXA1.</w:t>
      </w:r>
    </w:p>
    <w:p w14:paraId="0B838EAF">
      <w:pPr>
        <w:jc w:val="both"/>
        <w:rPr>
          <w:rFonts w:hint="eastAsia" w:eastAsia="宋体" w:cs="Times New Roman"/>
          <w:color w:val="000000"/>
          <w:sz w:val="21"/>
          <w:szCs w:val="21"/>
          <w:lang w:val="en-US" w:eastAsia="zh-CN"/>
        </w:rPr>
      </w:pPr>
    </w:p>
    <w:p w14:paraId="2D1A12D4">
      <w:pPr>
        <w:jc w:val="both"/>
        <w:rPr>
          <w:rFonts w:hint="eastAsia" w:eastAsia="宋体" w:cs="Times New Roman"/>
          <w:color w:val="000000"/>
          <w:sz w:val="21"/>
          <w:szCs w:val="21"/>
          <w:lang w:val="en-US" w:eastAsia="zh-CN"/>
        </w:rPr>
      </w:pPr>
      <w:r>
        <w:rPr>
          <w:rFonts w:hint="eastAsia" w:eastAsia="宋体" w:cs="Times New Roman"/>
          <w:color w:val="000000"/>
          <w:sz w:val="21"/>
          <w:szCs w:val="21"/>
          <w:lang w:val="en-US" w:eastAsia="zh-CN"/>
        </w:rPr>
        <w:drawing>
          <wp:inline distT="0" distB="0" distL="114300" distR="114300">
            <wp:extent cx="5262245" cy="7431405"/>
            <wp:effectExtent l="0" t="0" r="8255" b="10795"/>
            <wp:docPr id="6" name="图片 6"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6"/>
                    <pic:cNvPicPr>
                      <a:picLocks noChangeAspect="1"/>
                    </pic:cNvPicPr>
                  </pic:nvPicPr>
                  <pic:blipFill>
                    <a:blip r:embed="rId11"/>
                    <a:stretch>
                      <a:fillRect/>
                    </a:stretch>
                  </pic:blipFill>
                  <pic:spPr>
                    <a:xfrm>
                      <a:off x="0" y="0"/>
                      <a:ext cx="5262245" cy="7431405"/>
                    </a:xfrm>
                    <a:prstGeom prst="rect">
                      <a:avLst/>
                    </a:prstGeom>
                  </pic:spPr>
                </pic:pic>
              </a:graphicData>
            </a:graphic>
          </wp:inline>
        </w:drawing>
      </w:r>
    </w:p>
    <w:p w14:paraId="1C888A76">
      <w:pPr>
        <w:jc w:val="both"/>
        <w:rPr>
          <w:rFonts w:hint="eastAsia" w:eastAsia="宋体" w:cs="Times New Roman"/>
          <w:color w:val="000000"/>
          <w:sz w:val="21"/>
          <w:szCs w:val="21"/>
          <w:lang w:val="en-US" w:eastAsia="zh-CN"/>
        </w:rPr>
      </w:pPr>
      <w:r>
        <w:rPr>
          <w:rFonts w:cs="Times New Roman"/>
          <w:b/>
          <w:bCs w:val="0"/>
          <w:sz w:val="21"/>
          <w:szCs w:val="21"/>
        </w:rPr>
        <w:t xml:space="preserve">Supplementary Figure </w:t>
      </w:r>
      <w:r>
        <w:rPr>
          <w:rFonts w:hint="eastAsia" w:eastAsia="宋体" w:cs="Times New Roman"/>
          <w:b/>
          <w:bCs w:val="0"/>
          <w:sz w:val="21"/>
          <w:szCs w:val="21"/>
          <w:lang w:val="en-US" w:eastAsia="zh-CN"/>
        </w:rPr>
        <w:t>6</w:t>
      </w:r>
      <w:r>
        <w:rPr>
          <w:rFonts w:cs="Times New Roman"/>
          <w:b/>
          <w:bCs w:val="0"/>
          <w:sz w:val="21"/>
          <w:szCs w:val="21"/>
        </w:rPr>
        <w:t>.</w:t>
      </w:r>
      <w:r>
        <w:rPr>
          <w:rFonts w:hint="eastAsia" w:eastAsia="宋体" w:cs="Times New Roman"/>
          <w:b/>
          <w:bCs w:val="0"/>
          <w:sz w:val="21"/>
          <w:szCs w:val="21"/>
          <w:lang w:val="en-US" w:eastAsia="zh-CN"/>
        </w:rPr>
        <w:t xml:space="preserve"> Drug sensitivity analysis based on RE scores</w:t>
      </w:r>
      <w:r>
        <w:rPr>
          <w:rFonts w:hint="eastAsia" w:eastAsia="宋体" w:cs="Times New Roman"/>
          <w:b/>
          <w:bCs w:val="0"/>
          <w:color w:val="000000"/>
          <w:sz w:val="21"/>
          <w:szCs w:val="21"/>
          <w:lang w:val="en-US" w:eastAsia="zh-CN"/>
        </w:rPr>
        <w:t>.</w:t>
      </w:r>
      <w:r>
        <w:rPr>
          <w:rFonts w:hint="eastAsia" w:eastAsia="宋体" w:cs="Times New Roman"/>
          <w:color w:val="000000"/>
          <w:sz w:val="21"/>
          <w:szCs w:val="21"/>
          <w:lang w:val="en-US" w:eastAsia="zh-CN"/>
        </w:rPr>
        <w:t xml:space="preserve"> (A) </w:t>
      </w:r>
      <w:r>
        <w:rPr>
          <w:rFonts w:hint="eastAsia" w:ascii="Times New Roman" w:hAnsi="Times New Roman" w:cs="Times New Roman"/>
          <w:color w:val="000000"/>
          <w:sz w:val="21"/>
          <w:szCs w:val="21"/>
        </w:rPr>
        <w:t>The correlation analysis of prognosis related AIRE sites with PCA genes</w:t>
      </w:r>
      <w:r>
        <w:rPr>
          <w:rFonts w:hint="eastAsia" w:eastAsia="宋体" w:cs="Times New Roman"/>
          <w:color w:val="000000"/>
          <w:sz w:val="21"/>
          <w:szCs w:val="21"/>
          <w:lang w:val="en-US" w:eastAsia="zh-CN"/>
        </w:rPr>
        <w:t>. (B) High RE score samples were more sensitive to Dasatinib, PLX-4720, and AZD8005, while low RE score samples were more sensitive to Navitoclax, Wee1-inhibitor, and Vorinostat.(C) Low RE score samples also showed greater sensitivity to gemcitabine, cisplatin, docetaxel, and paclitaxel.</w:t>
      </w:r>
    </w:p>
    <w:p w14:paraId="0E707A7B">
      <w:pPr>
        <w:jc w:val="both"/>
        <w:rPr>
          <w:rFonts w:hint="default" w:eastAsia="宋体" w:cs="Times New Roman"/>
          <w:color w:val="000000"/>
          <w:sz w:val="21"/>
          <w:szCs w:val="21"/>
          <w:lang w:val="en-US" w:eastAsia="zh-CN"/>
        </w:rPr>
      </w:pPr>
      <w:r>
        <w:rPr>
          <w:rFonts w:hint="default" w:eastAsia="宋体" w:cs="Times New Roman"/>
          <w:color w:val="000000"/>
          <w:sz w:val="21"/>
          <w:szCs w:val="21"/>
          <w:lang w:val="en-US" w:eastAsia="zh-CN"/>
        </w:rPr>
        <w:drawing>
          <wp:inline distT="0" distB="0" distL="114300" distR="114300">
            <wp:extent cx="5262245" cy="2787015"/>
            <wp:effectExtent l="0" t="0" r="8255" b="6985"/>
            <wp:docPr id="7" name="图片 7"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7"/>
                    <pic:cNvPicPr>
                      <a:picLocks noChangeAspect="1"/>
                    </pic:cNvPicPr>
                  </pic:nvPicPr>
                  <pic:blipFill>
                    <a:blip r:embed="rId12"/>
                    <a:stretch>
                      <a:fillRect/>
                    </a:stretch>
                  </pic:blipFill>
                  <pic:spPr>
                    <a:xfrm>
                      <a:off x="0" y="0"/>
                      <a:ext cx="5262245" cy="2787015"/>
                    </a:xfrm>
                    <a:prstGeom prst="rect">
                      <a:avLst/>
                    </a:prstGeom>
                  </pic:spPr>
                </pic:pic>
              </a:graphicData>
            </a:graphic>
          </wp:inline>
        </w:drawing>
      </w:r>
    </w:p>
    <w:p w14:paraId="743A0920">
      <w:pPr>
        <w:spacing w:line="360" w:lineRule="auto"/>
        <w:jc w:val="both"/>
        <w:rPr>
          <w:rFonts w:hint="eastAsia" w:ascii="Times New Roman" w:hAnsi="Times New Roman" w:cs="Times New Roman"/>
          <w:color w:val="000000"/>
          <w:sz w:val="21"/>
          <w:szCs w:val="21"/>
        </w:rPr>
      </w:pPr>
      <w:r>
        <w:rPr>
          <w:rFonts w:cs="Times New Roman"/>
          <w:b/>
          <w:bCs w:val="0"/>
          <w:sz w:val="21"/>
          <w:szCs w:val="21"/>
        </w:rPr>
        <w:t xml:space="preserve">Supplementary Figure </w:t>
      </w:r>
      <w:r>
        <w:rPr>
          <w:rFonts w:hint="eastAsia" w:eastAsia="宋体" w:cs="Times New Roman"/>
          <w:b/>
          <w:bCs w:val="0"/>
          <w:sz w:val="21"/>
          <w:szCs w:val="21"/>
          <w:lang w:val="en-US" w:eastAsia="zh-CN"/>
        </w:rPr>
        <w:t>7</w:t>
      </w:r>
      <w:r>
        <w:rPr>
          <w:rFonts w:hint="eastAsia" w:ascii="Times New Roman" w:hAnsi="Times New Roman" w:cs="Times New Roman"/>
          <w:b/>
          <w:bCs w:val="0"/>
          <w:color w:val="000000"/>
          <w:sz w:val="21"/>
          <w:szCs w:val="21"/>
        </w:rPr>
        <w:t>. Correlation analysis of radiomic features and RE score.</w:t>
      </w:r>
      <w:r>
        <w:rPr>
          <w:rFonts w:hint="eastAsia" w:ascii="Times New Roman" w:hAnsi="Times New Roman" w:cs="Times New Roman"/>
          <w:color w:val="000000"/>
          <w:sz w:val="21"/>
          <w:szCs w:val="21"/>
        </w:rPr>
        <w:t xml:space="preserve"> (A) Correlation analysis of radiomic features and RE score. (B) The coef of different radiomic features in LASSO signature.</w:t>
      </w:r>
    </w:p>
    <w:p w14:paraId="5FBDA739">
      <w:pPr>
        <w:spacing w:line="36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drawing>
          <wp:inline distT="0" distB="0" distL="114300" distR="114300">
            <wp:extent cx="4817745" cy="4533900"/>
            <wp:effectExtent l="0" t="0" r="8255" b="0"/>
            <wp:docPr id="8" name="图片 8" descr="Figure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S8"/>
                    <pic:cNvPicPr>
                      <a:picLocks noChangeAspect="1"/>
                    </pic:cNvPicPr>
                  </pic:nvPicPr>
                  <pic:blipFill>
                    <a:blip r:embed="rId13"/>
                    <a:stretch>
                      <a:fillRect/>
                    </a:stretch>
                  </pic:blipFill>
                  <pic:spPr>
                    <a:xfrm>
                      <a:off x="0" y="0"/>
                      <a:ext cx="4817745" cy="4533900"/>
                    </a:xfrm>
                    <a:prstGeom prst="rect">
                      <a:avLst/>
                    </a:prstGeom>
                  </pic:spPr>
                </pic:pic>
              </a:graphicData>
            </a:graphic>
          </wp:inline>
        </w:drawing>
      </w:r>
    </w:p>
    <w:p w14:paraId="0D594E57">
      <w:pPr>
        <w:spacing w:line="360" w:lineRule="auto"/>
        <w:jc w:val="both"/>
        <w:rPr>
          <w:rFonts w:hint="eastAsia" w:eastAsia="宋体" w:cs="Times New Roman"/>
          <w:color w:val="000000"/>
          <w:lang w:val="en-US" w:eastAsia="zh-CN"/>
        </w:rPr>
      </w:pPr>
      <w:r>
        <w:rPr>
          <w:rFonts w:cs="Times New Roman"/>
          <w:b/>
          <w:bCs w:val="0"/>
          <w:sz w:val="21"/>
          <w:szCs w:val="21"/>
        </w:rPr>
        <w:t xml:space="preserve">Supplementary Figure </w:t>
      </w:r>
      <w:r>
        <w:rPr>
          <w:rFonts w:hint="eastAsia" w:eastAsia="宋体" w:cs="Times New Roman"/>
          <w:b/>
          <w:bCs w:val="0"/>
          <w:sz w:val="21"/>
          <w:szCs w:val="21"/>
          <w:lang w:val="en-US" w:eastAsia="zh-CN"/>
        </w:rPr>
        <w:t>8</w:t>
      </w:r>
      <w:r>
        <w:rPr>
          <w:rFonts w:hint="eastAsia" w:ascii="Times New Roman" w:hAnsi="Times New Roman" w:cs="Times New Roman"/>
          <w:b/>
          <w:bCs w:val="0"/>
          <w:color w:val="000000"/>
          <w:sz w:val="21"/>
          <w:szCs w:val="21"/>
        </w:rPr>
        <w:t>. Constructing a Nomogram to Predict Prognosis of ICI Treatment for Bladder Cancer.</w:t>
      </w:r>
      <w:r>
        <w:rPr>
          <w:rFonts w:hint="eastAsia" w:ascii="Times New Roman" w:hAnsi="Times New Roman" w:cs="Times New Roman"/>
          <w:color w:val="000000"/>
          <w:sz w:val="21"/>
          <w:szCs w:val="21"/>
        </w:rPr>
        <w:t xml:space="preserve"> </w:t>
      </w:r>
      <w:r>
        <w:rPr>
          <w:rFonts w:hint="eastAsia" w:ascii="Times New Roman" w:hAnsi="Times New Roman" w:cs="Times New Roman"/>
          <w:color w:val="000000"/>
        </w:rPr>
        <w:t>(A</w:t>
      </w:r>
      <w:r>
        <w:rPr>
          <w:rFonts w:hint="eastAsia" w:eastAsia="宋体" w:cs="Times New Roman"/>
          <w:color w:val="000000"/>
          <w:lang w:val="en-US" w:eastAsia="zh-CN"/>
        </w:rPr>
        <w:t>-B</w:t>
      </w:r>
      <w:r>
        <w:rPr>
          <w:rFonts w:hint="eastAsia" w:ascii="Times New Roman" w:hAnsi="Times New Roman" w:cs="Times New Roman"/>
          <w:color w:val="000000"/>
        </w:rPr>
        <w:t xml:space="preserve">) Unicox </w:t>
      </w:r>
      <w:r>
        <w:rPr>
          <w:rFonts w:hint="eastAsia" w:eastAsia="宋体" w:cs="Times New Roman"/>
          <w:color w:val="000000"/>
          <w:lang w:val="en-US" w:eastAsia="zh-CN"/>
        </w:rPr>
        <w:t>and m</w:t>
      </w:r>
      <w:r>
        <w:rPr>
          <w:rFonts w:hint="eastAsia" w:ascii="Times New Roman" w:hAnsi="Times New Roman" w:cs="Times New Roman"/>
          <w:color w:val="000000"/>
        </w:rPr>
        <w:t>ulticox</w:t>
      </w:r>
      <w:r>
        <w:rPr>
          <w:rFonts w:hint="eastAsia" w:eastAsia="宋体" w:cs="Times New Roman"/>
          <w:color w:val="000000"/>
          <w:lang w:val="en-US" w:eastAsia="zh-CN"/>
        </w:rPr>
        <w:t xml:space="preserve"> </w:t>
      </w:r>
      <w:r>
        <w:rPr>
          <w:rFonts w:hint="eastAsia" w:ascii="Times New Roman" w:hAnsi="Times New Roman" w:cs="Times New Roman"/>
          <w:color w:val="000000"/>
        </w:rPr>
        <w:t>analysis of patient clinical characteristics in TCGA-</w:t>
      </w:r>
      <w:r>
        <w:rPr>
          <w:rFonts w:hint="eastAsia" w:ascii="Times New Roman" w:hAnsi="Times New Roman" w:cs="Times New Roman"/>
          <w:color w:val="000000"/>
          <w:lang w:eastAsia="zh-CN"/>
        </w:rPr>
        <w:t>BCa</w:t>
      </w:r>
      <w:r>
        <w:rPr>
          <w:rFonts w:hint="eastAsia" w:ascii="Times New Roman" w:hAnsi="Times New Roman" w:cs="Times New Roman"/>
          <w:color w:val="000000"/>
        </w:rPr>
        <w:t xml:space="preserve"> cohort.(C</w:t>
      </w:r>
      <w:r>
        <w:rPr>
          <w:rFonts w:hint="eastAsia" w:eastAsia="宋体" w:cs="Times New Roman"/>
          <w:color w:val="000000"/>
          <w:lang w:val="en-US" w:eastAsia="zh-CN"/>
        </w:rPr>
        <w:t>-D</w:t>
      </w:r>
      <w:r>
        <w:rPr>
          <w:rFonts w:hint="eastAsia" w:ascii="Times New Roman" w:hAnsi="Times New Roman" w:cs="Times New Roman"/>
          <w:color w:val="000000"/>
        </w:rPr>
        <w:t xml:space="preserve">) Unicox </w:t>
      </w:r>
      <w:r>
        <w:rPr>
          <w:rFonts w:hint="eastAsia" w:eastAsia="宋体" w:cs="Times New Roman"/>
          <w:color w:val="000000"/>
          <w:lang w:val="en-US" w:eastAsia="zh-CN"/>
        </w:rPr>
        <w:t>and m</w:t>
      </w:r>
      <w:r>
        <w:rPr>
          <w:rFonts w:hint="eastAsia" w:ascii="Times New Roman" w:hAnsi="Times New Roman" w:cs="Times New Roman"/>
          <w:color w:val="000000"/>
        </w:rPr>
        <w:t xml:space="preserve">ulticox analysis of patient clinical characteristics in </w:t>
      </w:r>
      <w:r>
        <w:rPr>
          <w:rFonts w:ascii="Times New Roman" w:hAnsi="Times New Roman" w:cs="Times New Roman"/>
          <w:color w:val="000000"/>
        </w:rPr>
        <w:t>IMvigor210C</w:t>
      </w:r>
      <w:r>
        <w:rPr>
          <w:rFonts w:hint="eastAsia" w:ascii="Times New Roman" w:hAnsi="Times New Roman" w:cs="Times New Roman"/>
          <w:color w:val="000000"/>
        </w:rPr>
        <w:t xml:space="preserve"> cohort. (</w:t>
      </w:r>
      <w:r>
        <w:rPr>
          <w:rFonts w:hint="eastAsia" w:eastAsia="宋体" w:cs="Times New Roman"/>
          <w:color w:val="000000"/>
          <w:lang w:val="en-US" w:eastAsia="zh-CN"/>
        </w:rPr>
        <w:t>E</w:t>
      </w:r>
      <w:r>
        <w:rPr>
          <w:rFonts w:hint="eastAsia" w:ascii="Times New Roman" w:hAnsi="Times New Roman" w:cs="Times New Roman"/>
          <w:color w:val="000000"/>
        </w:rPr>
        <w:t>) Constructing a Nomogram to Predict Prognosis in BCa Patients in the TCGA Cohort</w:t>
      </w:r>
      <w:r>
        <w:rPr>
          <w:rFonts w:hint="eastAsia" w:eastAsia="宋体" w:cs="Times New Roman"/>
          <w:color w:val="000000"/>
          <w:lang w:val="en-US" w:eastAsia="zh-CN"/>
        </w:rPr>
        <w:t xml:space="preserve">. (F) </w:t>
      </w:r>
      <w:r>
        <w:rPr>
          <w:rFonts w:hint="eastAsia" w:ascii="Times New Roman" w:hAnsi="Times New Roman" w:cs="Times New Roman"/>
          <w:color w:val="000000"/>
        </w:rPr>
        <w:t>Constructing a Nomogram to Predict Prognosis in BCa Patients in the</w:t>
      </w:r>
      <w:r>
        <w:rPr>
          <w:rFonts w:hint="eastAsia" w:eastAsia="宋体" w:cs="Times New Roman"/>
          <w:color w:val="000000"/>
          <w:lang w:val="en-US" w:eastAsia="zh-CN"/>
        </w:rPr>
        <w:t xml:space="preserve"> </w:t>
      </w:r>
      <w:r>
        <w:rPr>
          <w:rFonts w:ascii="Times New Roman" w:hAnsi="Times New Roman" w:cs="Times New Roman"/>
          <w:color w:val="000000"/>
        </w:rPr>
        <w:t>IMvigor210C</w:t>
      </w:r>
      <w:r>
        <w:rPr>
          <w:rFonts w:hint="eastAsia" w:ascii="Times New Roman" w:hAnsi="Times New Roman" w:cs="Times New Roman"/>
          <w:color w:val="000000"/>
        </w:rPr>
        <w:t xml:space="preserve"> Cohort</w:t>
      </w:r>
      <w:r>
        <w:rPr>
          <w:rFonts w:hint="eastAsia" w:eastAsia="宋体" w:cs="Times New Roman"/>
          <w:color w:val="000000"/>
          <w:lang w:val="en-US" w:eastAsia="zh-CN"/>
        </w:rPr>
        <w:t>.</w:t>
      </w:r>
    </w:p>
    <w:p w14:paraId="6784F6E4">
      <w:pPr>
        <w:spacing w:line="360" w:lineRule="auto"/>
        <w:jc w:val="both"/>
        <w:rPr>
          <w:rFonts w:hint="eastAsia" w:eastAsia="宋体" w:cs="Times New Roman"/>
          <w:color w:val="000000"/>
          <w:lang w:val="en-US" w:eastAsia="zh-CN"/>
        </w:rPr>
      </w:pPr>
    </w:p>
    <w:tbl>
      <w:tblPr>
        <w:tblStyle w:val="5"/>
        <w:tblW w:w="8287" w:type="dxa"/>
        <w:tblInd w:w="96" w:type="dxa"/>
        <w:tblLayout w:type="autofit"/>
        <w:tblCellMar>
          <w:top w:w="0" w:type="dxa"/>
          <w:left w:w="108" w:type="dxa"/>
          <w:bottom w:w="0" w:type="dxa"/>
          <w:right w:w="108" w:type="dxa"/>
        </w:tblCellMar>
      </w:tblPr>
      <w:tblGrid>
        <w:gridCol w:w="1483"/>
        <w:gridCol w:w="6804"/>
      </w:tblGrid>
      <w:tr w14:paraId="3C7228AE">
        <w:tblPrEx>
          <w:tblCellMar>
            <w:top w:w="0" w:type="dxa"/>
            <w:left w:w="108" w:type="dxa"/>
            <w:bottom w:w="0" w:type="dxa"/>
            <w:right w:w="108" w:type="dxa"/>
          </w:tblCellMar>
        </w:tblPrEx>
        <w:trPr>
          <w:trHeight w:val="312" w:hRule="atLeast"/>
        </w:trPr>
        <w:tc>
          <w:tcPr>
            <w:tcW w:w="1483" w:type="dxa"/>
            <w:tcBorders>
              <w:top w:val="single" w:color="auto" w:sz="4" w:space="0"/>
              <w:left w:val="nil"/>
              <w:bottom w:val="single" w:color="auto" w:sz="4" w:space="0"/>
              <w:right w:val="nil"/>
            </w:tcBorders>
            <w:shd w:val="clear" w:color="auto" w:fill="auto"/>
            <w:noWrap/>
            <w:vAlign w:val="center"/>
          </w:tcPr>
          <w:p w14:paraId="4C7C86E8">
            <w:pPr>
              <w:jc w:val="center"/>
              <w:textAlignment w:val="center"/>
              <w:rPr>
                <w:rFonts w:ascii="Times New Roman" w:hAnsi="Times New Roman" w:cs="Times New Roman"/>
                <w:color w:val="000000"/>
              </w:rPr>
            </w:pPr>
            <w:r>
              <w:rPr>
                <w:rFonts w:ascii="Times New Roman" w:hAnsi="Times New Roman" w:cs="Times New Roman"/>
                <w:color w:val="000000"/>
                <w:lang w:bidi="ar"/>
              </w:rPr>
              <w:t>Gene</w:t>
            </w:r>
          </w:p>
        </w:tc>
        <w:tc>
          <w:tcPr>
            <w:tcW w:w="6804" w:type="dxa"/>
            <w:tcBorders>
              <w:top w:val="single" w:color="auto" w:sz="4" w:space="0"/>
              <w:left w:val="nil"/>
              <w:bottom w:val="single" w:color="auto" w:sz="4" w:space="0"/>
              <w:right w:val="nil"/>
            </w:tcBorders>
            <w:shd w:val="clear" w:color="auto" w:fill="auto"/>
            <w:noWrap/>
            <w:vAlign w:val="center"/>
          </w:tcPr>
          <w:p w14:paraId="1589D91E">
            <w:pPr>
              <w:jc w:val="center"/>
              <w:textAlignment w:val="center"/>
              <w:rPr>
                <w:rFonts w:ascii="Times New Roman" w:hAnsi="Times New Roman" w:cs="Times New Roman"/>
                <w:color w:val="000000"/>
              </w:rPr>
            </w:pPr>
            <w:r>
              <w:rPr>
                <w:rFonts w:ascii="Times New Roman" w:hAnsi="Times New Roman" w:cs="Times New Roman"/>
                <w:color w:val="000000"/>
                <w:lang w:bidi="ar"/>
              </w:rPr>
              <w:t>Primer sequences</w:t>
            </w:r>
          </w:p>
        </w:tc>
      </w:tr>
      <w:tr w14:paraId="7FC6D2BE">
        <w:tblPrEx>
          <w:tblCellMar>
            <w:top w:w="0" w:type="dxa"/>
            <w:left w:w="108" w:type="dxa"/>
            <w:bottom w:w="0" w:type="dxa"/>
            <w:right w:w="108" w:type="dxa"/>
          </w:tblCellMar>
        </w:tblPrEx>
        <w:trPr>
          <w:trHeight w:val="312" w:hRule="atLeast"/>
        </w:trPr>
        <w:tc>
          <w:tcPr>
            <w:tcW w:w="0" w:type="auto"/>
            <w:tcBorders>
              <w:top w:val="single" w:color="auto" w:sz="4" w:space="0"/>
              <w:left w:val="nil"/>
              <w:bottom w:val="nil"/>
              <w:right w:val="nil"/>
            </w:tcBorders>
            <w:shd w:val="clear" w:color="auto" w:fill="auto"/>
            <w:noWrap/>
            <w:vAlign w:val="center"/>
          </w:tcPr>
          <w:p w14:paraId="0DDA1C65">
            <w:pPr>
              <w:jc w:val="center"/>
              <w:textAlignment w:val="center"/>
              <w:rPr>
                <w:rFonts w:ascii="Times New Roman" w:hAnsi="Times New Roman" w:cs="Times New Roman"/>
                <w:color w:val="000000"/>
              </w:rPr>
            </w:pPr>
            <w:r>
              <w:rPr>
                <w:rFonts w:hint="eastAsia" w:eastAsia="宋体" w:cs="Times New Roman"/>
                <w:color w:val="000000"/>
                <w:lang w:val="en-US" w:eastAsia="zh-CN" w:bidi="ar"/>
              </w:rPr>
              <w:t>RASAL2</w:t>
            </w:r>
            <w:r>
              <w:rPr>
                <w:rFonts w:ascii="Times New Roman" w:hAnsi="Times New Roman" w:cs="Times New Roman"/>
                <w:color w:val="000000"/>
                <w:lang w:bidi="ar"/>
              </w:rPr>
              <w:t>-F</w:t>
            </w:r>
          </w:p>
        </w:tc>
        <w:tc>
          <w:tcPr>
            <w:tcW w:w="6804" w:type="dxa"/>
            <w:tcBorders>
              <w:top w:val="single" w:color="auto" w:sz="4" w:space="0"/>
              <w:left w:val="nil"/>
              <w:bottom w:val="nil"/>
              <w:right w:val="nil"/>
            </w:tcBorders>
            <w:shd w:val="clear" w:color="auto" w:fill="auto"/>
            <w:noWrap/>
            <w:vAlign w:val="center"/>
          </w:tcPr>
          <w:p w14:paraId="3A606817">
            <w:pPr>
              <w:jc w:val="center"/>
              <w:textAlignment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bidi="ar"/>
              </w:rPr>
              <w:t>ACAGACACAGCAGGTTCAGT</w:t>
            </w:r>
          </w:p>
        </w:tc>
      </w:tr>
      <w:tr w14:paraId="63AA312A">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7206191F">
            <w:pPr>
              <w:jc w:val="center"/>
              <w:textAlignment w:val="center"/>
              <w:rPr>
                <w:rFonts w:ascii="Times New Roman" w:hAnsi="Times New Roman" w:cs="Times New Roman"/>
                <w:color w:val="000000"/>
              </w:rPr>
            </w:pPr>
            <w:r>
              <w:rPr>
                <w:rFonts w:hint="eastAsia" w:eastAsia="宋体" w:cs="Times New Roman"/>
                <w:color w:val="000000"/>
                <w:lang w:val="en-US" w:eastAsia="zh-CN" w:bidi="ar"/>
              </w:rPr>
              <w:t>RASAL2</w:t>
            </w:r>
            <w:r>
              <w:rPr>
                <w:rFonts w:ascii="Times New Roman" w:hAnsi="Times New Roman" w:cs="Times New Roman"/>
                <w:color w:val="000000"/>
                <w:lang w:bidi="ar"/>
              </w:rPr>
              <w:t>-R</w:t>
            </w:r>
          </w:p>
        </w:tc>
        <w:tc>
          <w:tcPr>
            <w:tcW w:w="6804" w:type="dxa"/>
            <w:tcBorders>
              <w:top w:val="nil"/>
              <w:left w:val="nil"/>
              <w:bottom w:val="nil"/>
              <w:right w:val="nil"/>
            </w:tcBorders>
            <w:shd w:val="clear" w:color="auto" w:fill="auto"/>
            <w:noWrap/>
            <w:vAlign w:val="center"/>
          </w:tcPr>
          <w:p w14:paraId="71474D87">
            <w:pPr>
              <w:jc w:val="center"/>
              <w:textAlignment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bidi="ar"/>
              </w:rPr>
              <w:t>AGCAAGCGGCGTTCATATTC</w:t>
            </w:r>
          </w:p>
        </w:tc>
      </w:tr>
      <w:tr w14:paraId="77DBF656">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1D53E64D">
            <w:pPr>
              <w:jc w:val="center"/>
              <w:textAlignment w:val="center"/>
              <w:rPr>
                <w:rFonts w:ascii="Times New Roman" w:hAnsi="Times New Roman" w:cs="Times New Roman"/>
                <w:color w:val="000000"/>
              </w:rPr>
            </w:pPr>
            <w:r>
              <w:rPr>
                <w:rFonts w:ascii="Times New Roman" w:hAnsi="Times New Roman" w:cs="Times New Roman"/>
                <w:color w:val="000000"/>
                <w:lang w:bidi="ar"/>
              </w:rPr>
              <w:t>A</w:t>
            </w:r>
            <w:r>
              <w:rPr>
                <w:rFonts w:hint="eastAsia" w:eastAsia="宋体" w:cs="Times New Roman"/>
                <w:color w:val="000000"/>
                <w:lang w:val="en-US" w:eastAsia="zh-CN" w:bidi="ar"/>
              </w:rPr>
              <w:t>NXA</w:t>
            </w:r>
            <w:r>
              <w:rPr>
                <w:rFonts w:ascii="Times New Roman" w:hAnsi="Times New Roman" w:cs="Times New Roman"/>
                <w:color w:val="000000"/>
                <w:lang w:bidi="ar"/>
              </w:rPr>
              <w:t>1-F</w:t>
            </w:r>
          </w:p>
        </w:tc>
        <w:tc>
          <w:tcPr>
            <w:tcW w:w="6804" w:type="dxa"/>
            <w:tcBorders>
              <w:top w:val="nil"/>
              <w:left w:val="nil"/>
              <w:bottom w:val="nil"/>
              <w:right w:val="nil"/>
            </w:tcBorders>
            <w:shd w:val="clear" w:color="auto" w:fill="auto"/>
            <w:noWrap/>
            <w:vAlign w:val="center"/>
          </w:tcPr>
          <w:p w14:paraId="015AB6F0">
            <w:pPr>
              <w:jc w:val="center"/>
              <w:textAlignment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bidi="ar"/>
              </w:rPr>
              <w:t>GCGGTGAGCCCCTATCCTA</w:t>
            </w:r>
          </w:p>
        </w:tc>
      </w:tr>
      <w:tr w14:paraId="2221A313">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4FB5F1D8">
            <w:pPr>
              <w:jc w:val="center"/>
              <w:textAlignment w:val="center"/>
              <w:rPr>
                <w:rFonts w:ascii="Times New Roman" w:hAnsi="Times New Roman" w:cs="Times New Roman"/>
                <w:color w:val="000000"/>
              </w:rPr>
            </w:pPr>
            <w:r>
              <w:rPr>
                <w:rFonts w:ascii="Times New Roman" w:hAnsi="Times New Roman" w:cs="Times New Roman"/>
                <w:color w:val="000000"/>
                <w:lang w:bidi="ar"/>
              </w:rPr>
              <w:t>A</w:t>
            </w:r>
            <w:r>
              <w:rPr>
                <w:rFonts w:hint="eastAsia" w:eastAsia="宋体" w:cs="Times New Roman"/>
                <w:color w:val="000000"/>
                <w:lang w:val="en-US" w:eastAsia="zh-CN" w:bidi="ar"/>
              </w:rPr>
              <w:t>NXA</w:t>
            </w:r>
            <w:r>
              <w:rPr>
                <w:rFonts w:ascii="Times New Roman" w:hAnsi="Times New Roman" w:cs="Times New Roman"/>
                <w:color w:val="000000"/>
                <w:lang w:bidi="ar"/>
              </w:rPr>
              <w:t>1-R</w:t>
            </w:r>
          </w:p>
        </w:tc>
        <w:tc>
          <w:tcPr>
            <w:tcW w:w="6804" w:type="dxa"/>
            <w:tcBorders>
              <w:top w:val="nil"/>
              <w:left w:val="nil"/>
              <w:bottom w:val="nil"/>
              <w:right w:val="nil"/>
            </w:tcBorders>
            <w:shd w:val="clear" w:color="auto" w:fill="auto"/>
            <w:noWrap/>
            <w:vAlign w:val="center"/>
          </w:tcPr>
          <w:p w14:paraId="78A26848">
            <w:pPr>
              <w:jc w:val="center"/>
              <w:textAlignment w:val="center"/>
              <w:rPr>
                <w:rFonts w:ascii="Times New Roman" w:hAnsi="Times New Roman" w:cs="Times New Roman"/>
                <w:color w:val="000000"/>
                <w:sz w:val="22"/>
                <w:szCs w:val="22"/>
              </w:rPr>
            </w:pPr>
            <w:r>
              <w:rPr>
                <w:rFonts w:hint="eastAsia" w:ascii="Times New Roman" w:hAnsi="Times New Roman" w:cs="Times New Roman"/>
                <w:color w:val="000000"/>
                <w:sz w:val="22"/>
                <w:szCs w:val="22"/>
                <w:lang w:bidi="ar"/>
              </w:rPr>
              <w:t>TGATGGTTGCTTCATCCACAC</w:t>
            </w:r>
          </w:p>
        </w:tc>
      </w:tr>
      <w:tr w14:paraId="73C315F8">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2F0C28BB">
            <w:pPr>
              <w:jc w:val="center"/>
              <w:textAlignment w:val="center"/>
              <w:rPr>
                <w:rFonts w:ascii="Times New Roman" w:hAnsi="Times New Roman" w:cs="Times New Roman"/>
                <w:color w:val="000000"/>
              </w:rPr>
            </w:pPr>
            <w:r>
              <w:rPr>
                <w:rFonts w:ascii="Times New Roman" w:hAnsi="Times New Roman" w:cs="Times New Roman"/>
                <w:color w:val="000000"/>
                <w:lang w:bidi="ar"/>
              </w:rPr>
              <w:t>ASIC1-F</w:t>
            </w:r>
          </w:p>
        </w:tc>
        <w:tc>
          <w:tcPr>
            <w:tcW w:w="6804" w:type="dxa"/>
            <w:tcBorders>
              <w:top w:val="nil"/>
              <w:left w:val="nil"/>
              <w:bottom w:val="nil"/>
              <w:right w:val="nil"/>
            </w:tcBorders>
            <w:shd w:val="clear" w:color="auto" w:fill="auto"/>
            <w:noWrap/>
            <w:vAlign w:val="center"/>
          </w:tcPr>
          <w:p w14:paraId="723CABD0">
            <w:pPr>
              <w:jc w:val="center"/>
              <w:textAlignment w:val="center"/>
              <w:rPr>
                <w:rFonts w:ascii="Times New Roman" w:hAnsi="Times New Roman" w:cs="Times New Roman"/>
                <w:color w:val="000000"/>
                <w:sz w:val="22"/>
                <w:szCs w:val="22"/>
              </w:rPr>
            </w:pPr>
            <w:r>
              <w:rPr>
                <w:rFonts w:ascii="Times New Roman" w:hAnsi="Times New Roman" w:cs="Times New Roman"/>
                <w:color w:val="000000"/>
                <w:sz w:val="22"/>
                <w:szCs w:val="22"/>
                <w:lang w:bidi="ar"/>
              </w:rPr>
              <w:t>CGAAGCAGGCATCAAAGTGC</w:t>
            </w:r>
          </w:p>
        </w:tc>
      </w:tr>
      <w:tr w14:paraId="2A2A11F7">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08D59157">
            <w:pPr>
              <w:jc w:val="center"/>
              <w:textAlignment w:val="center"/>
              <w:rPr>
                <w:rFonts w:ascii="Times New Roman" w:hAnsi="Times New Roman" w:cs="Times New Roman"/>
                <w:color w:val="000000"/>
              </w:rPr>
            </w:pPr>
            <w:r>
              <w:rPr>
                <w:rFonts w:ascii="Times New Roman" w:hAnsi="Times New Roman" w:cs="Times New Roman"/>
                <w:color w:val="000000"/>
                <w:lang w:bidi="ar"/>
              </w:rPr>
              <w:t>ASIC1-R</w:t>
            </w:r>
          </w:p>
        </w:tc>
        <w:tc>
          <w:tcPr>
            <w:tcW w:w="6804" w:type="dxa"/>
            <w:tcBorders>
              <w:top w:val="nil"/>
              <w:left w:val="nil"/>
              <w:bottom w:val="nil"/>
              <w:right w:val="nil"/>
            </w:tcBorders>
            <w:shd w:val="clear" w:color="auto" w:fill="auto"/>
            <w:noWrap/>
            <w:vAlign w:val="center"/>
          </w:tcPr>
          <w:p w14:paraId="5EEC36B8">
            <w:pPr>
              <w:jc w:val="center"/>
              <w:textAlignment w:val="center"/>
              <w:rPr>
                <w:rFonts w:ascii="Times New Roman" w:hAnsi="Times New Roman" w:cs="Times New Roman"/>
                <w:color w:val="000000"/>
                <w:sz w:val="22"/>
                <w:szCs w:val="22"/>
              </w:rPr>
            </w:pPr>
            <w:r>
              <w:rPr>
                <w:rFonts w:ascii="Times New Roman" w:hAnsi="Times New Roman" w:cs="Times New Roman"/>
                <w:color w:val="000000"/>
                <w:sz w:val="22"/>
                <w:szCs w:val="22"/>
                <w:lang w:bidi="ar"/>
              </w:rPr>
              <w:t>TTTGGATGATAGGGAGCCACG</w:t>
            </w:r>
          </w:p>
        </w:tc>
      </w:tr>
      <w:tr w14:paraId="7227261A">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1ED4FFEC">
            <w:pPr>
              <w:jc w:val="center"/>
              <w:textAlignment w:val="center"/>
              <w:rPr>
                <w:rFonts w:ascii="Times New Roman" w:hAnsi="Times New Roman" w:cs="Times New Roman"/>
                <w:color w:val="000000"/>
              </w:rPr>
            </w:pPr>
            <w:r>
              <w:rPr>
                <w:rFonts w:ascii="Times New Roman" w:hAnsi="Times New Roman" w:cs="Times New Roman"/>
                <w:color w:val="000000"/>
                <w:lang w:bidi="ar"/>
              </w:rPr>
              <w:t>AGER-F</w:t>
            </w:r>
          </w:p>
        </w:tc>
        <w:tc>
          <w:tcPr>
            <w:tcW w:w="6804" w:type="dxa"/>
            <w:tcBorders>
              <w:top w:val="nil"/>
              <w:left w:val="nil"/>
              <w:bottom w:val="nil"/>
              <w:right w:val="nil"/>
            </w:tcBorders>
            <w:shd w:val="clear" w:color="auto" w:fill="auto"/>
            <w:noWrap/>
            <w:vAlign w:val="center"/>
          </w:tcPr>
          <w:p w14:paraId="4C0903A8">
            <w:pPr>
              <w:jc w:val="center"/>
              <w:textAlignment w:val="center"/>
              <w:rPr>
                <w:rFonts w:ascii="Times New Roman" w:hAnsi="Times New Roman" w:cs="Times New Roman"/>
                <w:color w:val="000000"/>
                <w:sz w:val="22"/>
                <w:szCs w:val="22"/>
              </w:rPr>
            </w:pPr>
            <w:r>
              <w:rPr>
                <w:rFonts w:ascii="Times New Roman" w:hAnsi="Times New Roman" w:cs="Times New Roman"/>
                <w:color w:val="000000"/>
                <w:sz w:val="22"/>
                <w:szCs w:val="22"/>
                <w:lang w:bidi="ar"/>
              </w:rPr>
              <w:t>TACCGAGTCCGTGTCTACCAGATTC</w:t>
            </w:r>
          </w:p>
        </w:tc>
      </w:tr>
      <w:tr w14:paraId="2B91A879">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68BE2AD7">
            <w:pPr>
              <w:jc w:val="center"/>
              <w:textAlignment w:val="center"/>
              <w:rPr>
                <w:rFonts w:ascii="Times New Roman" w:hAnsi="Times New Roman" w:cs="Times New Roman"/>
                <w:color w:val="000000"/>
              </w:rPr>
            </w:pPr>
            <w:r>
              <w:rPr>
                <w:rFonts w:ascii="Times New Roman" w:hAnsi="Times New Roman" w:cs="Times New Roman"/>
                <w:color w:val="000000"/>
                <w:lang w:bidi="ar"/>
              </w:rPr>
              <w:t>AGER-R</w:t>
            </w:r>
          </w:p>
        </w:tc>
        <w:tc>
          <w:tcPr>
            <w:tcW w:w="6804" w:type="dxa"/>
            <w:tcBorders>
              <w:top w:val="nil"/>
              <w:left w:val="nil"/>
              <w:bottom w:val="nil"/>
              <w:right w:val="nil"/>
            </w:tcBorders>
            <w:shd w:val="clear" w:color="auto" w:fill="auto"/>
            <w:noWrap/>
            <w:vAlign w:val="center"/>
          </w:tcPr>
          <w:p w14:paraId="392C38CD">
            <w:pPr>
              <w:jc w:val="center"/>
              <w:textAlignment w:val="center"/>
              <w:rPr>
                <w:rFonts w:ascii="Times New Roman" w:hAnsi="Times New Roman" w:cs="Times New Roman"/>
                <w:color w:val="000000"/>
                <w:sz w:val="22"/>
                <w:szCs w:val="22"/>
              </w:rPr>
            </w:pPr>
            <w:r>
              <w:rPr>
                <w:rFonts w:ascii="Times New Roman" w:hAnsi="Times New Roman" w:cs="Times New Roman"/>
                <w:color w:val="000000"/>
                <w:sz w:val="22"/>
                <w:szCs w:val="22"/>
                <w:lang w:bidi="ar"/>
              </w:rPr>
              <w:t>CCATCCAAGTGCCAGCTAAGAGTC</w:t>
            </w:r>
          </w:p>
        </w:tc>
      </w:tr>
      <w:tr w14:paraId="41256E8A">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627B5C55">
            <w:pPr>
              <w:jc w:val="center"/>
              <w:textAlignment w:val="center"/>
              <w:rPr>
                <w:rFonts w:hint="default" w:ascii="Times New Roman" w:hAnsi="Times New Roman" w:eastAsia="宋体" w:cs="Times New Roman"/>
                <w:color w:val="000000"/>
                <w:lang w:val="en-US" w:eastAsia="zh-CN" w:bidi="ar"/>
              </w:rPr>
            </w:pPr>
            <w:r>
              <w:rPr>
                <w:rFonts w:hint="eastAsia" w:eastAsia="宋体" w:cs="Times New Roman"/>
                <w:color w:val="000000"/>
                <w:lang w:val="en-US" w:eastAsia="zh-CN" w:bidi="ar"/>
              </w:rPr>
              <w:t>CXCL8-F</w:t>
            </w:r>
          </w:p>
        </w:tc>
        <w:tc>
          <w:tcPr>
            <w:tcW w:w="6804" w:type="dxa"/>
            <w:tcBorders>
              <w:top w:val="nil"/>
              <w:left w:val="nil"/>
              <w:bottom w:val="nil"/>
              <w:right w:val="nil"/>
            </w:tcBorders>
            <w:shd w:val="clear" w:color="auto" w:fill="auto"/>
            <w:noWrap/>
            <w:vAlign w:val="center"/>
          </w:tcPr>
          <w:p w14:paraId="794F6941">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ACTGAGAGTGATTGAGAGTGGAC</w:t>
            </w:r>
          </w:p>
        </w:tc>
      </w:tr>
      <w:tr w14:paraId="13E3E041">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07E0C756">
            <w:pPr>
              <w:jc w:val="center"/>
              <w:textAlignment w:val="center"/>
              <w:rPr>
                <w:rFonts w:hint="default" w:ascii="Times New Roman" w:hAnsi="Times New Roman" w:cs="Times New Roman"/>
                <w:color w:val="000000"/>
                <w:lang w:val="en-US" w:bidi="ar"/>
              </w:rPr>
            </w:pPr>
            <w:r>
              <w:rPr>
                <w:rFonts w:hint="eastAsia" w:eastAsia="宋体" w:cs="Times New Roman"/>
                <w:color w:val="000000"/>
                <w:lang w:val="en-US" w:eastAsia="zh-CN" w:bidi="ar"/>
              </w:rPr>
              <w:t>CXCL8-R</w:t>
            </w:r>
          </w:p>
        </w:tc>
        <w:tc>
          <w:tcPr>
            <w:tcW w:w="6804" w:type="dxa"/>
            <w:tcBorders>
              <w:top w:val="nil"/>
              <w:left w:val="nil"/>
              <w:bottom w:val="nil"/>
              <w:right w:val="nil"/>
            </w:tcBorders>
            <w:shd w:val="clear" w:color="auto" w:fill="auto"/>
            <w:noWrap/>
            <w:vAlign w:val="center"/>
          </w:tcPr>
          <w:p w14:paraId="7C2CAE6C">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AACCCTCTGCACCCAGTTTTC</w:t>
            </w:r>
          </w:p>
        </w:tc>
      </w:tr>
      <w:tr w14:paraId="5F620F02">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709F923E">
            <w:pPr>
              <w:jc w:val="center"/>
              <w:textAlignment w:val="center"/>
              <w:rPr>
                <w:rFonts w:ascii="Times New Roman" w:hAnsi="Times New Roman" w:cs="Times New Roman"/>
                <w:color w:val="000000"/>
                <w:lang w:bidi="ar"/>
              </w:rPr>
            </w:pPr>
            <w:r>
              <w:rPr>
                <w:rFonts w:hint="eastAsia" w:eastAsia="宋体" w:cs="Times New Roman"/>
                <w:color w:val="000000"/>
                <w:lang w:val="en-US" w:eastAsia="zh-CN" w:bidi="ar"/>
              </w:rPr>
              <w:t>CXCL2-F</w:t>
            </w:r>
          </w:p>
        </w:tc>
        <w:tc>
          <w:tcPr>
            <w:tcW w:w="6804" w:type="dxa"/>
            <w:tcBorders>
              <w:top w:val="nil"/>
              <w:left w:val="nil"/>
              <w:bottom w:val="nil"/>
              <w:right w:val="nil"/>
            </w:tcBorders>
            <w:shd w:val="clear" w:color="auto" w:fill="auto"/>
            <w:noWrap/>
            <w:vAlign w:val="center"/>
          </w:tcPr>
          <w:p w14:paraId="3BBC4B74">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TTGTCTCAACCCCGCATCG</w:t>
            </w:r>
          </w:p>
        </w:tc>
      </w:tr>
      <w:tr w14:paraId="768A6F37">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3596C6C3">
            <w:pPr>
              <w:jc w:val="center"/>
              <w:textAlignment w:val="center"/>
              <w:rPr>
                <w:rFonts w:hint="default" w:ascii="Times New Roman" w:hAnsi="Times New Roman" w:cs="Times New Roman"/>
                <w:color w:val="000000"/>
                <w:lang w:val="en-US" w:bidi="ar"/>
              </w:rPr>
            </w:pPr>
            <w:r>
              <w:rPr>
                <w:rFonts w:hint="eastAsia" w:eastAsia="宋体" w:cs="Times New Roman"/>
                <w:color w:val="000000"/>
                <w:lang w:val="en-US" w:eastAsia="zh-CN" w:bidi="ar"/>
              </w:rPr>
              <w:t>CXCL2-R</w:t>
            </w:r>
          </w:p>
        </w:tc>
        <w:tc>
          <w:tcPr>
            <w:tcW w:w="6804" w:type="dxa"/>
            <w:tcBorders>
              <w:top w:val="nil"/>
              <w:left w:val="nil"/>
              <w:bottom w:val="nil"/>
              <w:right w:val="nil"/>
            </w:tcBorders>
            <w:shd w:val="clear" w:color="auto" w:fill="auto"/>
            <w:noWrap/>
            <w:vAlign w:val="center"/>
          </w:tcPr>
          <w:p w14:paraId="74CC308C">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CAGTTGGATTTGCCATTTTTCAG</w:t>
            </w:r>
          </w:p>
        </w:tc>
      </w:tr>
      <w:tr w14:paraId="721CDD27">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522973C0">
            <w:pPr>
              <w:jc w:val="center"/>
              <w:textAlignment w:val="center"/>
              <w:rPr>
                <w:rFonts w:ascii="Times New Roman" w:hAnsi="Times New Roman" w:cs="Times New Roman"/>
                <w:color w:val="000000"/>
                <w:lang w:bidi="ar"/>
              </w:rPr>
            </w:pPr>
            <w:r>
              <w:rPr>
                <w:rFonts w:hint="eastAsia" w:eastAsia="宋体" w:cs="Times New Roman"/>
                <w:color w:val="000000"/>
                <w:lang w:val="en-US" w:eastAsia="zh-CN" w:bidi="ar"/>
              </w:rPr>
              <w:t>CXCL11-F</w:t>
            </w:r>
          </w:p>
        </w:tc>
        <w:tc>
          <w:tcPr>
            <w:tcW w:w="6804" w:type="dxa"/>
            <w:tcBorders>
              <w:top w:val="nil"/>
              <w:left w:val="nil"/>
              <w:bottom w:val="nil"/>
              <w:right w:val="nil"/>
            </w:tcBorders>
            <w:shd w:val="clear" w:color="auto" w:fill="auto"/>
            <w:noWrap/>
            <w:vAlign w:val="center"/>
          </w:tcPr>
          <w:p w14:paraId="7226C06E">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GACGCTGTCTTTGCATAGGC</w:t>
            </w:r>
          </w:p>
        </w:tc>
      </w:tr>
      <w:tr w14:paraId="6AA21EA2">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385A2309">
            <w:pPr>
              <w:jc w:val="center"/>
              <w:textAlignment w:val="center"/>
              <w:rPr>
                <w:rFonts w:hint="default" w:ascii="Times New Roman" w:hAnsi="Times New Roman" w:cs="Times New Roman"/>
                <w:color w:val="000000"/>
                <w:lang w:val="en-US" w:bidi="ar"/>
              </w:rPr>
            </w:pPr>
            <w:r>
              <w:rPr>
                <w:rFonts w:hint="eastAsia" w:eastAsia="宋体" w:cs="Times New Roman"/>
                <w:color w:val="000000"/>
                <w:lang w:val="en-US" w:eastAsia="zh-CN" w:bidi="ar"/>
              </w:rPr>
              <w:t>CXCL11-R</w:t>
            </w:r>
          </w:p>
        </w:tc>
        <w:tc>
          <w:tcPr>
            <w:tcW w:w="6804" w:type="dxa"/>
            <w:tcBorders>
              <w:top w:val="nil"/>
              <w:left w:val="nil"/>
              <w:bottom w:val="nil"/>
              <w:right w:val="nil"/>
            </w:tcBorders>
            <w:shd w:val="clear" w:color="auto" w:fill="auto"/>
            <w:noWrap/>
            <w:vAlign w:val="center"/>
          </w:tcPr>
          <w:p w14:paraId="5E777603">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GGATTTAGGCATCGTTGTCCTTT</w:t>
            </w:r>
          </w:p>
        </w:tc>
      </w:tr>
      <w:tr w14:paraId="4F245DA1">
        <w:tblPrEx>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2F818913">
            <w:pPr>
              <w:jc w:val="center"/>
              <w:textAlignment w:val="center"/>
              <w:rPr>
                <w:rFonts w:hint="default" w:ascii="Times New Roman" w:hAnsi="Times New Roman" w:eastAsia="宋体" w:cs="Times New Roman"/>
                <w:color w:val="000000"/>
                <w:lang w:val="en-US" w:eastAsia="zh-CN" w:bidi="ar"/>
              </w:rPr>
            </w:pPr>
            <w:r>
              <w:rPr>
                <w:rFonts w:hint="eastAsia" w:eastAsia="宋体" w:cs="Times New Roman"/>
                <w:color w:val="000000"/>
                <w:lang w:val="en-US" w:eastAsia="zh-CN" w:bidi="ar"/>
              </w:rPr>
              <w:t>GAPDH-F</w:t>
            </w:r>
          </w:p>
        </w:tc>
        <w:tc>
          <w:tcPr>
            <w:tcW w:w="6804" w:type="dxa"/>
            <w:tcBorders>
              <w:top w:val="nil"/>
              <w:left w:val="nil"/>
              <w:bottom w:val="nil"/>
              <w:right w:val="nil"/>
            </w:tcBorders>
            <w:shd w:val="clear" w:color="auto" w:fill="auto"/>
            <w:noWrap/>
            <w:vAlign w:val="center"/>
          </w:tcPr>
          <w:p w14:paraId="1A7E5842">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GAGCGAGATCCCTCCAAAAT</w:t>
            </w:r>
          </w:p>
        </w:tc>
      </w:tr>
      <w:tr w14:paraId="5A00EC32">
        <w:tblPrEx>
          <w:tblCellMar>
            <w:top w:w="0" w:type="dxa"/>
            <w:left w:w="108" w:type="dxa"/>
            <w:bottom w:w="0" w:type="dxa"/>
            <w:right w:w="108" w:type="dxa"/>
          </w:tblCellMar>
        </w:tblPrEx>
        <w:trPr>
          <w:trHeight w:val="312" w:hRule="atLeast"/>
        </w:trPr>
        <w:tc>
          <w:tcPr>
            <w:tcW w:w="0" w:type="auto"/>
            <w:tcBorders>
              <w:top w:val="nil"/>
              <w:left w:val="nil"/>
              <w:bottom w:val="single" w:color="auto" w:sz="4" w:space="0"/>
              <w:right w:val="nil"/>
            </w:tcBorders>
            <w:shd w:val="clear" w:color="auto" w:fill="auto"/>
            <w:noWrap/>
            <w:vAlign w:val="center"/>
          </w:tcPr>
          <w:p w14:paraId="61341CE7">
            <w:pPr>
              <w:jc w:val="center"/>
              <w:textAlignment w:val="center"/>
              <w:rPr>
                <w:rFonts w:hint="default" w:eastAsia="宋体" w:cs="Times New Roman"/>
                <w:color w:val="000000"/>
                <w:lang w:val="en-US" w:eastAsia="zh-CN" w:bidi="ar"/>
              </w:rPr>
            </w:pPr>
            <w:r>
              <w:rPr>
                <w:rFonts w:hint="eastAsia" w:eastAsia="宋体" w:cs="Times New Roman"/>
                <w:color w:val="000000"/>
                <w:lang w:val="en-US" w:eastAsia="zh-CN" w:bidi="ar"/>
              </w:rPr>
              <w:t>GAPDH-R</w:t>
            </w:r>
          </w:p>
        </w:tc>
        <w:tc>
          <w:tcPr>
            <w:tcW w:w="6804" w:type="dxa"/>
            <w:tcBorders>
              <w:top w:val="nil"/>
              <w:left w:val="nil"/>
              <w:bottom w:val="single" w:color="auto" w:sz="4" w:space="0"/>
              <w:right w:val="nil"/>
            </w:tcBorders>
            <w:shd w:val="clear" w:color="auto" w:fill="auto"/>
            <w:noWrap/>
            <w:vAlign w:val="center"/>
          </w:tcPr>
          <w:p w14:paraId="53F2C9B8">
            <w:pPr>
              <w:jc w:val="center"/>
              <w:textAlignment w:val="center"/>
              <w:rPr>
                <w:rFonts w:ascii="Times New Roman" w:hAnsi="Times New Roman" w:cs="Times New Roman"/>
                <w:color w:val="000000"/>
                <w:sz w:val="22"/>
                <w:szCs w:val="22"/>
                <w:lang w:bidi="ar"/>
              </w:rPr>
            </w:pPr>
            <w:r>
              <w:rPr>
                <w:rFonts w:hint="eastAsia" w:ascii="Times New Roman" w:hAnsi="Times New Roman" w:cs="Times New Roman"/>
                <w:color w:val="000000"/>
                <w:sz w:val="22"/>
                <w:szCs w:val="22"/>
                <w:lang w:bidi="ar"/>
              </w:rPr>
              <w:t>GGCTGTTGTCATACTTCTCATGG</w:t>
            </w:r>
          </w:p>
        </w:tc>
      </w:tr>
    </w:tbl>
    <w:p w14:paraId="77BB3C00">
      <w:pPr>
        <w:rPr>
          <w:rFonts w:ascii="Times New Roman" w:hAnsi="Times New Roman" w:cs="Times New Roman"/>
        </w:rPr>
      </w:pPr>
    </w:p>
    <w:p w14:paraId="6945552D">
      <w:pPr>
        <w:spacing w:line="360" w:lineRule="auto"/>
        <w:jc w:val="center"/>
        <w:rPr>
          <w:rFonts w:cs="Times New Roman"/>
          <w:b/>
          <w:bCs/>
          <w:szCs w:val="24"/>
        </w:rPr>
      </w:pPr>
      <w:r>
        <w:rPr>
          <w:rFonts w:ascii="Times New Roman" w:hAnsi="Times New Roman" w:cs="Times New Roman"/>
          <w:b/>
          <w:bCs/>
        </w:rPr>
        <w:t>Table</w:t>
      </w:r>
      <w:r>
        <w:rPr>
          <w:rFonts w:hint="eastAsia" w:eastAsia="宋体" w:cs="Times New Roman"/>
          <w:b/>
          <w:bCs/>
          <w:lang w:val="en-US" w:eastAsia="zh-CN"/>
        </w:rPr>
        <w:t xml:space="preserve"> S</w:t>
      </w:r>
      <w:r>
        <w:rPr>
          <w:rFonts w:ascii="Times New Roman" w:hAnsi="Times New Roman" w:cs="Times New Roman"/>
          <w:b/>
          <w:bCs/>
        </w:rPr>
        <w:t xml:space="preserve">1. The </w:t>
      </w:r>
      <w:r>
        <w:rPr>
          <w:rFonts w:hint="eastAsia" w:eastAsia="宋体" w:cs="Times New Roman"/>
          <w:b/>
          <w:bCs/>
          <w:lang w:val="en-US" w:eastAsia="zh-CN"/>
        </w:rPr>
        <w:t xml:space="preserve">list of </w:t>
      </w:r>
      <w:r>
        <w:rPr>
          <w:rFonts w:ascii="Times New Roman" w:hAnsi="Times New Roman" w:cs="Times New Roman"/>
          <w:b/>
          <w:bCs/>
        </w:rPr>
        <w:t xml:space="preserve">primer sequences </w:t>
      </w:r>
      <w:r>
        <w:rPr>
          <w:rFonts w:hint="eastAsia" w:ascii="Times New Roman" w:hAnsi="Times New Roman" w:cs="Times New Roman"/>
          <w:b/>
          <w:bCs/>
        </w:rPr>
        <w:t>.</w:t>
      </w:r>
    </w:p>
    <w:p w14:paraId="06E51911">
      <w:pPr>
        <w:pStyle w:val="8"/>
        <w:rPr>
          <w:rFonts w:hint="eastAsia" w:eastAsia="宋体"/>
          <w:i w:val="0"/>
          <w:iCs/>
          <w:sz w:val="24"/>
          <w:szCs w:val="24"/>
          <w:lang w:val="en-US" w:eastAsia="zh-CN"/>
        </w:rPr>
      </w:pPr>
    </w:p>
    <w:p w14:paraId="3D5CFF34">
      <w:pPr>
        <w:pStyle w:val="8"/>
        <w:rPr>
          <w:rFonts w:hint="eastAsia" w:eastAsia="宋体"/>
          <w:i w:val="0"/>
          <w:iCs/>
          <w:sz w:val="24"/>
          <w:szCs w:val="24"/>
          <w:lang w:val="en-US" w:eastAsia="zh-CN"/>
        </w:rPr>
      </w:pPr>
    </w:p>
    <w:tbl>
      <w:tblPr>
        <w:tblStyle w:val="5"/>
        <w:tblW w:w="842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87"/>
        <w:gridCol w:w="3185"/>
        <w:gridCol w:w="2654"/>
      </w:tblGrid>
      <w:tr w14:paraId="6BB1D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2587" w:type="dxa"/>
            <w:tcBorders>
              <w:top w:val="single" w:color="auto" w:sz="4" w:space="0"/>
              <w:left w:val="nil"/>
              <w:bottom w:val="single" w:color="auto" w:sz="4" w:space="0"/>
              <w:right w:val="nil"/>
            </w:tcBorders>
            <w:shd w:val="clear" w:color="auto" w:fill="auto"/>
            <w:noWrap/>
            <w:vAlign w:val="center"/>
          </w:tcPr>
          <w:p w14:paraId="6D388C6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Name</w:t>
            </w:r>
          </w:p>
        </w:tc>
        <w:tc>
          <w:tcPr>
            <w:tcW w:w="3185" w:type="dxa"/>
            <w:tcBorders>
              <w:top w:val="single" w:color="auto" w:sz="4" w:space="0"/>
              <w:left w:val="nil"/>
              <w:bottom w:val="single" w:color="auto" w:sz="4" w:space="0"/>
              <w:right w:val="nil"/>
            </w:tcBorders>
            <w:shd w:val="clear" w:color="auto" w:fill="auto"/>
            <w:noWrap/>
            <w:vAlign w:val="center"/>
          </w:tcPr>
          <w:p w14:paraId="602D52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Brand</w:t>
            </w:r>
          </w:p>
        </w:tc>
        <w:tc>
          <w:tcPr>
            <w:tcW w:w="2654" w:type="dxa"/>
            <w:tcBorders>
              <w:top w:val="single" w:color="auto" w:sz="4" w:space="0"/>
              <w:left w:val="nil"/>
              <w:bottom w:val="single" w:color="auto" w:sz="4" w:space="0"/>
              <w:right w:val="nil"/>
            </w:tcBorders>
            <w:shd w:val="clear" w:color="auto" w:fill="auto"/>
            <w:noWrap/>
            <w:vAlign w:val="center"/>
          </w:tcPr>
          <w:p w14:paraId="7E8A2C1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Number</w:t>
            </w:r>
          </w:p>
        </w:tc>
      </w:tr>
      <w:tr w14:paraId="62F1B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2587" w:type="dxa"/>
            <w:tcBorders>
              <w:top w:val="nil"/>
              <w:left w:val="nil"/>
              <w:bottom w:val="nil"/>
              <w:right w:val="nil"/>
            </w:tcBorders>
            <w:shd w:val="clear" w:color="auto" w:fill="auto"/>
            <w:noWrap/>
            <w:vAlign w:val="center"/>
          </w:tcPr>
          <w:p w14:paraId="5AE5476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Regular" w:cs="Times New Roman"/>
                <w:i w:val="0"/>
                <w:iCs w:val="0"/>
                <w:color w:val="000000"/>
                <w:kern w:val="0"/>
                <w:sz w:val="22"/>
                <w:szCs w:val="22"/>
                <w:u w:val="none"/>
                <w:lang w:val="en-US" w:eastAsia="zh-CN" w:bidi="ar"/>
              </w:rPr>
            </w:pPr>
            <w:r>
              <w:rPr>
                <w:rFonts w:hint="default" w:ascii="Times New Roman" w:hAnsi="Times New Roman" w:eastAsia="Times New Roman Regular" w:cs="Times New Roman"/>
                <w:i w:val="0"/>
                <w:iCs w:val="0"/>
                <w:color w:val="000000"/>
                <w:kern w:val="0"/>
                <w:sz w:val="22"/>
                <w:szCs w:val="22"/>
                <w:u w:val="none"/>
                <w:lang w:val="en-US" w:eastAsia="zh-CN" w:bidi="ar"/>
              </w:rPr>
              <w:t>GAPDH</w:t>
            </w:r>
          </w:p>
        </w:tc>
        <w:tc>
          <w:tcPr>
            <w:tcW w:w="3185" w:type="dxa"/>
            <w:tcBorders>
              <w:top w:val="nil"/>
              <w:left w:val="nil"/>
              <w:bottom w:val="nil"/>
              <w:right w:val="nil"/>
            </w:tcBorders>
            <w:shd w:val="clear" w:color="auto" w:fill="auto"/>
            <w:noWrap/>
            <w:vAlign w:val="center"/>
          </w:tcPr>
          <w:p w14:paraId="60065EE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Abcam</w:t>
            </w:r>
          </w:p>
        </w:tc>
        <w:tc>
          <w:tcPr>
            <w:tcW w:w="2654" w:type="dxa"/>
            <w:tcBorders>
              <w:top w:val="nil"/>
              <w:left w:val="nil"/>
              <w:bottom w:val="nil"/>
              <w:right w:val="nil"/>
            </w:tcBorders>
            <w:shd w:val="clear" w:color="auto" w:fill="auto"/>
            <w:noWrap/>
            <w:vAlign w:val="center"/>
          </w:tcPr>
          <w:p w14:paraId="1D736AB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ab8245</w:t>
            </w:r>
          </w:p>
        </w:tc>
      </w:tr>
      <w:tr w14:paraId="49F0B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2587" w:type="dxa"/>
            <w:tcBorders>
              <w:top w:val="nil"/>
              <w:left w:val="nil"/>
              <w:bottom w:val="nil"/>
              <w:right w:val="nil"/>
            </w:tcBorders>
            <w:shd w:val="clear" w:color="auto" w:fill="auto"/>
            <w:noWrap/>
            <w:vAlign w:val="center"/>
          </w:tcPr>
          <w:p w14:paraId="7AC1E0F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Times New Roman Regular" w:cs="Times New Roman"/>
                <w:i w:val="0"/>
                <w:iCs w:val="0"/>
                <w:color w:val="000000"/>
                <w:kern w:val="0"/>
                <w:sz w:val="22"/>
                <w:szCs w:val="22"/>
                <w:u w:val="none"/>
                <w:lang w:val="en-US" w:eastAsia="zh-CN" w:bidi="ar"/>
              </w:rPr>
            </w:pPr>
            <w:r>
              <w:rPr>
                <w:rFonts w:hint="eastAsia" w:eastAsia="Times New Roman Regular" w:cs="Times New Roman"/>
                <w:i w:val="0"/>
                <w:iCs w:val="0"/>
                <w:color w:val="000000"/>
                <w:kern w:val="0"/>
                <w:sz w:val="22"/>
                <w:szCs w:val="22"/>
                <w:u w:val="none"/>
                <w:lang w:val="en-US" w:eastAsia="zh-CN" w:bidi="ar"/>
              </w:rPr>
              <w:t>p65</w:t>
            </w:r>
          </w:p>
        </w:tc>
        <w:tc>
          <w:tcPr>
            <w:tcW w:w="3185" w:type="dxa"/>
            <w:tcBorders>
              <w:top w:val="nil"/>
              <w:left w:val="nil"/>
              <w:bottom w:val="nil"/>
              <w:right w:val="nil"/>
            </w:tcBorders>
            <w:shd w:val="clear" w:color="auto" w:fill="auto"/>
            <w:noWrap/>
            <w:vAlign w:val="center"/>
          </w:tcPr>
          <w:p w14:paraId="13E8429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HUABIO</w:t>
            </w:r>
          </w:p>
        </w:tc>
        <w:tc>
          <w:tcPr>
            <w:tcW w:w="2654" w:type="dxa"/>
            <w:tcBorders>
              <w:top w:val="nil"/>
              <w:left w:val="nil"/>
              <w:bottom w:val="nil"/>
              <w:right w:val="nil"/>
            </w:tcBorders>
            <w:shd w:val="clear" w:color="auto" w:fill="auto"/>
            <w:noWrap/>
            <w:vAlign w:val="center"/>
          </w:tcPr>
          <w:p w14:paraId="484B2DD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ET1603-12</w:t>
            </w:r>
          </w:p>
        </w:tc>
      </w:tr>
      <w:tr w14:paraId="59E9B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2587" w:type="dxa"/>
            <w:tcBorders>
              <w:top w:val="nil"/>
              <w:left w:val="nil"/>
              <w:bottom w:val="nil"/>
              <w:right w:val="nil"/>
            </w:tcBorders>
            <w:shd w:val="clear" w:color="auto" w:fill="auto"/>
            <w:noWrap/>
            <w:vAlign w:val="center"/>
          </w:tcPr>
          <w:p w14:paraId="60674979">
            <w:pPr>
              <w:keepNext w:val="0"/>
              <w:keepLines w:val="0"/>
              <w:widowControl/>
              <w:numPr>
                <w:numId w:val="0"/>
              </w:numPr>
              <w:suppressLineNumbers w:val="0"/>
              <w:spacing w:before="0" w:beforeAutospacing="0" w:after="0" w:afterAutospacing="0"/>
              <w:ind w:right="0" w:rightChars="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p50</w:t>
            </w:r>
          </w:p>
        </w:tc>
        <w:tc>
          <w:tcPr>
            <w:tcW w:w="3185" w:type="dxa"/>
            <w:tcBorders>
              <w:top w:val="nil"/>
              <w:left w:val="nil"/>
              <w:bottom w:val="nil"/>
              <w:right w:val="nil"/>
            </w:tcBorders>
            <w:shd w:val="clear" w:color="auto" w:fill="auto"/>
            <w:noWrap/>
            <w:vAlign w:val="center"/>
          </w:tcPr>
          <w:p w14:paraId="3E5A089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HUABIO</w:t>
            </w:r>
          </w:p>
        </w:tc>
        <w:tc>
          <w:tcPr>
            <w:tcW w:w="2654" w:type="dxa"/>
            <w:tcBorders>
              <w:top w:val="nil"/>
              <w:left w:val="nil"/>
              <w:bottom w:val="nil"/>
              <w:right w:val="nil"/>
            </w:tcBorders>
            <w:shd w:val="clear" w:color="auto" w:fill="auto"/>
            <w:noWrap/>
            <w:vAlign w:val="center"/>
          </w:tcPr>
          <w:p w14:paraId="609AEC6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Times New Roman" w:hAnsi="Times New Roman" w:eastAsia="宋体"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ET1603-18</w:t>
            </w:r>
          </w:p>
        </w:tc>
      </w:tr>
      <w:tr w14:paraId="46E3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2587" w:type="dxa"/>
            <w:tcBorders>
              <w:top w:val="nil"/>
              <w:left w:val="nil"/>
              <w:bottom w:val="nil"/>
              <w:right w:val="nil"/>
            </w:tcBorders>
            <w:shd w:val="clear" w:color="auto" w:fill="auto"/>
            <w:noWrap/>
            <w:vAlign w:val="center"/>
          </w:tcPr>
          <w:p w14:paraId="66FDC8A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H3</w:t>
            </w:r>
          </w:p>
        </w:tc>
        <w:tc>
          <w:tcPr>
            <w:tcW w:w="3185" w:type="dxa"/>
            <w:tcBorders>
              <w:top w:val="nil"/>
              <w:left w:val="nil"/>
              <w:bottom w:val="nil"/>
              <w:right w:val="nil"/>
            </w:tcBorders>
            <w:shd w:val="clear" w:color="auto" w:fill="auto"/>
            <w:noWrap/>
            <w:vAlign w:val="center"/>
          </w:tcPr>
          <w:p w14:paraId="4D13277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HUABIO</w:t>
            </w:r>
          </w:p>
        </w:tc>
        <w:tc>
          <w:tcPr>
            <w:tcW w:w="2654" w:type="dxa"/>
            <w:tcBorders>
              <w:top w:val="nil"/>
              <w:left w:val="nil"/>
              <w:bottom w:val="nil"/>
              <w:right w:val="nil"/>
            </w:tcBorders>
            <w:shd w:val="clear" w:color="auto" w:fill="auto"/>
            <w:noWrap/>
            <w:vAlign w:val="center"/>
          </w:tcPr>
          <w:p w14:paraId="76AB3BC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ET1701-64</w:t>
            </w:r>
          </w:p>
        </w:tc>
      </w:tr>
    </w:tbl>
    <w:p w14:paraId="40836831">
      <w:pPr>
        <w:pStyle w:val="8"/>
        <w:rPr>
          <w:rFonts w:hint="default" w:ascii="Times New Roman" w:hAnsi="Times New Roman" w:eastAsia="宋体" w:cs="Times New Roman"/>
          <w:b/>
          <w:bCs w:val="0"/>
          <w:i w:val="0"/>
          <w:iCs/>
          <w:sz w:val="24"/>
          <w:szCs w:val="24"/>
          <w:lang w:val="en-US" w:eastAsia="zh-CN"/>
        </w:rPr>
      </w:pPr>
      <w:r>
        <w:rPr>
          <w:rFonts w:hint="eastAsia" w:cs="Times New Roman"/>
          <w:b/>
          <w:bCs w:val="0"/>
          <w:i w:val="0"/>
          <w:iCs/>
          <w:sz w:val="24"/>
          <w:szCs w:val="24"/>
          <w:lang w:val="en-US" w:eastAsia="zh-CN"/>
        </w:rPr>
        <w:t>Table</w:t>
      </w:r>
      <w:r>
        <w:rPr>
          <w:rFonts w:hint="default" w:ascii="Times New Roman" w:hAnsi="Times New Roman" w:cs="Times New Roman"/>
          <w:b/>
          <w:bCs w:val="0"/>
          <w:i w:val="0"/>
          <w:iCs/>
          <w:sz w:val="24"/>
          <w:szCs w:val="24"/>
          <w:lang w:val="en-US" w:eastAsia="zh-CN"/>
        </w:rPr>
        <w:t xml:space="preserve"> S2: The detail of antibody</w:t>
      </w:r>
    </w:p>
    <w:p w14:paraId="363E1082">
      <w:pPr>
        <w:pStyle w:val="8"/>
        <w:rPr>
          <w:rFonts w:hint="eastAsia" w:eastAsia="宋体"/>
          <w:i w:val="0"/>
          <w:iCs/>
          <w:sz w:val="24"/>
          <w:szCs w:val="24"/>
          <w:lang w:val="en-US" w:eastAsia="zh-CN"/>
        </w:rPr>
      </w:pPr>
    </w:p>
    <w:p w14:paraId="235099D6">
      <w:pPr>
        <w:pStyle w:val="8"/>
        <w:rPr>
          <w:rFonts w:hint="eastAsia" w:eastAsia="宋体"/>
          <w:i w:val="0"/>
          <w:iCs/>
          <w:sz w:val="24"/>
          <w:szCs w:val="24"/>
          <w:lang w:val="en-US" w:eastAsia="zh-CN"/>
        </w:rPr>
      </w:pPr>
    </w:p>
    <w:p w14:paraId="678CF7C8">
      <w:pPr>
        <w:pStyle w:val="8"/>
        <w:rPr>
          <w:rFonts w:hint="eastAsia" w:eastAsia="宋体"/>
          <w:i w:val="0"/>
          <w:iCs/>
          <w:sz w:val="24"/>
          <w:szCs w:val="24"/>
          <w:lang w:val="en-US" w:eastAsia="zh-CN"/>
        </w:rPr>
      </w:pPr>
      <w:r>
        <w:rPr>
          <w:rFonts w:hint="eastAsia" w:eastAsia="宋体"/>
          <w:i w:val="0"/>
          <w:iCs/>
          <w:sz w:val="24"/>
          <w:szCs w:val="24"/>
          <w:lang w:val="en-US" w:eastAsia="zh-CN"/>
        </w:rPr>
        <w:t>SUPPLEMENTARY METHODS</w:t>
      </w:r>
    </w:p>
    <w:p w14:paraId="74098F90">
      <w:pPr>
        <w:pStyle w:val="4"/>
        <w:rPr>
          <w:rFonts w:hint="eastAsia"/>
          <w:lang w:val="en-US" w:eastAsia="zh-CN"/>
        </w:rPr>
      </w:pPr>
    </w:p>
    <w:p w14:paraId="33AA4007">
      <w:pPr>
        <w:spacing w:line="360" w:lineRule="auto"/>
        <w:rPr>
          <w:rFonts w:ascii="Times New Roman" w:hAnsi="Times New Roman" w:cs="Times New Roman"/>
          <w:b/>
          <w:bCs/>
        </w:rPr>
      </w:pPr>
      <w:r>
        <w:rPr>
          <w:rFonts w:ascii="Times New Roman" w:hAnsi="Times New Roman" w:cs="Times New Roman"/>
          <w:b/>
          <w:bCs/>
        </w:rPr>
        <w:t>Data processing software</w:t>
      </w:r>
    </w:p>
    <w:p w14:paraId="5A633D8C">
      <w:pPr>
        <w:spacing w:line="360" w:lineRule="auto"/>
        <w:jc w:val="both"/>
        <w:rPr>
          <w:rFonts w:hint="default" w:ascii="Times New Roman" w:hAnsi="Times New Roman" w:cs="Times New Roman"/>
          <w:sz w:val="32"/>
          <w:szCs w:val="32"/>
          <w:lang w:val="en-US" w:eastAsia="zh-CN"/>
        </w:rPr>
      </w:pPr>
      <w:r>
        <w:rPr>
          <w:rFonts w:ascii="Times New Roman" w:hAnsi="Times New Roman" w:cs="Times New Roman"/>
        </w:rPr>
        <w:t xml:space="preserve">The Flow chart shown in the </w:t>
      </w:r>
      <w:r>
        <w:rPr>
          <w:rFonts w:hint="eastAsia" w:ascii="Times New Roman" w:hAnsi="Times New Roman" w:cs="Times New Roman"/>
        </w:rPr>
        <w:t>Supplementary Figure 1</w:t>
      </w:r>
      <w:r>
        <w:rPr>
          <w:rFonts w:ascii="Times New Roman" w:hAnsi="Times New Roman" w:cs="Times New Roman"/>
        </w:rPr>
        <w:t xml:space="preserve">. R version </w:t>
      </w: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0</w:t>
      </w:r>
      <w:r>
        <w:rPr>
          <w:rFonts w:ascii="Times New Roman" w:hAnsi="Times New Roman" w:cs="Times New Roman"/>
        </w:rPr>
        <w:t xml:space="preserve"> (Action of the Toes) with Strawberry Perl version-5.</w:t>
      </w:r>
      <w:r>
        <w:rPr>
          <w:rFonts w:hint="eastAsia" w:ascii="Times New Roman" w:hAnsi="Times New Roman" w:cs="Times New Roman"/>
        </w:rPr>
        <w:t>30</w:t>
      </w:r>
      <w:r>
        <w:rPr>
          <w:rFonts w:ascii="Times New Roman" w:hAnsi="Times New Roman" w:cs="Times New Roman"/>
        </w:rPr>
        <w:t>.</w:t>
      </w:r>
      <w:r>
        <w:rPr>
          <w:rFonts w:hint="eastAsia" w:ascii="Times New Roman" w:hAnsi="Times New Roman" w:cs="Times New Roman"/>
        </w:rPr>
        <w:t>0</w:t>
      </w:r>
      <w:r>
        <w:rPr>
          <w:rFonts w:ascii="Times New Roman" w:hAnsi="Times New Roman" w:cs="Times New Roman"/>
        </w:rPr>
        <w:t xml:space="preserve"> (64-bit) (URL: https://www.perl.org/) was used in this study. All R packages were sourced from public websites and downloaded from Bioconductor (URL: http://www.bioconductor.org/). All statistical and data processing software is open source and can be downloaded at the URL provided above. </w:t>
      </w:r>
    </w:p>
    <w:p w14:paraId="2DAEB0ED">
      <w:pPr>
        <w:spacing w:line="360" w:lineRule="auto"/>
        <w:rPr>
          <w:rFonts w:ascii="Times New Roman" w:hAnsi="Times New Roman" w:cs="Times New Roman"/>
          <w:b/>
          <w:bCs/>
          <w:lang w:eastAsia="zh-Hans"/>
        </w:rPr>
      </w:pPr>
      <w:r>
        <w:rPr>
          <w:rFonts w:ascii="Times New Roman" w:hAnsi="Times New Roman" w:cs="Times New Roman"/>
          <w:b/>
          <w:bCs/>
          <w:lang w:eastAsia="zh-Hans"/>
        </w:rPr>
        <w:t>Identification of mRNAs with differential expression</w:t>
      </w:r>
    </w:p>
    <w:p w14:paraId="52E54832">
      <w:pPr>
        <w:spacing w:line="360" w:lineRule="auto"/>
        <w:jc w:val="both"/>
        <w:rPr>
          <w:rFonts w:ascii="Times New Roman" w:hAnsi="Times New Roman" w:cs="Times New Roman"/>
        </w:rPr>
      </w:pPr>
      <w:r>
        <w:rPr>
          <w:rFonts w:ascii="Times New Roman" w:hAnsi="Times New Roman" w:cs="Times New Roman"/>
        </w:rPr>
        <w:t>EDGER R package (</w:t>
      </w:r>
      <w:r>
        <w:fldChar w:fldCharType="begin"/>
      </w:r>
      <w:r>
        <w:instrText xml:space="preserve"> HYPERLINK "http://bioconductor.org/package/EDGER/" </w:instrText>
      </w:r>
      <w:r>
        <w:fldChar w:fldCharType="separate"/>
      </w:r>
      <w:r>
        <w:rPr>
          <w:rStyle w:val="7"/>
          <w:rFonts w:ascii="Times New Roman" w:hAnsi="Times New Roman" w:cs="Times New Roman"/>
        </w:rPr>
        <w:t>http://bioconductor.org/package/EDGER/</w:t>
      </w:r>
      <w:r>
        <w:rPr>
          <w:rStyle w:val="7"/>
          <w:rFonts w:ascii="Times New Roman" w:hAnsi="Times New Roman" w:cs="Times New Roman"/>
        </w:rPr>
        <w:fldChar w:fldCharType="end"/>
      </w:r>
      <w:r>
        <w:rPr>
          <w:rFonts w:ascii="Times New Roman" w:hAnsi="Times New Roman" w:cs="Times New Roman"/>
        </w:rPr>
        <w:t>) was</w:t>
      </w:r>
      <w:r>
        <w:rPr>
          <w:rFonts w:hint="eastAsia" w:ascii="Times New Roman" w:hAnsi="Times New Roman" w:cs="Times New Roman"/>
          <w:lang w:val="en-US" w:eastAsia="zh-CN"/>
        </w:rPr>
        <w:t>applied</w:t>
      </w:r>
      <w:r>
        <w:rPr>
          <w:rFonts w:ascii="Times New Roman" w:hAnsi="Times New Roman" w:cs="Times New Roman"/>
        </w:rPr>
        <w:t xml:space="preserve"> to screen the differential expressed </w:t>
      </w:r>
      <w:r>
        <w:rPr>
          <w:rFonts w:hint="eastAsia" w:ascii="Times New Roman" w:hAnsi="Times New Roman" w:cs="Times New Roman"/>
        </w:rPr>
        <w:t>genes</w:t>
      </w:r>
      <w:r>
        <w:rPr>
          <w:rFonts w:hint="eastAsia" w:ascii="Times New Roman" w:hAnsi="Times New Roman" w:cs="Times New Roman"/>
          <w:lang w:val="en-US" w:eastAsia="zh-CN"/>
        </w:rPr>
        <w:t xml:space="preserve"> (DEGs)</w:t>
      </w:r>
      <w:r>
        <w:rPr>
          <w:rFonts w:ascii="Times New Roman" w:hAnsi="Times New Roman" w:cs="Times New Roman"/>
        </w:rPr>
        <w:t xml:space="preserve"> between normal and </w:t>
      </w:r>
      <w:r>
        <w:rPr>
          <w:rFonts w:hint="eastAsia" w:ascii="Times New Roman" w:hAnsi="Times New Roman" w:cs="Times New Roman"/>
        </w:rPr>
        <w:t>tumor</w:t>
      </w:r>
      <w:r>
        <w:rPr>
          <w:rFonts w:ascii="Times New Roman" w:hAnsi="Times New Roman" w:cs="Times New Roman"/>
        </w:rPr>
        <w:t xml:space="preserve"> </w:t>
      </w:r>
      <w:r>
        <w:rPr>
          <w:rFonts w:hint="eastAsia" w:ascii="Times New Roman" w:hAnsi="Times New Roman" w:cs="Times New Roman"/>
        </w:rPr>
        <w:t>samples</w:t>
      </w:r>
      <w:r>
        <w:rPr>
          <w:rFonts w:ascii="Times New Roman" w:hAnsi="Times New Roman" w:cs="Times New Roman"/>
        </w:rPr>
        <w:t xml:space="preserve"> in the TCGA-</w:t>
      </w:r>
      <w:r>
        <w:rPr>
          <w:rFonts w:hint="eastAsia" w:ascii="Times New Roman" w:hAnsi="Times New Roman" w:cs="Times New Roman"/>
          <w:lang w:eastAsia="zh-CN"/>
        </w:rPr>
        <w:t>BCa</w:t>
      </w:r>
      <w:r>
        <w:rPr>
          <w:rFonts w:ascii="Times New Roman" w:hAnsi="Times New Roman" w:cs="Times New Roman"/>
        </w:rPr>
        <w:t xml:space="preserve"> as well as between MIBC and NMIBC samples from our center.</w:t>
      </w:r>
      <w:r>
        <w:t xml:space="preserve"> </w:t>
      </w:r>
      <w:r>
        <w:rPr>
          <w:rFonts w:ascii="Times New Roman" w:hAnsi="Times New Roman" w:cs="Times New Roman"/>
        </w:rPr>
        <w:t>After normalization of the raw data, the differences</w:t>
      </w:r>
      <w:r>
        <w:rPr>
          <w:rFonts w:hint="eastAsia" w:ascii="Times New Roman" w:hAnsi="Times New Roman" w:cs="Times New Roman"/>
        </w:rPr>
        <w:t xml:space="preserve"> of genes expression</w:t>
      </w:r>
      <w:r>
        <w:rPr>
          <w:rFonts w:ascii="Times New Roman" w:hAnsi="Times New Roman" w:cs="Times New Roman"/>
        </w:rPr>
        <w:t xml:space="preserve"> between</w:t>
      </w:r>
      <w:r>
        <w:rPr>
          <w:rFonts w:hint="eastAsia" w:ascii="Times New Roman" w:hAnsi="Times New Roman" w:cs="Times New Roman"/>
        </w:rPr>
        <w:t xml:space="preserve"> two types of samples</w:t>
      </w:r>
      <w:r>
        <w:rPr>
          <w:rFonts w:ascii="Times New Roman" w:hAnsi="Times New Roman" w:cs="Times New Roman"/>
        </w:rPr>
        <w:t xml:space="preserve"> were analyzed with false discovery rate (FDR) &lt; 0.01 and</w:t>
      </w:r>
      <w:r>
        <w:rPr>
          <w:rFonts w:hint="eastAsia" w:ascii="Times New Roman" w:hAnsi="Times New Roman" w:cs="Times New Roman"/>
        </w:rPr>
        <w:t xml:space="preserve"> </w:t>
      </w:r>
      <w:r>
        <w:rPr>
          <w:rFonts w:ascii="Times New Roman" w:hAnsi="Times New Roman" w:cs="Times New Roman"/>
        </w:rPr>
        <w:t>log2 |fold change| &gt; 1.</w:t>
      </w:r>
      <w:r>
        <w:t xml:space="preserve"> </w:t>
      </w:r>
      <w:r>
        <w:rPr>
          <w:rFonts w:ascii="Times New Roman" w:hAnsi="Times New Roman" w:cs="Times New Roman"/>
        </w:rPr>
        <w:t xml:space="preserve">Prognosis-related genes were selected </w:t>
      </w:r>
      <w:r>
        <w:rPr>
          <w:rFonts w:hint="eastAsia" w:ascii="Times New Roman" w:hAnsi="Times New Roman" w:cs="Times New Roman"/>
          <w:lang w:val="en-US" w:eastAsia="zh-CN"/>
        </w:rPr>
        <w:t>according to</w:t>
      </w:r>
      <w:r>
        <w:rPr>
          <w:rFonts w:ascii="Times New Roman" w:hAnsi="Times New Roman" w:cs="Times New Roman"/>
        </w:rPr>
        <w:t xml:space="preserve"> tumor invasiveness (NMIBC </w:t>
      </w:r>
      <w:r>
        <w:rPr>
          <w:rFonts w:hint="eastAsia" w:ascii="Times New Roman" w:hAnsi="Times New Roman" w:cs="Times New Roman"/>
          <w:lang w:val="en-US" w:eastAsia="zh-CN"/>
        </w:rPr>
        <w:t>vs.</w:t>
      </w:r>
      <w:r>
        <w:rPr>
          <w:rFonts w:ascii="Times New Roman" w:hAnsi="Times New Roman" w:cs="Times New Roman"/>
        </w:rPr>
        <w:t xml:space="preserve"> MIBC) and RE-related genes via Venn diagram.</w:t>
      </w:r>
    </w:p>
    <w:p w14:paraId="2A3A2610">
      <w:pPr>
        <w:spacing w:line="360" w:lineRule="auto"/>
        <w:rPr>
          <w:rFonts w:ascii="Times New Roman" w:hAnsi="Times New Roman" w:cs="Times New Roman"/>
          <w:b/>
          <w:bCs/>
        </w:rPr>
      </w:pPr>
      <w:r>
        <w:rPr>
          <w:rFonts w:ascii="Times New Roman" w:hAnsi="Times New Roman" w:cs="Times New Roman"/>
          <w:b/>
          <w:bCs/>
        </w:rPr>
        <w:t>Weighted gene co-expression network approach (WGCNA)</w:t>
      </w:r>
    </w:p>
    <w:p w14:paraId="37C4C334">
      <w:pPr>
        <w:spacing w:line="360" w:lineRule="auto"/>
        <w:jc w:val="both"/>
        <w:rPr>
          <w:rFonts w:ascii="Times New Roman" w:hAnsi="Times New Roman" w:cs="Times New Roman"/>
        </w:rPr>
      </w:pPr>
      <w:r>
        <w:rPr>
          <w:rFonts w:hint="eastAsia" w:ascii="Times New Roman" w:hAnsi="Times New Roman" w:cs="Times New Roman"/>
          <w:lang w:val="en-US" w:eastAsia="zh-CN"/>
        </w:rPr>
        <w:t>Based on</w:t>
      </w:r>
      <w:r>
        <w:rPr>
          <w:rFonts w:ascii="Times New Roman" w:hAnsi="Times New Roman" w:cs="Times New Roman"/>
        </w:rPr>
        <w:t xml:space="preserve"> the "WGCNA" R package v1.6</w:t>
      </w:r>
      <w:r>
        <w:rPr>
          <w:rFonts w:hint="eastAsia" w:ascii="Times New Roman" w:hAnsi="Times New Roman" w:cs="Times New Roman"/>
        </w:rPr>
        <w:t>7</w:t>
      </w:r>
      <w:r>
        <w:rPr>
          <w:rFonts w:ascii="Times New Roman" w:hAnsi="Times New Roman" w:cs="Times New Roman"/>
        </w:rPr>
        <w:t>, gene co-expression networks were constructed based on the Basal/Luminal grouping</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I</w:t>
      </w:r>
      <w:r>
        <w:rPr>
          <w:rFonts w:ascii="Times New Roman" w:hAnsi="Times New Roman" w:cs="Times New Roman"/>
        </w:rPr>
        <w:t>mmune s</w:t>
      </w:r>
      <w:r>
        <w:rPr>
          <w:rFonts w:hint="eastAsia" w:ascii="Times New Roman" w:hAnsi="Times New Roman" w:cs="Times New Roman"/>
        </w:rPr>
        <w:t>core</w:t>
      </w:r>
      <w:r>
        <w:rPr>
          <w:rFonts w:ascii="Times New Roman" w:hAnsi="Times New Roman" w:cs="Times New Roman"/>
        </w:rPr>
        <w:t xml:space="preserve">, </w:t>
      </w:r>
      <w:r>
        <w:rPr>
          <w:rFonts w:hint="eastAsia" w:ascii="Times New Roman" w:hAnsi="Times New Roman" w:cs="Times New Roman"/>
        </w:rPr>
        <w:t>and</w:t>
      </w:r>
      <w:r>
        <w:rPr>
          <w:rFonts w:ascii="Times New Roman" w:hAnsi="Times New Roman" w:cs="Times New Roman"/>
        </w:rPr>
        <w:t xml:space="preserve"> T-stage. First, </w:t>
      </w:r>
      <w:r>
        <w:rPr>
          <w:rFonts w:hint="eastAsia" w:ascii="Times New Roman" w:hAnsi="Times New Roman" w:cs="Times New Roman"/>
        </w:rPr>
        <w:t>To calculate Pearson correlation coefficients, all paired genes with similar co-expression were compared on the basis of their co-expression importance</w:t>
      </w:r>
      <w:r>
        <w:rPr>
          <w:rFonts w:ascii="Times New Roman" w:hAnsi="Times New Roman" w:cs="Times New Roman"/>
        </w:rPr>
        <w:t xml:space="preserve">. </w:t>
      </w:r>
      <w:r>
        <w:rPr>
          <w:rFonts w:hint="eastAsia" w:ascii="Times New Roman" w:hAnsi="Times New Roman" w:cs="Times New Roman"/>
          <w:lang w:val="en-US" w:eastAsia="zh-CN"/>
        </w:rPr>
        <w:t xml:space="preserve">The </w:t>
      </w:r>
      <w:r>
        <w:rPr>
          <w:rFonts w:ascii="Times New Roman" w:hAnsi="Times New Roman" w:cs="Times New Roman"/>
        </w:rPr>
        <w:t>appropriate β value</w:t>
      </w:r>
      <w:r>
        <w:rPr>
          <w:rFonts w:hint="eastAsia" w:ascii="Times New Roman" w:hAnsi="Times New Roman" w:cs="Times New Roman"/>
          <w:lang w:val="en-US" w:eastAsia="zh-CN"/>
        </w:rPr>
        <w:t xml:space="preserve">(0.9) was chosen </w:t>
      </w:r>
      <w:r>
        <w:rPr>
          <w:rFonts w:ascii="Times New Roman" w:hAnsi="Times New Roman" w:cs="Times New Roman"/>
        </w:rPr>
        <w:t xml:space="preserve">to </w:t>
      </w:r>
      <w:r>
        <w:rPr>
          <w:rFonts w:hint="eastAsia" w:ascii="Times New Roman" w:hAnsi="Times New Roman" w:cs="Times New Roman"/>
        </w:rPr>
        <w:t>establish</w:t>
      </w:r>
      <w:r>
        <w:rPr>
          <w:rFonts w:ascii="Times New Roman" w:hAnsi="Times New Roman" w:cs="Times New Roman"/>
        </w:rPr>
        <w:t xml:space="preserve"> </w:t>
      </w:r>
      <w:r>
        <w:rPr>
          <w:rFonts w:hint="eastAsia" w:ascii="Times New Roman" w:hAnsi="Times New Roman" w:cs="Times New Roman"/>
        </w:rPr>
        <w:t>the</w:t>
      </w:r>
      <w:r>
        <w:rPr>
          <w:rFonts w:ascii="Times New Roman" w:hAnsi="Times New Roman" w:cs="Times New Roman"/>
        </w:rPr>
        <w:t xml:space="preserve"> scale-free network. </w:t>
      </w:r>
      <w:r>
        <w:rPr>
          <w:rFonts w:hint="eastAsia" w:ascii="Times New Roman" w:hAnsi="Times New Roman" w:cs="Times New Roman"/>
        </w:rPr>
        <w:t>After this, a topological overlap matrix (TOM) was generated, which measures how well networks are connected</w:t>
      </w:r>
      <w:r>
        <w:rPr>
          <w:rFonts w:ascii="Times New Roman" w:hAnsi="Times New Roman" w:cs="Times New Roman"/>
        </w:rPr>
        <w:t xml:space="preserve">. </w:t>
      </w:r>
      <w:r>
        <w:rPr>
          <w:rFonts w:hint="eastAsia" w:ascii="Times New Roman" w:hAnsi="Times New Roman" w:cs="Times New Roman"/>
        </w:rPr>
        <w:t>An estimated gene dendrogram was created, similar modules</w:t>
      </w:r>
      <w:r>
        <w:rPr>
          <w:rFonts w:hint="eastAsia" w:ascii="Times New Roman" w:hAnsi="Times New Roman" w:cs="Times New Roman"/>
          <w:lang w:val="en-US" w:eastAsia="zh-CN"/>
        </w:rPr>
        <w:t xml:space="preserve"> with with </w:t>
      </w:r>
      <w:r>
        <w:rPr>
          <w:rFonts w:hint="eastAsia" w:ascii="Times New Roman" w:hAnsi="Times New Roman" w:cs="Times New Roman"/>
        </w:rPr>
        <w:t>correlation</w:t>
      </w:r>
      <w:r>
        <w:rPr>
          <w:rFonts w:hint="eastAsia" w:ascii="Times New Roman" w:hAnsi="Times New Roman" w:cs="Times New Roman"/>
          <w:lang w:val="en-US" w:eastAsia="zh-CN"/>
        </w:rPr>
        <w:t xml:space="preserve">s &gt;0.7 were </w:t>
      </w:r>
      <w:r>
        <w:rPr>
          <w:rFonts w:hint="eastAsia" w:ascii="Times New Roman" w:hAnsi="Times New Roman" w:cs="Times New Roman"/>
        </w:rPr>
        <w:t>ombined</w:t>
      </w:r>
      <w:r>
        <w:rPr>
          <w:rFonts w:hint="eastAsia" w:ascii="Times New Roman" w:hAnsi="Times New Roman" w:cs="Times New Roman"/>
          <w:lang w:val="en-US" w:eastAsia="zh-CN"/>
        </w:rPr>
        <w:t>.</w:t>
      </w:r>
      <w:r>
        <w:rPr>
          <w:rFonts w:ascii="Times New Roman" w:hAnsi="Times New Roman" w:cs="Times New Roman"/>
        </w:rPr>
        <w:t xml:space="preserve"> </w:t>
      </w:r>
      <w:r>
        <w:rPr>
          <w:rFonts w:hint="eastAsia" w:ascii="Times New Roman" w:hAnsi="Times New Roman" w:cs="Times New Roman"/>
        </w:rPr>
        <w:t>As a last step, the TOM's difference measure</w:t>
      </w:r>
      <w:r>
        <w:rPr>
          <w:rFonts w:hint="eastAsia" w:ascii="Times New Roman" w:hAnsi="Times New Roman" w:cs="Times New Roman"/>
          <w:lang w:val="en-US" w:eastAsia="zh-CN"/>
        </w:rPr>
        <w:t xml:space="preserve"> was performed to </w:t>
      </w:r>
      <w:r>
        <w:rPr>
          <w:rFonts w:hint="eastAsia" w:ascii="Times New Roman" w:hAnsi="Times New Roman" w:cs="Times New Roman"/>
        </w:rPr>
        <w:t>group</w:t>
      </w:r>
      <w:r>
        <w:rPr>
          <w:rFonts w:hint="eastAsia" w:ascii="Times New Roman" w:hAnsi="Times New Roman" w:cs="Times New Roman"/>
          <w:lang w:val="en-US" w:eastAsia="zh-CN"/>
        </w:rPr>
        <w:t xml:space="preserve"> </w:t>
      </w:r>
      <w:r>
        <w:rPr>
          <w:rFonts w:hint="eastAsia" w:ascii="Times New Roman" w:hAnsi="Times New Roman" w:cs="Times New Roman"/>
        </w:rPr>
        <w:t>gene</w:t>
      </w:r>
      <w:r>
        <w:rPr>
          <w:rFonts w:hint="eastAsia" w:ascii="Times New Roman" w:hAnsi="Times New Roman" w:cs="Times New Roman"/>
          <w:lang w:val="en-US" w:eastAsia="zh-CN"/>
        </w:rPr>
        <w:t xml:space="preserve">s that have </w:t>
      </w:r>
      <w:r>
        <w:rPr>
          <w:rFonts w:hint="eastAsia" w:ascii="Times New Roman" w:hAnsi="Times New Roman" w:cs="Times New Roman"/>
        </w:rPr>
        <w:t>similar expression profiles</w:t>
      </w:r>
      <w:r>
        <w:rPr>
          <w:rFonts w:hint="eastAsia" w:ascii="Times New Roman" w:hAnsi="Times New Roman" w:cs="Times New Roman"/>
          <w:lang w:val="en-US" w:eastAsia="zh-CN"/>
        </w:rPr>
        <w:t xml:space="preserve"> into</w:t>
      </w:r>
      <w:r>
        <w:rPr>
          <w:rFonts w:hint="eastAsia" w:ascii="Times New Roman" w:hAnsi="Times New Roman" w:cs="Times New Roman"/>
        </w:rPr>
        <w:t xml:space="preserve"> modules</w:t>
      </w:r>
      <w:r>
        <w:rPr>
          <w:rFonts w:ascii="Times New Roman" w:hAnsi="Times New Roman" w:cs="Times New Roman"/>
        </w:rPr>
        <w:t xml:space="preserve">. </w:t>
      </w:r>
      <w:r>
        <w:rPr>
          <w:rFonts w:hint="eastAsia" w:ascii="Times New Roman" w:hAnsi="Times New Roman" w:cs="Times New Roman"/>
        </w:rPr>
        <w:t>Module eigengenes (ME) constitute the expression pattern of all genes</w:t>
      </w:r>
      <w:r>
        <w:rPr>
          <w:rFonts w:ascii="Times New Roman" w:hAnsi="Times New Roman" w:cs="Times New Roman"/>
        </w:rPr>
        <w:t>. The module with the highest association with three indicators (P&lt;0.05) was selected for further analysis.</w:t>
      </w:r>
    </w:p>
    <w:p w14:paraId="45110C01">
      <w:pPr>
        <w:spacing w:line="360" w:lineRule="auto"/>
        <w:rPr>
          <w:rFonts w:ascii="Times New Roman" w:hAnsi="Times New Roman" w:cs="Times New Roman"/>
          <w:b/>
          <w:bCs/>
        </w:rPr>
      </w:pPr>
      <w:r>
        <w:rPr>
          <w:rFonts w:ascii="Times New Roman" w:hAnsi="Times New Roman" w:cs="Times New Roman"/>
          <w:b/>
          <w:bCs/>
        </w:rPr>
        <w:t>Enrichment Analysis</w:t>
      </w:r>
    </w:p>
    <w:p w14:paraId="5831246B">
      <w:pPr>
        <w:spacing w:line="360" w:lineRule="auto"/>
        <w:jc w:val="both"/>
        <w:rPr>
          <w:rFonts w:ascii="Times New Roman" w:hAnsi="Times New Roman" w:cs="Times New Roman"/>
          <w:b/>
          <w:bCs/>
        </w:rPr>
      </w:pPr>
      <w:r>
        <w:rPr>
          <w:rFonts w:ascii="Times New Roman" w:hAnsi="Times New Roman" w:cs="Times New Roman"/>
        </w:rPr>
        <w:t xml:space="preserve">Biological pathways between clusters were </w:t>
      </w:r>
      <w:r>
        <w:rPr>
          <w:rFonts w:hint="eastAsia" w:ascii="Times New Roman" w:hAnsi="Times New Roman" w:cs="Times New Roman"/>
          <w:lang w:val="en-US" w:eastAsia="zh-CN"/>
        </w:rPr>
        <w:t>explored</w:t>
      </w:r>
      <w:r>
        <w:rPr>
          <w:rFonts w:ascii="Times New Roman" w:hAnsi="Times New Roman" w:cs="Times New Roman"/>
        </w:rPr>
        <w:t xml:space="preserve"> by gene set variation analysis (GSVA). GO (Gene Ontology) describes biological processes</w:t>
      </w:r>
      <w:r>
        <w:rPr>
          <w:rFonts w:hint="eastAsia" w:ascii="Times New Roman" w:hAnsi="Times New Roman" w:cs="Times New Roman"/>
          <w:lang w:val="en-US" w:eastAsia="zh-CN"/>
        </w:rPr>
        <w:t>(BP)</w:t>
      </w:r>
      <w:r>
        <w:rPr>
          <w:rFonts w:ascii="Times New Roman" w:hAnsi="Times New Roman" w:cs="Times New Roman"/>
        </w:rPr>
        <w:t>,</w:t>
      </w:r>
      <w:r>
        <w:rPr>
          <w:rFonts w:hint="eastAsia" w:ascii="Times New Roman" w:hAnsi="Times New Roman" w:cs="Times New Roman"/>
          <w:lang w:val="en-US" w:eastAsia="zh-CN"/>
        </w:rPr>
        <w:t xml:space="preserve"> </w:t>
      </w:r>
      <w:r>
        <w:rPr>
          <w:rFonts w:ascii="Times New Roman" w:hAnsi="Times New Roman" w:cs="Times New Roman"/>
        </w:rPr>
        <w:t>molecular functions</w:t>
      </w:r>
      <w:r>
        <w:rPr>
          <w:rFonts w:hint="eastAsia" w:ascii="Times New Roman" w:hAnsi="Times New Roman" w:cs="Times New Roman"/>
          <w:lang w:val="en-US" w:eastAsia="zh-CN"/>
        </w:rPr>
        <w:t>(MF)</w:t>
      </w:r>
      <w:r>
        <w:rPr>
          <w:rFonts w:ascii="Times New Roman" w:hAnsi="Times New Roman" w:cs="Times New Roman"/>
        </w:rPr>
        <w:t>,  and cellular components</w:t>
      </w:r>
      <w:r>
        <w:rPr>
          <w:rFonts w:hint="eastAsia" w:ascii="Times New Roman" w:hAnsi="Times New Roman" w:cs="Times New Roman"/>
          <w:lang w:val="en-US" w:eastAsia="zh-CN"/>
        </w:rPr>
        <w:t>(CC)</w:t>
      </w:r>
      <w:r>
        <w:rPr>
          <w:rFonts w:ascii="Times New Roman" w:hAnsi="Times New Roman" w:cs="Times New Roman"/>
        </w:rPr>
        <w:t xml:space="preserve"> of genes The Kyoto Encyclopedia of Genes and Genomes (KEGG) were used to annotate </w:t>
      </w:r>
      <w:r>
        <w:rPr>
          <w:rFonts w:hint="eastAsia" w:ascii="Times New Roman" w:hAnsi="Times New Roman" w:cs="Times New Roman"/>
        </w:rPr>
        <w:t>involved</w:t>
      </w:r>
      <w:r>
        <w:rPr>
          <w:rFonts w:ascii="Times New Roman" w:hAnsi="Times New Roman" w:cs="Times New Roman"/>
        </w:rPr>
        <w:t xml:space="preserve"> pathways. </w:t>
      </w:r>
      <w:r>
        <w:rPr>
          <w:rFonts w:hint="eastAsia" w:ascii="Times New Roman" w:hAnsi="Times New Roman" w:cs="Times New Roman"/>
        </w:rPr>
        <w:t>Furthermore, the FDR threshold (0.05) was applied to c5.cp.kegg.v5.</w:t>
      </w:r>
      <w:r>
        <w:rPr>
          <w:rFonts w:hint="eastAsia" w:ascii="Times New Roman" w:hAnsi="Times New Roman" w:cs="Times New Roman"/>
          <w:lang w:val="en-US" w:eastAsia="zh-CN"/>
        </w:rPr>
        <w:t>2</w:t>
      </w:r>
      <w:r>
        <w:rPr>
          <w:rFonts w:hint="eastAsia" w:ascii="Times New Roman" w:hAnsi="Times New Roman" w:cs="Times New Roman"/>
        </w:rPr>
        <w:t>.symbols.gmt, which is the reference gene set.</w:t>
      </w:r>
    </w:p>
    <w:p w14:paraId="5B5ADB16">
      <w:pPr>
        <w:pStyle w:val="9"/>
        <w:spacing w:line="360" w:lineRule="auto"/>
        <w:jc w:val="both"/>
        <w:rPr>
          <w:rFonts w:ascii="Times New Roman" w:hAnsi="Times New Roman"/>
          <w:b/>
          <w:bCs/>
          <w:szCs w:val="24"/>
        </w:rPr>
      </w:pPr>
      <w:r>
        <w:rPr>
          <w:rFonts w:hint="eastAsia" w:ascii="Times New Roman" w:hAnsi="Times New Roman"/>
          <w:b/>
          <w:bCs/>
          <w:szCs w:val="24"/>
        </w:rPr>
        <w:t>Construction of Nomogram</w:t>
      </w:r>
    </w:p>
    <w:p w14:paraId="6B89C366">
      <w:pPr>
        <w:pStyle w:val="9"/>
        <w:spacing w:line="360" w:lineRule="auto"/>
        <w:jc w:val="both"/>
        <w:rPr>
          <w:rFonts w:hint="eastAsia" w:ascii="Times New Roman" w:hAnsi="Times New Roman"/>
          <w:szCs w:val="24"/>
        </w:rPr>
      </w:pPr>
      <w:r>
        <w:rPr>
          <w:rFonts w:hint="eastAsia" w:ascii="Times New Roman" w:hAnsi="Times New Roman"/>
          <w:szCs w:val="24"/>
          <w:lang w:val="en-US" w:eastAsia="zh-CN"/>
        </w:rPr>
        <w:t>To</w:t>
      </w:r>
      <w:r>
        <w:rPr>
          <w:rFonts w:hint="eastAsia" w:ascii="Times New Roman" w:hAnsi="Times New Roman"/>
          <w:szCs w:val="24"/>
        </w:rPr>
        <w:t xml:space="preserve"> predict </w:t>
      </w:r>
      <w:r>
        <w:rPr>
          <w:rFonts w:hint="eastAsia" w:ascii="Times New Roman" w:hAnsi="Times New Roman"/>
          <w:szCs w:val="24"/>
          <w:lang w:val="en-US" w:eastAsia="zh-CN"/>
        </w:rPr>
        <w:t>BCa patients</w:t>
      </w:r>
      <w:r>
        <w:rPr>
          <w:rFonts w:hint="default" w:ascii="Times New Roman" w:hAnsi="Times New Roman"/>
          <w:szCs w:val="24"/>
          <w:lang w:val="en-US" w:eastAsia="zh-CN"/>
        </w:rPr>
        <w:t>’</w:t>
      </w:r>
      <w:r>
        <w:rPr>
          <w:rFonts w:hint="eastAsia" w:ascii="Times New Roman" w:hAnsi="Times New Roman"/>
          <w:szCs w:val="24"/>
          <w:lang w:val="en-US" w:eastAsia="zh-CN"/>
        </w:rPr>
        <w:t xml:space="preserve"> prognoses</w:t>
      </w:r>
      <w:r>
        <w:rPr>
          <w:rFonts w:hint="eastAsia" w:ascii="Times New Roman" w:hAnsi="Times New Roman"/>
          <w:szCs w:val="24"/>
        </w:rPr>
        <w:t xml:space="preserve"> based on RE score and other </w:t>
      </w:r>
      <w:r>
        <w:rPr>
          <w:rFonts w:hint="eastAsia" w:ascii="Times New Roman" w:hAnsi="Times New Roman"/>
          <w:szCs w:val="24"/>
          <w:lang w:val="en-US" w:eastAsia="zh-CN"/>
        </w:rPr>
        <w:t>clinical factors</w:t>
      </w:r>
      <w:r>
        <w:rPr>
          <w:rFonts w:hint="eastAsia" w:ascii="Times New Roman" w:hAnsi="Times New Roman"/>
          <w:szCs w:val="24"/>
        </w:rPr>
        <w:t>, univariate and multivariate Cox regression analyses were performed</w:t>
      </w:r>
      <w:r>
        <w:rPr>
          <w:rFonts w:ascii="Times New Roman" w:hAnsi="Times New Roman"/>
          <w:szCs w:val="24"/>
        </w:rPr>
        <w:t xml:space="preserve">. </w:t>
      </w:r>
      <w:r>
        <w:rPr>
          <w:rFonts w:hint="eastAsia" w:ascii="Times New Roman" w:hAnsi="Times New Roman"/>
          <w:szCs w:val="24"/>
        </w:rPr>
        <w:t>Calibration plots and consistency index (C-index) were used to validate the nomogram.</w:t>
      </w:r>
    </w:p>
    <w:p w14:paraId="56BECE05">
      <w:pPr>
        <w:numPr>
          <w:numId w:val="0"/>
        </w:numPr>
        <w:ind w:leftChars="0"/>
        <w:jc w:val="both"/>
        <w:rPr>
          <w:b/>
          <w:bCs/>
          <w:sz w:val="24"/>
          <w:szCs w:val="24"/>
        </w:rPr>
      </w:pPr>
      <w:r>
        <w:rPr>
          <w:b/>
          <w:bCs/>
          <w:sz w:val="24"/>
          <w:szCs w:val="24"/>
        </w:rPr>
        <w:t>Transwell assay</w:t>
      </w:r>
    </w:p>
    <w:p w14:paraId="6F6516FF">
      <w:pPr>
        <w:jc w:val="both"/>
        <w:rPr>
          <w:rFonts w:hint="eastAsia"/>
          <w:sz w:val="24"/>
          <w:szCs w:val="24"/>
        </w:rPr>
      </w:pPr>
      <w:r>
        <w:rPr>
          <w:rFonts w:hint="eastAsia"/>
          <w:sz w:val="24"/>
          <w:szCs w:val="24"/>
        </w:rPr>
        <w:t>Polyester membrane cell embedding dishes with 24-well plates (Insert: 8.0um; diameter: 6.5mm, JET, China) were used to test cells' invasion and migration ability. 6 × 10</w:t>
      </w:r>
      <w:r>
        <w:rPr>
          <w:rFonts w:hint="eastAsia"/>
          <w:sz w:val="24"/>
          <w:szCs w:val="24"/>
          <w:vertAlign w:val="superscript"/>
        </w:rPr>
        <w:t>4</w:t>
      </w:r>
      <w:r>
        <w:rPr>
          <w:rFonts w:hint="eastAsia"/>
          <w:sz w:val="24"/>
          <w:szCs w:val="24"/>
        </w:rPr>
        <w:t xml:space="preserve"> cells were inoculated into the upper chamber covered with 200 mg/mL Matrigel (1:8, Yepsen, China) and resuspended using a serum-free DMEM medium. Basolateral chambers were then filled with DMEM medium containing 10% FBS. Matrigel-invaded cells were fixed with 90% ethanol for 10 minutes for 15 minutes and stained with 0.5% crystal violet after 16 hours of incubation.. Then five randomly selected fields of view were selected and counted, and this experiment was repeated three times.</w:t>
      </w:r>
    </w:p>
    <w:p w14:paraId="53AE309D">
      <w:pPr>
        <w:numPr>
          <w:numId w:val="0"/>
        </w:numPr>
        <w:ind w:leftChars="0"/>
        <w:jc w:val="both"/>
        <w:rPr>
          <w:b/>
          <w:bCs/>
          <w:sz w:val="24"/>
          <w:szCs w:val="24"/>
        </w:rPr>
      </w:pPr>
      <w:r>
        <w:rPr>
          <w:b/>
          <w:bCs/>
          <w:sz w:val="24"/>
          <w:szCs w:val="24"/>
        </w:rPr>
        <w:t>Real time quantitative PCR (RT-qPCR)</w:t>
      </w:r>
    </w:p>
    <w:p w14:paraId="1AC4547F">
      <w:pPr>
        <w:jc w:val="both"/>
        <w:rPr>
          <w:rFonts w:hint="default" w:eastAsia="宋体"/>
          <w:sz w:val="24"/>
          <w:szCs w:val="24"/>
          <w:lang w:val="en-US" w:eastAsia="zh-CN"/>
        </w:rPr>
      </w:pPr>
      <w:r>
        <w:rPr>
          <w:rFonts w:hint="eastAsia"/>
          <w:sz w:val="24"/>
          <w:szCs w:val="24"/>
        </w:rPr>
        <w:t>In accordance with the manufacturer's instructions, total RNA of cells was extracted with TRIzol® reagent (Thermo Fisher Scientific, Inc, USA).</w:t>
      </w:r>
      <w:r>
        <w:rPr>
          <w:sz w:val="24"/>
          <w:szCs w:val="24"/>
        </w:rPr>
        <w:t xml:space="preserve">. RT-qPCR was </w:t>
      </w:r>
      <w:r>
        <w:rPr>
          <w:rFonts w:hint="eastAsia"/>
          <w:sz w:val="24"/>
          <w:szCs w:val="24"/>
        </w:rPr>
        <w:t>conducted</w:t>
      </w:r>
      <w:r>
        <w:rPr>
          <w:sz w:val="24"/>
          <w:szCs w:val="24"/>
        </w:rPr>
        <w:t xml:space="preserve"> using SYBR®Green PCR Master Mix</w:t>
      </w:r>
      <w:r>
        <w:rPr>
          <w:rFonts w:hint="eastAsia"/>
          <w:sz w:val="24"/>
          <w:szCs w:val="24"/>
        </w:rPr>
        <w:t xml:space="preserve"> Reagents</w:t>
      </w:r>
      <w:r>
        <w:rPr>
          <w:sz w:val="24"/>
          <w:szCs w:val="24"/>
        </w:rPr>
        <w:t xml:space="preserve"> (</w:t>
      </w:r>
      <w:r>
        <w:rPr>
          <w:rFonts w:hint="eastAsia"/>
          <w:sz w:val="24"/>
          <w:szCs w:val="24"/>
        </w:rPr>
        <w:t>Applied Thermo Scientific</w:t>
      </w:r>
      <w:r>
        <w:rPr>
          <w:sz w:val="24"/>
          <w:szCs w:val="24"/>
        </w:rPr>
        <w:t>) in the 7900HT Fast Real-Time PCR System</w:t>
      </w:r>
      <w:r>
        <w:rPr>
          <w:rFonts w:hint="eastAsia"/>
          <w:sz w:val="24"/>
          <w:szCs w:val="24"/>
        </w:rPr>
        <w:t xml:space="preserve"> following the recommended protocols . GAPDH was applied as a control for calculating the normalization of relative mRNA expressions</w:t>
      </w:r>
      <w:r>
        <w:rPr>
          <w:sz w:val="24"/>
          <w:szCs w:val="24"/>
        </w:rPr>
        <w:t>. The 2-ΔΔCt method was used to analyze the results.</w:t>
      </w:r>
      <w:r>
        <w:rPr>
          <w:rFonts w:hint="eastAsia" w:eastAsia="宋体"/>
          <w:sz w:val="24"/>
          <w:szCs w:val="24"/>
          <w:lang w:val="en-US" w:eastAsia="zh-CN"/>
        </w:rPr>
        <w:t xml:space="preserve"> The list of prime was shown in Table S1</w:t>
      </w:r>
      <w:bookmarkStart w:id="0" w:name="_GoBack"/>
      <w:bookmarkEnd w:id="0"/>
    </w:p>
    <w:p w14:paraId="395F7166">
      <w:pPr>
        <w:jc w:val="both"/>
        <w:rPr>
          <w:rFonts w:hint="eastAsia"/>
          <w:b/>
          <w:bCs/>
          <w:sz w:val="24"/>
          <w:szCs w:val="24"/>
        </w:rPr>
      </w:pPr>
      <w:r>
        <w:rPr>
          <w:rFonts w:hint="eastAsia"/>
          <w:b/>
          <w:bCs/>
          <w:sz w:val="24"/>
          <w:szCs w:val="24"/>
        </w:rPr>
        <w:t>Western Blot Analysis</w:t>
      </w:r>
    </w:p>
    <w:p w14:paraId="77F23EFD">
      <w:pPr>
        <w:jc w:val="both"/>
        <w:rPr>
          <w:sz w:val="24"/>
          <w:szCs w:val="24"/>
        </w:rPr>
      </w:pPr>
      <w:r>
        <w:rPr>
          <w:rFonts w:hint="eastAsia"/>
          <w:sz w:val="24"/>
          <w:szCs w:val="24"/>
        </w:rPr>
        <w:t>Total protein was extracted using SDS lysis buffer (Beyotime, Nantong, China), and protein concentration was quantified using the BCA Protein Assay Kit (Beyotime, Nantong, China). Equal amounts of protein (40 μg per lane) were separated on 12% SDS-PAGE gels and transferred onto polyvinylidene fluoride (PVDF) membranes (Millipore, Burlington, MA, USA). Membranes were blocked in 5% non-fat milk at room temperature to reduce non-specific binding. Subsequently, membranes were incubated with primary antibodies overnight at 4°C. The following day, membranes were washed three times with PBST (10 minutes per wash) and then incubated with corresponding HRP-conjugated secondary antibodies for 1 hour at room temperature. After a second round of washing (three times, 10 minutes each), protein bands were visualized using a silver stain detection system (Beyotime, Nantong, China). Details of the antibodies used for this assay are provided in Supplementary Table S</w:t>
      </w:r>
      <w:r>
        <w:rPr>
          <w:rFonts w:hint="eastAsia" w:eastAsia="宋体"/>
          <w:sz w:val="24"/>
          <w:szCs w:val="24"/>
          <w:lang w:val="en-US" w:eastAsia="zh-CN"/>
        </w:rPr>
        <w:t>2</w:t>
      </w:r>
      <w:r>
        <w:rPr>
          <w:rFonts w:hint="eastAsia"/>
          <w:sz w:val="24"/>
          <w:szCs w:val="24"/>
        </w:rPr>
        <w:t>.</w:t>
      </w:r>
    </w:p>
    <w:p w14:paraId="0350365D">
      <w:pPr>
        <w:pStyle w:val="9"/>
        <w:spacing w:line="360" w:lineRule="auto"/>
        <w:jc w:val="both"/>
        <w:rPr>
          <w:rFonts w:hint="eastAsia" w:ascii="Times New Roman" w:hAnsi="Times New Roman"/>
          <w:szCs w:val="24"/>
        </w:rPr>
      </w:pPr>
    </w:p>
    <w:p w14:paraId="4E9C9DE3">
      <w:pPr>
        <w:spacing w:line="360" w:lineRule="auto"/>
        <w:jc w:val="both"/>
        <w:rPr>
          <w:rFonts w:hint="eastAsia" w:ascii="Times New Roman" w:hAnsi="Times New Roman" w:cs="Times New Roman"/>
          <w:color w:val="000000"/>
          <w:sz w:val="21"/>
          <w:szCs w:val="21"/>
        </w:rPr>
      </w:pPr>
    </w:p>
    <w:p w14:paraId="5E862F26">
      <w:pPr>
        <w:jc w:val="both"/>
        <w:rPr>
          <w:rFonts w:hint="default" w:eastAsia="宋体" w:cs="Times New Roman"/>
          <w:color w:val="000000"/>
          <w:sz w:val="21"/>
          <w:szCs w:val="21"/>
          <w:lang w:val="en-US" w:eastAsia="zh-CN"/>
        </w:rPr>
      </w:pPr>
    </w:p>
    <w:p w14:paraId="5B2F3717">
      <w:pPr>
        <w:jc w:val="both"/>
        <w:rPr>
          <w:rFonts w:hint="eastAsia" w:eastAsia="宋体" w:cs="Times New Roman"/>
          <w:color w:val="000000"/>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imes New Roman Regular">
    <w:altName w:val="Times New Roman"/>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2C3AB2"/>
    <w:rsid w:val="099940D5"/>
    <w:rsid w:val="15561908"/>
    <w:rsid w:val="2B2C3AB2"/>
    <w:rsid w:val="3BB46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HAnsi" w:cstheme="minorBidi"/>
      <w:sz w:val="24"/>
      <w:szCs w:val="22"/>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844"/>
        <w:tab w:val="right" w:pos="9689"/>
      </w:tabs>
      <w:spacing w:after="0"/>
    </w:pPr>
  </w:style>
  <w:style w:type="paragraph" w:styleId="3">
    <w:name w:val="header"/>
    <w:basedOn w:val="1"/>
    <w:unhideWhenUsed/>
    <w:qFormat/>
    <w:uiPriority w:val="99"/>
    <w:pPr>
      <w:tabs>
        <w:tab w:val="center" w:pos="4844"/>
        <w:tab w:val="right" w:pos="9689"/>
      </w:tabs>
    </w:pPr>
    <w:rPr>
      <w:b/>
    </w:rPr>
  </w:style>
  <w:style w:type="paragraph" w:styleId="4">
    <w:name w:val="Title"/>
    <w:basedOn w:val="1"/>
    <w:next w:val="1"/>
    <w:qFormat/>
    <w:uiPriority w:val="0"/>
    <w:pPr>
      <w:suppressLineNumbers/>
      <w:spacing w:before="240" w:after="360"/>
      <w:jc w:val="center"/>
    </w:pPr>
    <w:rPr>
      <w:rFonts w:cs="Times New Roman"/>
      <w:b/>
      <w:sz w:val="32"/>
      <w:szCs w:val="32"/>
    </w:rPr>
  </w:style>
  <w:style w:type="character" w:styleId="7">
    <w:name w:val="Hyperlink"/>
    <w:basedOn w:val="6"/>
    <w:unhideWhenUsed/>
    <w:qFormat/>
    <w:uiPriority w:val="99"/>
    <w:rPr>
      <w:color w:val="0000FF"/>
      <w:u w:val="single"/>
    </w:rPr>
  </w:style>
  <w:style w:type="paragraph" w:customStyle="1" w:styleId="8">
    <w:name w:val="Supplementary Material"/>
    <w:basedOn w:val="4"/>
    <w:next w:val="4"/>
    <w:qFormat/>
    <w:uiPriority w:val="0"/>
    <w:pPr>
      <w:spacing w:after="120"/>
    </w:pPr>
    <w:rPr>
      <w:i/>
    </w:rPr>
  </w:style>
  <w:style w:type="paragraph" w:customStyle="1" w:styleId="9">
    <w:name w:val="无间隔1"/>
    <w:basedOn w:val="1"/>
    <w:autoRedefine/>
    <w:qFormat/>
    <w:uiPriority w:val="0"/>
    <w:rPr>
      <w:rFonts w:ascii="等线" w:hAnsi="等线" w:eastAsia="等线"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905</Words>
  <Characters>5524</Characters>
  <Lines>0</Lines>
  <Paragraphs>0</Paragraphs>
  <TotalTime>2</TotalTime>
  <ScaleCrop>false</ScaleCrop>
  <LinksUpToDate>false</LinksUpToDate>
  <CharactersWithSpaces>6393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2025-04-21T10:49:00Z</dcterms:created>
  <dc:creator>peux-tu me voir</dc:creator>
  <cp:lastModifiedBy>peux-tu me voir</cp:lastModifiedBy>
  <dcterms:modified xsi:type="dcterms:W3CDTF">2025-04-22T08:00:53Z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9A6C20BA8DFC40C0AC920BDAF4021891_11</vt:lpwstr>
  </property>
  <property fmtid="{D5CDD505-2E9C-101B-9397-08002B2CF9AE}" pid="4" name="KSOTemplateDocerSaveRecord">
    <vt:lpwstr>eyJoZGlkIjoiNzkxNmIxZjFiODZkNzFjNGM1ZjAwOWI4MzBhMDI1NmYiLCJ1c2VySWQiOiIxMjE1MDM2NTc0In0=</vt:lpwstr>
  </property>
</Properties>
</file>