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58A096" w14:textId="77777777" w:rsidR="00AD116F" w:rsidRPr="00AD116F" w:rsidRDefault="00AD116F" w:rsidP="00636DB0">
      <w:pPr>
        <w:spacing w:line="480" w:lineRule="auto"/>
        <w:jc w:val="left"/>
        <w:rPr>
          <w:rFonts w:ascii="Times New Roman" w:hAnsi="Times New Roman" w:cs="Times New Roman"/>
          <w:b/>
          <w:bCs/>
          <w:sz w:val="24"/>
          <w:szCs w:val="28"/>
        </w:rPr>
      </w:pPr>
      <w:r w:rsidRPr="00AD116F">
        <w:rPr>
          <w:rFonts w:ascii="Times New Roman" w:hAnsi="Times New Roman" w:cs="Times New Roman" w:hint="eastAsia"/>
          <w:b/>
          <w:bCs/>
          <w:sz w:val="24"/>
          <w:szCs w:val="28"/>
        </w:rPr>
        <w:t>Su</w:t>
      </w:r>
      <w:r w:rsidRPr="00AD116F">
        <w:rPr>
          <w:rFonts w:ascii="Times New Roman" w:hAnsi="Times New Roman" w:cs="Times New Roman"/>
          <w:b/>
          <w:bCs/>
          <w:sz w:val="24"/>
          <w:szCs w:val="28"/>
        </w:rPr>
        <w:t xml:space="preserve">pplementary </w:t>
      </w:r>
      <w:r w:rsidRPr="00AD116F">
        <w:rPr>
          <w:rFonts w:ascii="Times New Roman" w:hAnsi="Times New Roman" w:cs="Times New Roman" w:hint="eastAsia"/>
          <w:b/>
          <w:bCs/>
          <w:sz w:val="24"/>
          <w:szCs w:val="28"/>
        </w:rPr>
        <w:t>Materials</w:t>
      </w:r>
    </w:p>
    <w:p w14:paraId="322413C9" w14:textId="6CE23653" w:rsidR="00896D4E" w:rsidRDefault="00636DB0" w:rsidP="00636DB0">
      <w:pPr>
        <w:spacing w:line="480" w:lineRule="auto"/>
        <w:ind w:firstLineChars="350" w:firstLine="735"/>
        <w:rPr>
          <w:rFonts w:ascii="Times New Roman" w:hAnsi="Times New Roman" w:cs="Times New Roman" w:hint="eastAsia"/>
        </w:rPr>
      </w:pPr>
      <w:r w:rsidRPr="00636DB0">
        <w:rPr>
          <w:rFonts w:ascii="Times New Roman" w:hAnsi="Times New Roman" w:cs="Times New Roman"/>
        </w:rPr>
        <w:drawing>
          <wp:inline distT="0" distB="0" distL="0" distR="0" wp14:anchorId="3D4B0284" wp14:editId="6A9013E4">
            <wp:extent cx="4996631" cy="5843587"/>
            <wp:effectExtent l="0" t="0" r="0" b="0"/>
            <wp:docPr id="21348736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873602" name=""/>
                    <pic:cNvPicPr/>
                  </pic:nvPicPr>
                  <pic:blipFill>
                    <a:blip r:embed="rId6"/>
                    <a:stretch>
                      <a:fillRect/>
                    </a:stretch>
                  </pic:blipFill>
                  <pic:spPr>
                    <a:xfrm>
                      <a:off x="0" y="0"/>
                      <a:ext cx="5022113" cy="5873389"/>
                    </a:xfrm>
                    <a:prstGeom prst="rect">
                      <a:avLst/>
                    </a:prstGeom>
                  </pic:spPr>
                </pic:pic>
              </a:graphicData>
            </a:graphic>
          </wp:inline>
        </w:drawing>
      </w:r>
    </w:p>
    <w:p w14:paraId="214C134D" w14:textId="637120DA" w:rsidR="00896D4E" w:rsidRDefault="00636DB0" w:rsidP="00636DB0">
      <w:pPr>
        <w:spacing w:line="480" w:lineRule="auto"/>
        <w:jc w:val="left"/>
        <w:rPr>
          <w:rFonts w:ascii="Times New Roman" w:hAnsi="Times New Roman" w:cs="Times New Roman"/>
          <w:sz w:val="24"/>
          <w:szCs w:val="28"/>
        </w:rPr>
      </w:pPr>
      <w:r w:rsidRPr="00636DB0">
        <w:rPr>
          <w:rFonts w:ascii="Times New Roman" w:hAnsi="Times New Roman" w:cs="Times New Roman"/>
          <w:b/>
          <w:bCs/>
          <w:sz w:val="24"/>
          <w:szCs w:val="28"/>
        </w:rPr>
        <w:t>Figure S1. Elevated RIPK1, RIPK3, and MLKL expression in gliomas with distinct IDH mutation status.</w:t>
      </w:r>
      <w:r w:rsidRPr="00636DB0">
        <w:rPr>
          <w:rFonts w:ascii="Times New Roman" w:hAnsi="Times New Roman" w:cs="Times New Roman"/>
          <w:sz w:val="24"/>
          <w:szCs w:val="28"/>
        </w:rPr>
        <w:br/>
        <w:t>(</w:t>
      </w:r>
      <w:r w:rsidRPr="00636DB0">
        <w:rPr>
          <w:rFonts w:ascii="Times New Roman" w:hAnsi="Times New Roman" w:cs="Times New Roman"/>
          <w:b/>
          <w:bCs/>
          <w:sz w:val="24"/>
          <w:szCs w:val="28"/>
        </w:rPr>
        <w:t>A–C</w:t>
      </w:r>
      <w:r w:rsidRPr="00636DB0">
        <w:rPr>
          <w:rFonts w:ascii="Times New Roman" w:hAnsi="Times New Roman" w:cs="Times New Roman"/>
          <w:sz w:val="24"/>
          <w:szCs w:val="28"/>
        </w:rPr>
        <w:t>) RIPK1, RIPK3, and MLKL mRNA expression in gliomas stratified by IDH mutation status in the CGGA cohort.</w:t>
      </w:r>
      <w:r w:rsidR="0032318D">
        <w:rPr>
          <w:rFonts w:ascii="Times New Roman" w:hAnsi="Times New Roman" w:cs="Times New Roman"/>
          <w:sz w:val="24"/>
          <w:szCs w:val="28"/>
        </w:rPr>
        <w:t xml:space="preserve"> </w:t>
      </w:r>
      <w:proofErr w:type="gramStart"/>
      <w:r w:rsidRPr="00636DB0">
        <w:rPr>
          <w:rFonts w:ascii="Times New Roman" w:hAnsi="Times New Roman" w:cs="Times New Roman"/>
          <w:sz w:val="24"/>
          <w:szCs w:val="28"/>
        </w:rPr>
        <w:t>(</w:t>
      </w:r>
      <w:proofErr w:type="gramEnd"/>
      <w:r w:rsidRPr="00636DB0">
        <w:rPr>
          <w:rFonts w:ascii="Times New Roman" w:hAnsi="Times New Roman" w:cs="Times New Roman"/>
          <w:b/>
          <w:bCs/>
          <w:sz w:val="24"/>
          <w:szCs w:val="28"/>
        </w:rPr>
        <w:t>D</w:t>
      </w:r>
      <w:r w:rsidRPr="00636DB0">
        <w:rPr>
          <w:rFonts w:ascii="Times New Roman" w:hAnsi="Times New Roman" w:cs="Times New Roman"/>
          <w:sz w:val="24"/>
          <w:szCs w:val="28"/>
        </w:rPr>
        <w:t>) RIPK1, RIPK3, and MLKL protein levels in normal brain tissues and primary GBM tissues based on CPTAC datasets.</w:t>
      </w:r>
      <w:r w:rsidR="00896D4E">
        <w:rPr>
          <w:rFonts w:ascii="Times New Roman" w:hAnsi="Times New Roman" w:cs="Times New Roman"/>
          <w:sz w:val="24"/>
          <w:szCs w:val="28"/>
        </w:rPr>
        <w:br w:type="page"/>
      </w:r>
    </w:p>
    <w:p w14:paraId="18EDD9B7" w14:textId="277400B9" w:rsidR="00D50D4D" w:rsidRDefault="004F097D" w:rsidP="00636DB0">
      <w:pPr>
        <w:spacing w:line="480" w:lineRule="auto"/>
        <w:jc w:val="left"/>
        <w:rPr>
          <w:rFonts w:ascii="Times New Roman" w:hAnsi="Times New Roman" w:cs="Times New Roman"/>
          <w:sz w:val="24"/>
          <w:szCs w:val="24"/>
        </w:rPr>
      </w:pPr>
      <w:r w:rsidRPr="004F097D">
        <w:rPr>
          <w:rFonts w:ascii="Times New Roman" w:hAnsi="Times New Roman" w:cs="Times New Roman"/>
          <w:noProof/>
          <w:sz w:val="24"/>
          <w:szCs w:val="24"/>
        </w:rPr>
        <w:lastRenderedPageBreak/>
        <w:drawing>
          <wp:inline distT="0" distB="0" distL="0" distR="0" wp14:anchorId="284C8D6E" wp14:editId="2FFE7F48">
            <wp:extent cx="5951779" cy="7950993"/>
            <wp:effectExtent l="0" t="0" r="0" b="0"/>
            <wp:docPr id="910074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074406" name=""/>
                    <pic:cNvPicPr/>
                  </pic:nvPicPr>
                  <pic:blipFill>
                    <a:blip r:embed="rId7"/>
                    <a:stretch>
                      <a:fillRect/>
                    </a:stretch>
                  </pic:blipFill>
                  <pic:spPr>
                    <a:xfrm>
                      <a:off x="0" y="0"/>
                      <a:ext cx="5966828" cy="7971098"/>
                    </a:xfrm>
                    <a:prstGeom prst="rect">
                      <a:avLst/>
                    </a:prstGeom>
                  </pic:spPr>
                </pic:pic>
              </a:graphicData>
            </a:graphic>
          </wp:inline>
        </w:drawing>
      </w:r>
      <w:r w:rsidR="008C6916">
        <w:rPr>
          <w:rFonts w:ascii="Times New Roman" w:hAnsi="Times New Roman" w:cs="Times New Roman" w:hint="eastAsia"/>
          <w:sz w:val="24"/>
          <w:szCs w:val="24"/>
        </w:rPr>
        <w:t xml:space="preserve"> </w:t>
      </w:r>
    </w:p>
    <w:p w14:paraId="5C137DA6" w14:textId="79956E7A" w:rsidR="004F097D" w:rsidRDefault="00636DB0" w:rsidP="00636DB0">
      <w:pPr>
        <w:spacing w:line="480" w:lineRule="auto"/>
        <w:jc w:val="left"/>
        <w:rPr>
          <w:rFonts w:ascii="Times New Roman" w:hAnsi="Times New Roman" w:cs="Times New Roman"/>
          <w:sz w:val="24"/>
          <w:szCs w:val="24"/>
        </w:rPr>
      </w:pPr>
      <w:r w:rsidRPr="00636DB0">
        <w:rPr>
          <w:rFonts w:ascii="Times New Roman" w:hAnsi="Times New Roman" w:cs="Times New Roman"/>
          <w:b/>
          <w:bCs/>
          <w:sz w:val="24"/>
          <w:szCs w:val="24"/>
        </w:rPr>
        <w:t>Figure S2. Protein expression of RIPK1, RIPK3, and MLKL in clinical glioma tissues.</w:t>
      </w:r>
      <w:r w:rsidRPr="00636DB0">
        <w:rPr>
          <w:rFonts w:ascii="Times New Roman" w:hAnsi="Times New Roman" w:cs="Times New Roman"/>
          <w:sz w:val="24"/>
          <w:szCs w:val="24"/>
        </w:rPr>
        <w:br/>
        <w:t>(</w:t>
      </w:r>
      <w:r w:rsidRPr="0032318D">
        <w:rPr>
          <w:rFonts w:ascii="Times New Roman" w:hAnsi="Times New Roman" w:cs="Times New Roman"/>
          <w:b/>
          <w:bCs/>
          <w:sz w:val="24"/>
          <w:szCs w:val="24"/>
        </w:rPr>
        <w:t>A</w:t>
      </w:r>
      <w:r w:rsidRPr="0032318D">
        <w:rPr>
          <w:rFonts w:ascii="Times New Roman" w:hAnsi="Times New Roman" w:cs="Times New Roman"/>
          <w:b/>
          <w:bCs/>
          <w:sz w:val="24"/>
          <w:szCs w:val="24"/>
        </w:rPr>
        <w:t>-</w:t>
      </w:r>
      <w:r w:rsidRPr="0032318D">
        <w:rPr>
          <w:rFonts w:ascii="Times New Roman" w:hAnsi="Times New Roman" w:cs="Times New Roman"/>
          <w:b/>
          <w:bCs/>
          <w:sz w:val="24"/>
          <w:szCs w:val="24"/>
        </w:rPr>
        <w:t>B</w:t>
      </w:r>
      <w:r w:rsidRPr="00636DB0">
        <w:rPr>
          <w:rFonts w:ascii="Times New Roman" w:hAnsi="Times New Roman" w:cs="Times New Roman"/>
          <w:sz w:val="24"/>
          <w:szCs w:val="24"/>
        </w:rPr>
        <w:t>) Western blot analysis of RIPK1 (</w:t>
      </w:r>
      <w:r w:rsidRPr="0032318D">
        <w:rPr>
          <w:rFonts w:ascii="Times New Roman" w:hAnsi="Times New Roman" w:cs="Times New Roman"/>
          <w:b/>
          <w:bCs/>
          <w:sz w:val="24"/>
          <w:szCs w:val="24"/>
        </w:rPr>
        <w:t>A</w:t>
      </w:r>
      <w:r w:rsidRPr="00636DB0">
        <w:rPr>
          <w:rFonts w:ascii="Times New Roman" w:hAnsi="Times New Roman" w:cs="Times New Roman"/>
          <w:sz w:val="24"/>
          <w:szCs w:val="24"/>
        </w:rPr>
        <w:t>), RIPK3, and MLKL (</w:t>
      </w:r>
      <w:r w:rsidRPr="0032318D">
        <w:rPr>
          <w:rFonts w:ascii="Times New Roman" w:hAnsi="Times New Roman" w:cs="Times New Roman"/>
          <w:b/>
          <w:bCs/>
          <w:sz w:val="24"/>
          <w:szCs w:val="24"/>
        </w:rPr>
        <w:t>B</w:t>
      </w:r>
      <w:r w:rsidRPr="00636DB0">
        <w:rPr>
          <w:rFonts w:ascii="Times New Roman" w:hAnsi="Times New Roman" w:cs="Times New Roman"/>
          <w:sz w:val="24"/>
          <w:szCs w:val="24"/>
        </w:rPr>
        <w:t xml:space="preserve">) in human glioma samples. WHO </w:t>
      </w:r>
      <w:r w:rsidRPr="00636DB0">
        <w:rPr>
          <w:rFonts w:ascii="Times New Roman" w:hAnsi="Times New Roman" w:cs="Times New Roman"/>
          <w:sz w:val="24"/>
          <w:szCs w:val="24"/>
        </w:rPr>
        <w:lastRenderedPageBreak/>
        <w:t>grade (Ⅱ–Ⅳ), patient gender (F, female; M, male), and IDH1 status (M, mutant; W, wild-type; blank, unavailable) are indicated above each lane; 1p and/or 19q deletion status not shown.</w:t>
      </w:r>
      <w:r w:rsidR="004F097D">
        <w:rPr>
          <w:rFonts w:ascii="Times New Roman" w:hAnsi="Times New Roman" w:cs="Times New Roman"/>
          <w:sz w:val="24"/>
          <w:szCs w:val="24"/>
        </w:rPr>
        <w:br w:type="page"/>
      </w:r>
    </w:p>
    <w:p w14:paraId="0A688C95" w14:textId="24030271" w:rsidR="004F097D" w:rsidRPr="004F097D" w:rsidRDefault="0032318D" w:rsidP="00636DB0">
      <w:pPr>
        <w:spacing w:line="480" w:lineRule="auto"/>
        <w:jc w:val="center"/>
        <w:rPr>
          <w:rFonts w:ascii="Times New Roman" w:hAnsi="Times New Roman" w:cs="Times New Roman"/>
          <w:sz w:val="24"/>
          <w:szCs w:val="24"/>
          <w:lang w:val="en-AU"/>
        </w:rPr>
      </w:pPr>
      <w:r>
        <w:rPr>
          <w:rFonts w:ascii="Times New Roman" w:hAnsi="Times New Roman" w:cs="Times New Roman"/>
          <w:noProof/>
          <w:sz w:val="24"/>
          <w:szCs w:val="24"/>
        </w:rPr>
        <w:lastRenderedPageBreak/>
        <w:t xml:space="preserve"> </w:t>
      </w:r>
      <w:r w:rsidRPr="0032318D">
        <w:rPr>
          <w:rFonts w:ascii="Times New Roman" w:hAnsi="Times New Roman" w:cs="Times New Roman"/>
          <w:noProof/>
          <w:sz w:val="24"/>
          <w:szCs w:val="24"/>
        </w:rPr>
        <w:drawing>
          <wp:inline distT="0" distB="0" distL="0" distR="0" wp14:anchorId="2281722F" wp14:editId="480EC5D3">
            <wp:extent cx="5535047" cy="6000750"/>
            <wp:effectExtent l="0" t="0" r="2540" b="0"/>
            <wp:docPr id="13969051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905159" name=""/>
                    <pic:cNvPicPr/>
                  </pic:nvPicPr>
                  <pic:blipFill>
                    <a:blip r:embed="rId8"/>
                    <a:stretch>
                      <a:fillRect/>
                    </a:stretch>
                  </pic:blipFill>
                  <pic:spPr>
                    <a:xfrm>
                      <a:off x="0" y="0"/>
                      <a:ext cx="5564932" cy="6033150"/>
                    </a:xfrm>
                    <a:prstGeom prst="rect">
                      <a:avLst/>
                    </a:prstGeom>
                  </pic:spPr>
                </pic:pic>
              </a:graphicData>
            </a:graphic>
          </wp:inline>
        </w:drawing>
      </w:r>
    </w:p>
    <w:p w14:paraId="0AED420B" w14:textId="3DE5D347" w:rsidR="004F097D" w:rsidRDefault="005C53FB" w:rsidP="00636DB0">
      <w:pPr>
        <w:spacing w:line="480" w:lineRule="auto"/>
        <w:jc w:val="left"/>
        <w:rPr>
          <w:rFonts w:ascii="Times New Roman" w:hAnsi="Times New Roman" w:cs="Times New Roman"/>
          <w:sz w:val="24"/>
          <w:szCs w:val="24"/>
        </w:rPr>
      </w:pPr>
      <w:r w:rsidRPr="005C53FB">
        <w:rPr>
          <w:rFonts w:ascii="Times New Roman" w:hAnsi="Times New Roman" w:cs="Times New Roman"/>
          <w:b/>
          <w:bCs/>
          <w:sz w:val="24"/>
          <w:szCs w:val="24"/>
        </w:rPr>
        <w:t>Figure S3. RIPK1, RIPK3, and MLKL expression in gliomas stratified by 1p/19q codeletion status.</w:t>
      </w:r>
      <w:r w:rsidRPr="005C53FB">
        <w:rPr>
          <w:rFonts w:ascii="Times New Roman" w:hAnsi="Times New Roman" w:cs="Times New Roman"/>
          <w:b/>
          <w:bCs/>
          <w:sz w:val="24"/>
          <w:szCs w:val="24"/>
        </w:rPr>
        <w:br/>
      </w:r>
      <w:r w:rsidRPr="005C53FB">
        <w:rPr>
          <w:rFonts w:ascii="Times New Roman" w:hAnsi="Times New Roman" w:cs="Times New Roman"/>
          <w:sz w:val="24"/>
          <w:szCs w:val="24"/>
        </w:rPr>
        <w:t>(</w:t>
      </w:r>
      <w:r w:rsidRPr="005C53FB">
        <w:rPr>
          <w:rFonts w:ascii="Times New Roman" w:hAnsi="Times New Roman" w:cs="Times New Roman"/>
          <w:b/>
          <w:bCs/>
          <w:sz w:val="24"/>
          <w:szCs w:val="24"/>
        </w:rPr>
        <w:t>A</w:t>
      </w:r>
      <w:r w:rsidRPr="005C53FB">
        <w:rPr>
          <w:rFonts w:ascii="Times New Roman" w:hAnsi="Times New Roman" w:cs="Times New Roman"/>
          <w:sz w:val="24"/>
          <w:szCs w:val="24"/>
        </w:rPr>
        <w:t>) mRNA expression of RIPK1, RIPK3, and MLKL in GBM (WHO grade IV) and normal brain tissues.</w:t>
      </w:r>
      <w:r w:rsidR="0032318D">
        <w:rPr>
          <w:rFonts w:ascii="Times New Roman" w:hAnsi="Times New Roman" w:cs="Times New Roman"/>
          <w:sz w:val="24"/>
          <w:szCs w:val="24"/>
        </w:rPr>
        <w:t xml:space="preserve"> </w:t>
      </w:r>
      <w:r w:rsidRPr="005C53FB">
        <w:rPr>
          <w:rFonts w:ascii="Times New Roman" w:hAnsi="Times New Roman" w:cs="Times New Roman"/>
          <w:sz w:val="24"/>
          <w:szCs w:val="24"/>
        </w:rPr>
        <w:t>(</w:t>
      </w:r>
      <w:r w:rsidRPr="005C53FB">
        <w:rPr>
          <w:rFonts w:ascii="Times New Roman" w:hAnsi="Times New Roman" w:cs="Times New Roman"/>
          <w:b/>
          <w:bCs/>
          <w:sz w:val="24"/>
          <w:szCs w:val="24"/>
        </w:rPr>
        <w:t>B</w:t>
      </w:r>
      <w:r w:rsidRPr="005C53FB">
        <w:rPr>
          <w:rFonts w:ascii="Times New Roman" w:hAnsi="Times New Roman" w:cs="Times New Roman"/>
          <w:sz w:val="24"/>
          <w:szCs w:val="24"/>
        </w:rPr>
        <w:t>) mRNA expression of RIPK1, RIPK3, and MLKL in gliomas with different 1p/19q codeletion status.</w:t>
      </w:r>
      <w:r w:rsidR="0032318D">
        <w:rPr>
          <w:rFonts w:ascii="Times New Roman" w:hAnsi="Times New Roman" w:cs="Times New Roman"/>
          <w:sz w:val="24"/>
          <w:szCs w:val="24"/>
        </w:rPr>
        <w:t xml:space="preserve"> </w:t>
      </w:r>
      <w:r w:rsidRPr="005C53FB">
        <w:rPr>
          <w:rFonts w:ascii="Times New Roman" w:hAnsi="Times New Roman" w:cs="Times New Roman"/>
          <w:sz w:val="24"/>
          <w:szCs w:val="24"/>
        </w:rPr>
        <w:t>(</w:t>
      </w:r>
      <w:r w:rsidRPr="005C53FB">
        <w:rPr>
          <w:rFonts w:ascii="Times New Roman" w:hAnsi="Times New Roman" w:cs="Times New Roman"/>
          <w:b/>
          <w:bCs/>
          <w:sz w:val="24"/>
          <w:szCs w:val="24"/>
        </w:rPr>
        <w:t>C</w:t>
      </w:r>
      <w:r w:rsidRPr="005C53FB">
        <w:rPr>
          <w:rFonts w:ascii="Times New Roman" w:hAnsi="Times New Roman" w:cs="Times New Roman"/>
          <w:sz w:val="24"/>
          <w:szCs w:val="24"/>
        </w:rPr>
        <w:t>) Protein expression levels of RIPK1, RIPK3, and MLKL in 81 clinical glioma tissues grouped by 1p/19q codeletion status.</w:t>
      </w:r>
      <w:r w:rsidR="0032318D">
        <w:rPr>
          <w:rFonts w:ascii="Times New Roman" w:hAnsi="Times New Roman" w:cs="Times New Roman"/>
          <w:sz w:val="24"/>
          <w:szCs w:val="24"/>
        </w:rPr>
        <w:t xml:space="preserve"> </w:t>
      </w:r>
      <w:proofErr w:type="gramStart"/>
      <w:r w:rsidRPr="005C53FB">
        <w:rPr>
          <w:rFonts w:ascii="Times New Roman" w:hAnsi="Times New Roman" w:cs="Times New Roman"/>
          <w:sz w:val="24"/>
          <w:szCs w:val="24"/>
        </w:rPr>
        <w:t>(</w:t>
      </w:r>
      <w:proofErr w:type="gramEnd"/>
      <w:r w:rsidRPr="005C53FB">
        <w:rPr>
          <w:rFonts w:ascii="Times New Roman" w:hAnsi="Times New Roman" w:cs="Times New Roman"/>
          <w:b/>
          <w:bCs/>
          <w:sz w:val="24"/>
          <w:szCs w:val="24"/>
        </w:rPr>
        <w:t>D–F</w:t>
      </w:r>
      <w:r w:rsidRPr="005C53FB">
        <w:rPr>
          <w:rFonts w:ascii="Times New Roman" w:hAnsi="Times New Roman" w:cs="Times New Roman"/>
          <w:sz w:val="24"/>
          <w:szCs w:val="24"/>
        </w:rPr>
        <w:t>) mRNA levels of RIPK1, RIPK3, and MLKL in gliomas with different 1p/19q codeletion status based on the CGGA cohort.</w:t>
      </w:r>
      <w:r w:rsidR="004F097D">
        <w:rPr>
          <w:rFonts w:ascii="Times New Roman" w:hAnsi="Times New Roman" w:cs="Times New Roman"/>
          <w:sz w:val="24"/>
          <w:szCs w:val="24"/>
        </w:rPr>
        <w:br w:type="page"/>
      </w:r>
    </w:p>
    <w:p w14:paraId="2EBF2DB4" w14:textId="04FF1DBE" w:rsidR="004F097D" w:rsidRDefault="00B501A3" w:rsidP="00636DB0">
      <w:pPr>
        <w:spacing w:line="480" w:lineRule="auto"/>
        <w:jc w:val="center"/>
        <w:rPr>
          <w:rFonts w:ascii="Times New Roman" w:hAnsi="Times New Roman" w:cs="Times New Roman"/>
          <w:sz w:val="24"/>
          <w:szCs w:val="24"/>
          <w:lang w:val="en-AU"/>
        </w:rPr>
      </w:pPr>
      <w:r w:rsidRPr="00B501A3">
        <w:rPr>
          <w:rFonts w:ascii="Times New Roman" w:hAnsi="Times New Roman" w:cs="Times New Roman"/>
          <w:sz w:val="24"/>
          <w:szCs w:val="24"/>
          <w:lang w:val="en-AU"/>
        </w:rPr>
        <w:lastRenderedPageBreak/>
        <w:drawing>
          <wp:inline distT="0" distB="0" distL="0" distR="0" wp14:anchorId="4A24A324" wp14:editId="0564DECC">
            <wp:extent cx="6188710" cy="7165975"/>
            <wp:effectExtent l="0" t="0" r="0" b="0"/>
            <wp:docPr id="3697593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759352" name=""/>
                    <pic:cNvPicPr/>
                  </pic:nvPicPr>
                  <pic:blipFill>
                    <a:blip r:embed="rId9"/>
                    <a:stretch>
                      <a:fillRect/>
                    </a:stretch>
                  </pic:blipFill>
                  <pic:spPr>
                    <a:xfrm>
                      <a:off x="0" y="0"/>
                      <a:ext cx="6188710" cy="7165975"/>
                    </a:xfrm>
                    <a:prstGeom prst="rect">
                      <a:avLst/>
                    </a:prstGeom>
                  </pic:spPr>
                </pic:pic>
              </a:graphicData>
            </a:graphic>
          </wp:inline>
        </w:drawing>
      </w:r>
    </w:p>
    <w:p w14:paraId="319FF71A" w14:textId="62636291" w:rsidR="004F097D" w:rsidRDefault="005C53FB" w:rsidP="00636DB0">
      <w:pPr>
        <w:spacing w:line="480" w:lineRule="auto"/>
        <w:jc w:val="left"/>
        <w:rPr>
          <w:rFonts w:ascii="Times New Roman" w:hAnsi="Times New Roman" w:cs="Times New Roman"/>
          <w:sz w:val="24"/>
          <w:szCs w:val="24"/>
        </w:rPr>
      </w:pPr>
      <w:r w:rsidRPr="005C53FB">
        <w:rPr>
          <w:rFonts w:ascii="Times New Roman" w:hAnsi="Times New Roman" w:cs="Times New Roman"/>
          <w:b/>
          <w:bCs/>
          <w:sz w:val="24"/>
          <w:szCs w:val="24"/>
        </w:rPr>
        <w:t>Figure S4. Prognostic value of RIPK1, RIPK3, and MLKL expression in glioma patients.</w:t>
      </w:r>
      <w:r w:rsidRPr="005C53FB">
        <w:rPr>
          <w:rFonts w:ascii="Times New Roman" w:hAnsi="Times New Roman" w:cs="Times New Roman"/>
          <w:b/>
          <w:bCs/>
          <w:sz w:val="24"/>
          <w:szCs w:val="24"/>
        </w:rPr>
        <w:br/>
      </w:r>
      <w:r w:rsidRPr="005C53FB">
        <w:rPr>
          <w:rFonts w:ascii="Times New Roman" w:hAnsi="Times New Roman" w:cs="Times New Roman"/>
          <w:sz w:val="24"/>
          <w:szCs w:val="24"/>
        </w:rPr>
        <w:t>(</w:t>
      </w:r>
      <w:r w:rsidRPr="005C53FB">
        <w:rPr>
          <w:rFonts w:ascii="Times New Roman" w:hAnsi="Times New Roman" w:cs="Times New Roman"/>
          <w:b/>
          <w:bCs/>
          <w:sz w:val="24"/>
          <w:szCs w:val="24"/>
        </w:rPr>
        <w:t>A–C</w:t>
      </w:r>
      <w:r w:rsidRPr="005C53FB">
        <w:rPr>
          <w:rFonts w:ascii="Times New Roman" w:hAnsi="Times New Roman" w:cs="Times New Roman"/>
          <w:sz w:val="24"/>
          <w:szCs w:val="24"/>
        </w:rPr>
        <w:t>) Kaplan–Meier overall survival (OS) curves for glioma patients stratified by high versus low expression of RIPK1 (</w:t>
      </w:r>
      <w:r w:rsidRPr="005C53FB">
        <w:rPr>
          <w:rFonts w:ascii="Times New Roman" w:hAnsi="Times New Roman" w:cs="Times New Roman"/>
          <w:b/>
          <w:bCs/>
          <w:sz w:val="24"/>
          <w:szCs w:val="24"/>
        </w:rPr>
        <w:t>A</w:t>
      </w:r>
      <w:r w:rsidRPr="005C53FB">
        <w:rPr>
          <w:rFonts w:ascii="Times New Roman" w:hAnsi="Times New Roman" w:cs="Times New Roman"/>
          <w:sz w:val="24"/>
          <w:szCs w:val="24"/>
        </w:rPr>
        <w:t>), RIPK3 (</w:t>
      </w:r>
      <w:r w:rsidRPr="005C53FB">
        <w:rPr>
          <w:rFonts w:ascii="Times New Roman" w:hAnsi="Times New Roman" w:cs="Times New Roman"/>
          <w:b/>
          <w:bCs/>
          <w:sz w:val="24"/>
          <w:szCs w:val="24"/>
        </w:rPr>
        <w:t>B</w:t>
      </w:r>
      <w:r w:rsidRPr="005C53FB">
        <w:rPr>
          <w:rFonts w:ascii="Times New Roman" w:hAnsi="Times New Roman" w:cs="Times New Roman"/>
          <w:sz w:val="24"/>
          <w:szCs w:val="24"/>
        </w:rPr>
        <w:t>), or MLKL (</w:t>
      </w:r>
      <w:r w:rsidRPr="005C53FB">
        <w:rPr>
          <w:rFonts w:ascii="Times New Roman" w:hAnsi="Times New Roman" w:cs="Times New Roman"/>
          <w:b/>
          <w:bCs/>
          <w:sz w:val="24"/>
          <w:szCs w:val="24"/>
        </w:rPr>
        <w:t>C</w:t>
      </w:r>
      <w:r w:rsidRPr="005C53FB">
        <w:rPr>
          <w:rFonts w:ascii="Times New Roman" w:hAnsi="Times New Roman" w:cs="Times New Roman"/>
          <w:sz w:val="24"/>
          <w:szCs w:val="24"/>
        </w:rPr>
        <w:t>) in the TCGA cohort.</w:t>
      </w:r>
      <w:r w:rsidR="00B501A3">
        <w:rPr>
          <w:rFonts w:ascii="Times New Roman" w:hAnsi="Times New Roman" w:cs="Times New Roman"/>
          <w:sz w:val="24"/>
          <w:szCs w:val="24"/>
        </w:rPr>
        <w:t xml:space="preserve"> </w:t>
      </w:r>
      <w:r w:rsidRPr="005C53FB">
        <w:rPr>
          <w:rFonts w:ascii="Times New Roman" w:hAnsi="Times New Roman" w:cs="Times New Roman"/>
          <w:sz w:val="24"/>
          <w:szCs w:val="24"/>
        </w:rPr>
        <w:t>(</w:t>
      </w:r>
      <w:r w:rsidRPr="005C53FB">
        <w:rPr>
          <w:rFonts w:ascii="Times New Roman" w:hAnsi="Times New Roman" w:cs="Times New Roman"/>
          <w:b/>
          <w:bCs/>
          <w:sz w:val="24"/>
          <w:szCs w:val="24"/>
        </w:rPr>
        <w:t>D</w:t>
      </w:r>
      <w:r w:rsidRPr="005C53FB">
        <w:rPr>
          <w:rFonts w:ascii="Times New Roman" w:hAnsi="Times New Roman" w:cs="Times New Roman"/>
          <w:b/>
          <w:bCs/>
          <w:sz w:val="24"/>
          <w:szCs w:val="24"/>
        </w:rPr>
        <w:t>-</w:t>
      </w:r>
      <w:r w:rsidRPr="005C53FB">
        <w:rPr>
          <w:rFonts w:ascii="Times New Roman" w:hAnsi="Times New Roman" w:cs="Times New Roman"/>
          <w:b/>
          <w:bCs/>
          <w:sz w:val="24"/>
          <w:szCs w:val="24"/>
        </w:rPr>
        <w:t>E</w:t>
      </w:r>
      <w:r w:rsidRPr="005C53FB">
        <w:rPr>
          <w:rFonts w:ascii="Times New Roman" w:hAnsi="Times New Roman" w:cs="Times New Roman"/>
          <w:sz w:val="24"/>
          <w:szCs w:val="24"/>
        </w:rPr>
        <w:t>) Forest plots showing the associations of RIPK1, RIPK3, and MLKL expression with disease-specific survival (DSS) (</w:t>
      </w:r>
      <w:r w:rsidRPr="005C53FB">
        <w:rPr>
          <w:rFonts w:ascii="Times New Roman" w:hAnsi="Times New Roman" w:cs="Times New Roman"/>
          <w:b/>
          <w:bCs/>
          <w:sz w:val="24"/>
          <w:szCs w:val="24"/>
        </w:rPr>
        <w:t>D</w:t>
      </w:r>
      <w:r w:rsidRPr="005C53FB">
        <w:rPr>
          <w:rFonts w:ascii="Times New Roman" w:hAnsi="Times New Roman" w:cs="Times New Roman"/>
          <w:sz w:val="24"/>
          <w:szCs w:val="24"/>
        </w:rPr>
        <w:t xml:space="preserve">) </w:t>
      </w:r>
      <w:r w:rsidRPr="005C53FB">
        <w:rPr>
          <w:rFonts w:ascii="Times New Roman" w:hAnsi="Times New Roman" w:cs="Times New Roman"/>
          <w:sz w:val="24"/>
          <w:szCs w:val="24"/>
        </w:rPr>
        <w:lastRenderedPageBreak/>
        <w:t>and progression-free interval (PFI) (</w:t>
      </w:r>
      <w:r w:rsidRPr="005C53FB">
        <w:rPr>
          <w:rFonts w:ascii="Times New Roman" w:hAnsi="Times New Roman" w:cs="Times New Roman"/>
          <w:b/>
          <w:bCs/>
          <w:sz w:val="24"/>
          <w:szCs w:val="24"/>
        </w:rPr>
        <w:t>E</w:t>
      </w:r>
      <w:r w:rsidRPr="005C53FB">
        <w:rPr>
          <w:rFonts w:ascii="Times New Roman" w:hAnsi="Times New Roman" w:cs="Times New Roman"/>
          <w:sz w:val="24"/>
          <w:szCs w:val="24"/>
        </w:rPr>
        <w:t>) in gliomas of different WHO grades. Hazard ratios (HRs), 95% confidence intervals (CIs), and p values are indicated.</w:t>
      </w:r>
      <w:r w:rsidR="004F097D" w:rsidRPr="004F097D">
        <w:rPr>
          <w:rFonts w:ascii="Times New Roman" w:hAnsi="Times New Roman" w:cs="Times New Roman"/>
          <w:sz w:val="24"/>
          <w:szCs w:val="24"/>
        </w:rPr>
        <w:t xml:space="preserve"> *</w:t>
      </w:r>
      <w:r w:rsidR="004F097D" w:rsidRPr="004F097D">
        <w:rPr>
          <w:rFonts w:ascii="Times New Roman" w:hAnsi="Times New Roman" w:cs="Times New Roman"/>
          <w:i/>
          <w:iCs/>
          <w:sz w:val="24"/>
          <w:szCs w:val="24"/>
        </w:rPr>
        <w:t>p</w:t>
      </w:r>
      <w:r w:rsidR="004F097D" w:rsidRPr="004F097D">
        <w:rPr>
          <w:rFonts w:ascii="Times New Roman" w:hAnsi="Times New Roman" w:cs="Times New Roman"/>
          <w:sz w:val="24"/>
          <w:szCs w:val="24"/>
        </w:rPr>
        <w:t xml:space="preserve"> &lt; 0.05, **</w:t>
      </w:r>
      <w:r w:rsidR="004F097D" w:rsidRPr="004F097D">
        <w:rPr>
          <w:rFonts w:ascii="Times New Roman" w:hAnsi="Times New Roman" w:cs="Times New Roman"/>
          <w:i/>
          <w:iCs/>
          <w:sz w:val="24"/>
          <w:szCs w:val="24"/>
        </w:rPr>
        <w:t>p</w:t>
      </w:r>
      <w:r w:rsidR="004F097D" w:rsidRPr="004F097D">
        <w:rPr>
          <w:rFonts w:ascii="Times New Roman" w:hAnsi="Times New Roman" w:cs="Times New Roman"/>
          <w:sz w:val="24"/>
          <w:szCs w:val="24"/>
        </w:rPr>
        <w:t xml:space="preserve"> &lt; 0.01, ***</w:t>
      </w:r>
      <w:r w:rsidR="004F097D" w:rsidRPr="004F097D">
        <w:rPr>
          <w:rFonts w:ascii="Times New Roman" w:hAnsi="Times New Roman" w:cs="Times New Roman"/>
          <w:i/>
          <w:iCs/>
          <w:sz w:val="24"/>
          <w:szCs w:val="24"/>
        </w:rPr>
        <w:t>p</w:t>
      </w:r>
      <w:r w:rsidR="004F097D" w:rsidRPr="004F097D">
        <w:rPr>
          <w:rFonts w:ascii="Times New Roman" w:hAnsi="Times New Roman" w:cs="Times New Roman"/>
          <w:sz w:val="24"/>
          <w:szCs w:val="24"/>
        </w:rPr>
        <w:t xml:space="preserve"> &lt; 0.001.</w:t>
      </w:r>
      <w:r w:rsidR="004F097D">
        <w:rPr>
          <w:rFonts w:ascii="Times New Roman" w:hAnsi="Times New Roman" w:cs="Times New Roman"/>
          <w:sz w:val="24"/>
          <w:szCs w:val="24"/>
        </w:rPr>
        <w:t xml:space="preserve"> </w:t>
      </w:r>
      <w:r w:rsidR="004F097D">
        <w:rPr>
          <w:rFonts w:ascii="Times New Roman" w:hAnsi="Times New Roman" w:cs="Times New Roman"/>
          <w:sz w:val="24"/>
          <w:szCs w:val="24"/>
        </w:rPr>
        <w:br w:type="page"/>
      </w:r>
    </w:p>
    <w:p w14:paraId="122A49D4" w14:textId="0CC57162" w:rsidR="004F097D" w:rsidRPr="004F097D" w:rsidRDefault="004F097D" w:rsidP="00636DB0">
      <w:pPr>
        <w:spacing w:line="480" w:lineRule="auto"/>
        <w:jc w:val="center"/>
        <w:rPr>
          <w:rFonts w:ascii="Times New Roman" w:hAnsi="Times New Roman" w:cs="Times New Roman"/>
          <w:sz w:val="24"/>
          <w:szCs w:val="24"/>
          <w:lang w:val="en-AU"/>
        </w:rPr>
      </w:pPr>
      <w:r>
        <w:rPr>
          <w:noProof/>
        </w:rPr>
        <w:lastRenderedPageBreak/>
        <w:drawing>
          <wp:inline distT="0" distB="0" distL="0" distR="0" wp14:anchorId="0D9B7D6B" wp14:editId="034527B2">
            <wp:extent cx="5903399" cy="7400925"/>
            <wp:effectExtent l="0" t="0" r="2540" b="3175"/>
            <wp:docPr id="1962134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134041" name=""/>
                    <pic:cNvPicPr/>
                  </pic:nvPicPr>
                  <pic:blipFill>
                    <a:blip r:embed="rId10"/>
                    <a:stretch>
                      <a:fillRect/>
                    </a:stretch>
                  </pic:blipFill>
                  <pic:spPr>
                    <a:xfrm>
                      <a:off x="0" y="0"/>
                      <a:ext cx="5927181" cy="7430740"/>
                    </a:xfrm>
                    <a:prstGeom prst="rect">
                      <a:avLst/>
                    </a:prstGeom>
                  </pic:spPr>
                </pic:pic>
              </a:graphicData>
            </a:graphic>
          </wp:inline>
        </w:drawing>
      </w:r>
    </w:p>
    <w:p w14:paraId="2E1E0470" w14:textId="77777777" w:rsidR="004F097D" w:rsidRPr="005C53FB" w:rsidRDefault="004F097D" w:rsidP="00636DB0">
      <w:pPr>
        <w:spacing w:line="480" w:lineRule="auto"/>
        <w:jc w:val="left"/>
        <w:rPr>
          <w:rFonts w:ascii="Times New Roman" w:hAnsi="Times New Roman" w:cs="Times New Roman"/>
          <w:b/>
          <w:bCs/>
          <w:sz w:val="24"/>
          <w:szCs w:val="24"/>
          <w:lang w:val="en-AU"/>
        </w:rPr>
      </w:pPr>
      <w:r w:rsidRPr="004F097D">
        <w:rPr>
          <w:rFonts w:ascii="Times New Roman" w:hAnsi="Times New Roman" w:cs="Times New Roman" w:hint="eastAsia"/>
          <w:b/>
          <w:bCs/>
          <w:sz w:val="24"/>
          <w:szCs w:val="24"/>
        </w:rPr>
        <w:t xml:space="preserve">Figure S5. </w:t>
      </w:r>
      <w:r w:rsidRPr="005C53FB">
        <w:rPr>
          <w:rFonts w:ascii="Times New Roman" w:hAnsi="Times New Roman" w:cs="Times New Roman"/>
          <w:b/>
          <w:bCs/>
          <w:sz w:val="24"/>
          <w:szCs w:val="24"/>
        </w:rPr>
        <w:t>RIPK1, RIPK3, and MLKL gene expression were correlated with OS in the</w:t>
      </w:r>
      <w:r w:rsidRPr="005C53FB">
        <w:rPr>
          <w:rFonts w:ascii="Times New Roman" w:hAnsi="Times New Roman" w:cs="Times New Roman"/>
          <w:b/>
          <w:bCs/>
          <w:sz w:val="24"/>
          <w:szCs w:val="24"/>
          <w:lang w:val="en-AU"/>
        </w:rPr>
        <w:t xml:space="preserve"> </w:t>
      </w:r>
      <w:r w:rsidRPr="005C53FB">
        <w:rPr>
          <w:rFonts w:ascii="Times New Roman" w:hAnsi="Times New Roman" w:cs="Times New Roman"/>
          <w:b/>
          <w:bCs/>
          <w:sz w:val="24"/>
          <w:szCs w:val="24"/>
        </w:rPr>
        <w:t>CGGA</w:t>
      </w:r>
      <w:r w:rsidRPr="005C53FB">
        <w:rPr>
          <w:rFonts w:ascii="Times New Roman" w:hAnsi="Times New Roman" w:cs="Times New Roman"/>
          <w:b/>
          <w:bCs/>
          <w:sz w:val="24"/>
          <w:szCs w:val="24"/>
          <w:lang w:val="en-AU"/>
        </w:rPr>
        <w:t xml:space="preserve"> </w:t>
      </w:r>
      <w:r w:rsidRPr="005C53FB">
        <w:rPr>
          <w:rFonts w:ascii="Times New Roman" w:hAnsi="Times New Roman" w:cs="Times New Roman"/>
          <w:b/>
          <w:bCs/>
          <w:sz w:val="24"/>
          <w:szCs w:val="24"/>
        </w:rPr>
        <w:t>database.</w:t>
      </w:r>
    </w:p>
    <w:p w14:paraId="4A21A1E4" w14:textId="0455AD7E" w:rsidR="004F097D" w:rsidRDefault="00B501A3" w:rsidP="00636DB0">
      <w:pPr>
        <w:spacing w:line="480" w:lineRule="auto"/>
        <w:jc w:val="left"/>
        <w:rPr>
          <w:rFonts w:ascii="Times New Roman" w:hAnsi="Times New Roman" w:cs="Times New Roman"/>
          <w:sz w:val="24"/>
          <w:szCs w:val="24"/>
        </w:rPr>
      </w:pPr>
      <w:r w:rsidRPr="00B501A3">
        <w:rPr>
          <w:rFonts w:ascii="Times New Roman" w:hAnsi="Times New Roman" w:cs="Times New Roman"/>
          <w:sz w:val="24"/>
          <w:szCs w:val="24"/>
        </w:rPr>
        <w:t>(</w:t>
      </w:r>
      <w:r w:rsidR="00B006BA" w:rsidRPr="00B501A3">
        <w:rPr>
          <w:rFonts w:ascii="Times New Roman" w:hAnsi="Times New Roman" w:cs="Times New Roman" w:hint="eastAsia"/>
          <w:b/>
          <w:bCs/>
          <w:sz w:val="24"/>
          <w:szCs w:val="24"/>
        </w:rPr>
        <w:t>A-C</w:t>
      </w:r>
      <w:r w:rsidRPr="00B501A3">
        <w:rPr>
          <w:rFonts w:ascii="Times New Roman" w:hAnsi="Times New Roman" w:cs="Times New Roman"/>
          <w:sz w:val="24"/>
          <w:szCs w:val="24"/>
        </w:rPr>
        <w:t>)</w:t>
      </w:r>
      <w:r w:rsidR="00B006BA">
        <w:rPr>
          <w:rFonts w:ascii="Times New Roman" w:hAnsi="Times New Roman" w:cs="Times New Roman" w:hint="eastAsia"/>
          <w:sz w:val="24"/>
          <w:szCs w:val="24"/>
        </w:rPr>
        <w:t xml:space="preserve">. </w:t>
      </w:r>
      <w:r w:rsidR="004F097D" w:rsidRPr="004F097D">
        <w:rPr>
          <w:rFonts w:ascii="Times New Roman" w:hAnsi="Times New Roman" w:cs="Times New Roman"/>
          <w:sz w:val="24"/>
          <w:szCs w:val="24"/>
        </w:rPr>
        <w:t>The high- and low-expression values of RIPK1 (</w:t>
      </w:r>
      <w:r w:rsidR="004F097D" w:rsidRPr="00B501A3">
        <w:rPr>
          <w:rFonts w:ascii="Times New Roman" w:hAnsi="Times New Roman" w:cs="Times New Roman"/>
          <w:b/>
          <w:bCs/>
          <w:sz w:val="24"/>
          <w:szCs w:val="24"/>
        </w:rPr>
        <w:t>A</w:t>
      </w:r>
      <w:r w:rsidR="004F097D" w:rsidRPr="004F097D">
        <w:rPr>
          <w:rFonts w:ascii="Times New Roman" w:hAnsi="Times New Roman" w:cs="Times New Roman"/>
          <w:sz w:val="24"/>
          <w:szCs w:val="24"/>
        </w:rPr>
        <w:t>), RIPK3 (</w:t>
      </w:r>
      <w:r w:rsidR="004F097D" w:rsidRPr="00B501A3">
        <w:rPr>
          <w:rFonts w:ascii="Times New Roman" w:hAnsi="Times New Roman" w:cs="Times New Roman"/>
          <w:b/>
          <w:bCs/>
          <w:sz w:val="24"/>
          <w:szCs w:val="24"/>
        </w:rPr>
        <w:t>B</w:t>
      </w:r>
      <w:r w:rsidR="004F097D" w:rsidRPr="004F097D">
        <w:rPr>
          <w:rFonts w:ascii="Times New Roman" w:hAnsi="Times New Roman" w:cs="Times New Roman"/>
          <w:sz w:val="24"/>
          <w:szCs w:val="24"/>
        </w:rPr>
        <w:t>), or MLKL (</w:t>
      </w:r>
      <w:r w:rsidR="004F097D" w:rsidRPr="00B501A3">
        <w:rPr>
          <w:rFonts w:ascii="Times New Roman" w:hAnsi="Times New Roman" w:cs="Times New Roman"/>
          <w:b/>
          <w:bCs/>
          <w:sz w:val="24"/>
          <w:szCs w:val="24"/>
        </w:rPr>
        <w:t>C</w:t>
      </w:r>
      <w:r w:rsidR="004F097D" w:rsidRPr="004F097D">
        <w:rPr>
          <w:rFonts w:ascii="Times New Roman" w:hAnsi="Times New Roman" w:cs="Times New Roman"/>
          <w:sz w:val="24"/>
          <w:szCs w:val="24"/>
        </w:rPr>
        <w:t xml:space="preserve">) were </w:t>
      </w:r>
      <w:r w:rsidR="004F097D" w:rsidRPr="004F097D">
        <w:rPr>
          <w:rFonts w:ascii="Times New Roman" w:hAnsi="Times New Roman" w:cs="Times New Roman"/>
          <w:sz w:val="24"/>
          <w:szCs w:val="24"/>
        </w:rPr>
        <w:lastRenderedPageBreak/>
        <w:t>compared by Kaplan-Meier survival curves for the CGGA glioma cohort with different WHO grades. The horizontal axis indicated the overall survival time in days, and the vertical axis represented the overall survival (OS) rate.</w:t>
      </w:r>
      <w:r w:rsidR="004F097D">
        <w:rPr>
          <w:rFonts w:ascii="Times New Roman" w:hAnsi="Times New Roman" w:cs="Times New Roman"/>
          <w:sz w:val="24"/>
          <w:szCs w:val="24"/>
        </w:rPr>
        <w:br w:type="page"/>
      </w:r>
    </w:p>
    <w:p w14:paraId="1E224520" w14:textId="398B9646" w:rsidR="004F097D" w:rsidRDefault="005C53FB" w:rsidP="00636DB0">
      <w:pPr>
        <w:spacing w:line="480" w:lineRule="auto"/>
        <w:jc w:val="center"/>
        <w:rPr>
          <w:rFonts w:ascii="Times New Roman" w:hAnsi="Times New Roman" w:cs="Times New Roman"/>
          <w:sz w:val="24"/>
          <w:szCs w:val="24"/>
          <w:lang w:val="en-AU"/>
        </w:rPr>
      </w:pPr>
      <w:r w:rsidRPr="005C53FB">
        <w:rPr>
          <w:rFonts w:ascii="Times New Roman" w:hAnsi="Times New Roman" w:cs="Times New Roman"/>
          <w:sz w:val="24"/>
          <w:szCs w:val="24"/>
          <w:lang w:val="en-AU"/>
        </w:rPr>
        <w:lastRenderedPageBreak/>
        <w:drawing>
          <wp:inline distT="0" distB="0" distL="0" distR="0" wp14:anchorId="3B10C16A" wp14:editId="1333F71A">
            <wp:extent cx="5553554" cy="4872038"/>
            <wp:effectExtent l="0" t="0" r="0" b="5080"/>
            <wp:docPr id="3541834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183480" name=""/>
                    <pic:cNvPicPr/>
                  </pic:nvPicPr>
                  <pic:blipFill>
                    <a:blip r:embed="rId11"/>
                    <a:stretch>
                      <a:fillRect/>
                    </a:stretch>
                  </pic:blipFill>
                  <pic:spPr>
                    <a:xfrm>
                      <a:off x="0" y="0"/>
                      <a:ext cx="5604447" cy="4916686"/>
                    </a:xfrm>
                    <a:prstGeom prst="rect">
                      <a:avLst/>
                    </a:prstGeom>
                  </pic:spPr>
                </pic:pic>
              </a:graphicData>
            </a:graphic>
          </wp:inline>
        </w:drawing>
      </w:r>
    </w:p>
    <w:p w14:paraId="28548542" w14:textId="7CBCC3EF" w:rsidR="004F097D" w:rsidRPr="005C53FB" w:rsidRDefault="005C53FB" w:rsidP="00636DB0">
      <w:pPr>
        <w:spacing w:line="480" w:lineRule="auto"/>
        <w:rPr>
          <w:rFonts w:ascii="Times New Roman" w:hAnsi="Times New Roman" w:cs="Times New Roman"/>
          <w:sz w:val="24"/>
          <w:szCs w:val="24"/>
        </w:rPr>
      </w:pPr>
      <w:r w:rsidRPr="005C53FB">
        <w:rPr>
          <w:rFonts w:ascii="Times New Roman" w:hAnsi="Times New Roman" w:cs="Times New Roman"/>
          <w:b/>
          <w:bCs/>
          <w:sz w:val="24"/>
          <w:szCs w:val="24"/>
        </w:rPr>
        <w:t>Figure S6. RIPK1, RIPK3, and MLKL are highly expressed in gliomas and contribute to tumor progression.</w:t>
      </w:r>
      <w:r w:rsidRPr="005C53FB">
        <w:rPr>
          <w:rFonts w:ascii="Times New Roman" w:hAnsi="Times New Roman" w:cs="Times New Roman"/>
          <w:b/>
          <w:bCs/>
          <w:sz w:val="24"/>
          <w:szCs w:val="24"/>
        </w:rPr>
        <w:br/>
      </w:r>
      <w:r w:rsidRPr="005C53FB">
        <w:rPr>
          <w:rFonts w:ascii="Times New Roman" w:hAnsi="Times New Roman" w:cs="Times New Roman"/>
          <w:sz w:val="24"/>
          <w:szCs w:val="24"/>
        </w:rPr>
        <w:t>(</w:t>
      </w:r>
      <w:r w:rsidRPr="005C53FB">
        <w:rPr>
          <w:rFonts w:ascii="Times New Roman" w:hAnsi="Times New Roman" w:cs="Times New Roman"/>
          <w:b/>
          <w:bCs/>
          <w:sz w:val="24"/>
          <w:szCs w:val="24"/>
        </w:rPr>
        <w:t>A</w:t>
      </w:r>
      <w:r w:rsidRPr="005C53FB">
        <w:rPr>
          <w:rFonts w:ascii="Times New Roman" w:hAnsi="Times New Roman" w:cs="Times New Roman"/>
          <w:sz w:val="24"/>
          <w:szCs w:val="24"/>
        </w:rPr>
        <w:t>) U87 cells transfected with siRNA were cultured for an additional 5 days, and cell proliferation was assessed using the CCK-8 assay.</w:t>
      </w:r>
      <w:r w:rsidR="00443074">
        <w:rPr>
          <w:rFonts w:ascii="Times New Roman" w:hAnsi="Times New Roman" w:cs="Times New Roman"/>
          <w:sz w:val="24"/>
          <w:szCs w:val="24"/>
        </w:rPr>
        <w:t xml:space="preserve"> </w:t>
      </w:r>
      <w:proofErr w:type="gramStart"/>
      <w:r w:rsidRPr="005C53FB">
        <w:rPr>
          <w:rFonts w:ascii="Times New Roman" w:hAnsi="Times New Roman" w:cs="Times New Roman"/>
          <w:sz w:val="24"/>
          <w:szCs w:val="24"/>
        </w:rPr>
        <w:t>(</w:t>
      </w:r>
      <w:proofErr w:type="gramEnd"/>
      <w:r w:rsidRPr="005C53FB">
        <w:rPr>
          <w:rFonts w:ascii="Times New Roman" w:hAnsi="Times New Roman" w:cs="Times New Roman"/>
          <w:b/>
          <w:bCs/>
          <w:sz w:val="24"/>
          <w:szCs w:val="24"/>
        </w:rPr>
        <w:t>B</w:t>
      </w:r>
      <w:r w:rsidRPr="005C53FB">
        <w:rPr>
          <w:rFonts w:ascii="Times New Roman" w:hAnsi="Times New Roman" w:cs="Times New Roman"/>
          <w:sz w:val="24"/>
          <w:szCs w:val="24"/>
        </w:rPr>
        <w:t>) Volcano plot showing differentially expressed genes (DEGs) from RNA-seq analysis comparing RIPK1</w:t>
      </w:r>
      <w:r w:rsidRPr="005C53FB">
        <w:rPr>
          <w:rFonts w:ascii="Times New Roman" w:hAnsi="Times New Roman" w:cs="Times New Roman"/>
          <w:sz w:val="24"/>
          <w:szCs w:val="24"/>
          <w:vertAlign w:val="superscript"/>
        </w:rPr>
        <w:t>–/–</w:t>
      </w:r>
      <w:r w:rsidRPr="005C53FB">
        <w:rPr>
          <w:rFonts w:ascii="Times New Roman" w:hAnsi="Times New Roman" w:cs="Times New Roman"/>
          <w:sz w:val="24"/>
          <w:szCs w:val="24"/>
        </w:rPr>
        <w:t xml:space="preserve"> U251 cells with wild-type U251 cells. Genes with p ≤ 0.05 and fold change ≥ 1.5 or ≤ –1.5 were considered significant.</w:t>
      </w:r>
      <w:r w:rsidR="00443074">
        <w:rPr>
          <w:rFonts w:ascii="Times New Roman" w:hAnsi="Times New Roman" w:cs="Times New Roman"/>
          <w:sz w:val="24"/>
          <w:szCs w:val="24"/>
        </w:rPr>
        <w:t xml:space="preserve"> </w:t>
      </w:r>
      <w:r w:rsidRPr="005C53FB">
        <w:rPr>
          <w:rFonts w:ascii="Times New Roman" w:hAnsi="Times New Roman" w:cs="Times New Roman"/>
          <w:sz w:val="24"/>
          <w:szCs w:val="24"/>
        </w:rPr>
        <w:t>(</w:t>
      </w:r>
      <w:r w:rsidRPr="005C53FB">
        <w:rPr>
          <w:rFonts w:ascii="Times New Roman" w:hAnsi="Times New Roman" w:cs="Times New Roman"/>
          <w:b/>
          <w:bCs/>
          <w:sz w:val="24"/>
          <w:szCs w:val="24"/>
        </w:rPr>
        <w:t>C</w:t>
      </w:r>
      <w:r w:rsidRPr="005C53FB">
        <w:rPr>
          <w:rFonts w:ascii="Times New Roman" w:hAnsi="Times New Roman" w:cs="Times New Roman"/>
          <w:sz w:val="24"/>
          <w:szCs w:val="24"/>
        </w:rPr>
        <w:t xml:space="preserve">) Cell adhesion-related genes in </w:t>
      </w:r>
      <w:r w:rsidRPr="005C53FB">
        <w:rPr>
          <w:rFonts w:ascii="Times New Roman" w:hAnsi="Times New Roman" w:cs="Times New Roman"/>
          <w:b/>
          <w:bCs/>
          <w:sz w:val="24"/>
          <w:szCs w:val="24"/>
        </w:rPr>
        <w:t>B</w:t>
      </w:r>
      <w:r w:rsidRPr="005C53FB">
        <w:rPr>
          <w:rFonts w:ascii="Times New Roman" w:hAnsi="Times New Roman" w:cs="Times New Roman"/>
          <w:sz w:val="24"/>
          <w:szCs w:val="24"/>
        </w:rPr>
        <w:t>.</w:t>
      </w:r>
      <w:r w:rsidR="00443074">
        <w:rPr>
          <w:rFonts w:ascii="Times New Roman" w:hAnsi="Times New Roman" w:cs="Times New Roman" w:hint="eastAsia"/>
          <w:sz w:val="24"/>
          <w:szCs w:val="24"/>
        </w:rPr>
        <w:t xml:space="preserve"> </w:t>
      </w:r>
      <w:r w:rsidRPr="005C53FB">
        <w:rPr>
          <w:rFonts w:ascii="Times New Roman" w:hAnsi="Times New Roman" w:cs="Times New Roman"/>
          <w:sz w:val="24"/>
          <w:szCs w:val="24"/>
        </w:rPr>
        <w:t>(</w:t>
      </w:r>
      <w:r w:rsidRPr="005C53FB">
        <w:rPr>
          <w:rFonts w:ascii="Times New Roman" w:hAnsi="Times New Roman" w:cs="Times New Roman"/>
          <w:b/>
          <w:bCs/>
          <w:sz w:val="24"/>
          <w:szCs w:val="24"/>
        </w:rPr>
        <w:t>D</w:t>
      </w:r>
      <w:r w:rsidRPr="005C53FB">
        <w:rPr>
          <w:rFonts w:ascii="Times New Roman" w:hAnsi="Times New Roman" w:cs="Times New Roman"/>
          <w:sz w:val="24"/>
          <w:szCs w:val="24"/>
        </w:rPr>
        <w:t>)</w:t>
      </w:r>
      <w:r>
        <w:rPr>
          <w:rFonts w:ascii="Times New Roman" w:hAnsi="Times New Roman" w:cs="Times New Roman"/>
          <w:sz w:val="24"/>
          <w:szCs w:val="24"/>
        </w:rPr>
        <w:t xml:space="preserve"> </w:t>
      </w:r>
      <w:r w:rsidRPr="005C53FB">
        <w:rPr>
          <w:rFonts w:ascii="Times New Roman" w:hAnsi="Times New Roman" w:cs="Times New Roman"/>
          <w:sz w:val="24"/>
          <w:szCs w:val="24"/>
        </w:rPr>
        <w:t>GO–KEGG pathway enrichment analysis of Ripk1</w:t>
      </w:r>
      <w:r w:rsidRPr="005C53FB">
        <w:rPr>
          <w:rFonts w:ascii="Times New Roman" w:hAnsi="Times New Roman" w:cs="Times New Roman"/>
          <w:sz w:val="24"/>
          <w:szCs w:val="24"/>
          <w:vertAlign w:val="superscript"/>
        </w:rPr>
        <w:t>–/–</w:t>
      </w:r>
      <w:r w:rsidRPr="005C53FB">
        <w:rPr>
          <w:rFonts w:ascii="Times New Roman" w:hAnsi="Times New Roman" w:cs="Times New Roman"/>
          <w:sz w:val="24"/>
          <w:szCs w:val="24"/>
        </w:rPr>
        <w:t xml:space="preserve"> versus WT MEFs. Data were obtained from the National Omics Data Encyclopedia (OEP002409).</w:t>
      </w:r>
      <w:r>
        <w:rPr>
          <w:rFonts w:ascii="Times New Roman" w:hAnsi="Times New Roman" w:cs="Times New Roman"/>
          <w:sz w:val="24"/>
          <w:szCs w:val="24"/>
        </w:rPr>
        <w:t xml:space="preserve"> </w:t>
      </w:r>
      <w:proofErr w:type="gramStart"/>
      <w:r w:rsidR="004F097D" w:rsidRPr="004F097D">
        <w:rPr>
          <w:rFonts w:ascii="Times New Roman" w:hAnsi="Times New Roman" w:cs="Times New Roman"/>
          <w:sz w:val="24"/>
          <w:szCs w:val="24"/>
        </w:rPr>
        <w:t>All</w:t>
      </w:r>
      <w:proofErr w:type="gramEnd"/>
      <w:r w:rsidR="004F097D" w:rsidRPr="004F097D">
        <w:rPr>
          <w:rFonts w:ascii="Times New Roman" w:hAnsi="Times New Roman" w:cs="Times New Roman"/>
          <w:sz w:val="24"/>
          <w:szCs w:val="24"/>
        </w:rPr>
        <w:t xml:space="preserve"> data were shown as means ± SD.</w:t>
      </w:r>
      <w:r w:rsidR="004F097D" w:rsidRPr="004F097D">
        <w:rPr>
          <w:rFonts w:ascii="Times New Roman" w:hAnsi="Times New Roman" w:cs="Times New Roman"/>
          <w:sz w:val="24"/>
          <w:szCs w:val="24"/>
          <w:lang w:val="en-AU"/>
        </w:rPr>
        <w:t xml:space="preserve"> </w:t>
      </w:r>
      <w:r w:rsidR="004F097D" w:rsidRPr="004F097D">
        <w:rPr>
          <w:rFonts w:ascii="Times New Roman" w:hAnsi="Times New Roman" w:cs="Times New Roman"/>
          <w:sz w:val="24"/>
          <w:szCs w:val="24"/>
        </w:rPr>
        <w:t>*</w:t>
      </w:r>
      <w:r w:rsidR="004F097D" w:rsidRPr="004F097D">
        <w:rPr>
          <w:rFonts w:ascii="Times New Roman" w:hAnsi="Times New Roman" w:cs="Times New Roman"/>
          <w:i/>
          <w:iCs/>
          <w:sz w:val="24"/>
          <w:szCs w:val="24"/>
        </w:rPr>
        <w:t>p</w:t>
      </w:r>
      <w:r w:rsidR="004F097D" w:rsidRPr="004F097D">
        <w:rPr>
          <w:rFonts w:ascii="Times New Roman" w:hAnsi="Times New Roman" w:cs="Times New Roman"/>
          <w:sz w:val="24"/>
          <w:szCs w:val="24"/>
        </w:rPr>
        <w:t xml:space="preserve"> &lt; 0.05, **</w:t>
      </w:r>
      <w:r w:rsidR="004F097D" w:rsidRPr="004F097D">
        <w:rPr>
          <w:rFonts w:ascii="Times New Roman" w:hAnsi="Times New Roman" w:cs="Times New Roman"/>
          <w:i/>
          <w:iCs/>
          <w:sz w:val="24"/>
          <w:szCs w:val="24"/>
        </w:rPr>
        <w:t>p</w:t>
      </w:r>
      <w:r w:rsidR="004F097D" w:rsidRPr="004F097D">
        <w:rPr>
          <w:rFonts w:ascii="Times New Roman" w:hAnsi="Times New Roman" w:cs="Times New Roman"/>
          <w:sz w:val="24"/>
          <w:szCs w:val="24"/>
        </w:rPr>
        <w:t xml:space="preserve"> &lt; 0.01, ***</w:t>
      </w:r>
      <w:r w:rsidR="004F097D" w:rsidRPr="004F097D">
        <w:rPr>
          <w:rFonts w:ascii="Times New Roman" w:hAnsi="Times New Roman" w:cs="Times New Roman"/>
          <w:i/>
          <w:iCs/>
          <w:sz w:val="24"/>
          <w:szCs w:val="24"/>
        </w:rPr>
        <w:t>p</w:t>
      </w:r>
      <w:r w:rsidR="004F097D" w:rsidRPr="004F097D">
        <w:rPr>
          <w:rFonts w:ascii="Times New Roman" w:hAnsi="Times New Roman" w:cs="Times New Roman"/>
          <w:sz w:val="24"/>
          <w:szCs w:val="24"/>
        </w:rPr>
        <w:t xml:space="preserve"> &lt; 0.001, ns, no significance.</w:t>
      </w:r>
      <w:r w:rsidR="004F097D">
        <w:rPr>
          <w:rFonts w:ascii="Times New Roman" w:hAnsi="Times New Roman" w:cs="Times New Roman"/>
          <w:sz w:val="24"/>
          <w:szCs w:val="24"/>
          <w:lang w:val="en-AU"/>
        </w:rPr>
        <w:t xml:space="preserve"> </w:t>
      </w:r>
    </w:p>
    <w:sectPr w:rsidR="004F097D" w:rsidRPr="005C53FB" w:rsidSect="004F097D">
      <w:pgSz w:w="11906" w:h="16838"/>
      <w:pgMar w:top="1440" w:right="1080" w:bottom="1440" w:left="108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88FD54" w14:textId="77777777" w:rsidR="00FA7230" w:rsidRDefault="00FA7230" w:rsidP="0071033F">
      <w:r>
        <w:separator/>
      </w:r>
    </w:p>
  </w:endnote>
  <w:endnote w:type="continuationSeparator" w:id="0">
    <w:p w14:paraId="2A8740D3" w14:textId="77777777" w:rsidR="00FA7230" w:rsidRDefault="00FA7230" w:rsidP="007103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7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3F4E19" w14:textId="77777777" w:rsidR="00FA7230" w:rsidRDefault="00FA7230" w:rsidP="0071033F">
      <w:r>
        <w:separator/>
      </w:r>
    </w:p>
  </w:footnote>
  <w:footnote w:type="continuationSeparator" w:id="0">
    <w:p w14:paraId="315956AA" w14:textId="77777777" w:rsidR="00FA7230" w:rsidRDefault="00FA7230" w:rsidP="0071033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8"/>
  <w:bordersDoNotSurroundHeader/>
  <w:bordersDoNotSurroundFooter/>
  <w:hideSpellingErrors/>
  <w:hideGrammaticalErrors/>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A76"/>
    <w:rsid w:val="00024217"/>
    <w:rsid w:val="00154BD6"/>
    <w:rsid w:val="001B70F3"/>
    <w:rsid w:val="001C757C"/>
    <w:rsid w:val="002D286C"/>
    <w:rsid w:val="00300584"/>
    <w:rsid w:val="0032318D"/>
    <w:rsid w:val="00340689"/>
    <w:rsid w:val="00344A76"/>
    <w:rsid w:val="00374A21"/>
    <w:rsid w:val="00377905"/>
    <w:rsid w:val="00385FEB"/>
    <w:rsid w:val="00403E1C"/>
    <w:rsid w:val="00443074"/>
    <w:rsid w:val="004C503A"/>
    <w:rsid w:val="004D4009"/>
    <w:rsid w:val="004E0A13"/>
    <w:rsid w:val="004F097D"/>
    <w:rsid w:val="00566E0F"/>
    <w:rsid w:val="00597F8E"/>
    <w:rsid w:val="005C53FB"/>
    <w:rsid w:val="005E21C1"/>
    <w:rsid w:val="00636DB0"/>
    <w:rsid w:val="0063756F"/>
    <w:rsid w:val="0065380A"/>
    <w:rsid w:val="00653DB5"/>
    <w:rsid w:val="0065460E"/>
    <w:rsid w:val="00661B6B"/>
    <w:rsid w:val="006620D2"/>
    <w:rsid w:val="00671CAA"/>
    <w:rsid w:val="0068420F"/>
    <w:rsid w:val="006A39D0"/>
    <w:rsid w:val="006D7366"/>
    <w:rsid w:val="0071033F"/>
    <w:rsid w:val="00782B70"/>
    <w:rsid w:val="007A4F3E"/>
    <w:rsid w:val="007E293E"/>
    <w:rsid w:val="007F1B64"/>
    <w:rsid w:val="00863375"/>
    <w:rsid w:val="008652FB"/>
    <w:rsid w:val="00896D4E"/>
    <w:rsid w:val="008C6916"/>
    <w:rsid w:val="00946215"/>
    <w:rsid w:val="00971627"/>
    <w:rsid w:val="00A35EFC"/>
    <w:rsid w:val="00A54EF9"/>
    <w:rsid w:val="00A767F6"/>
    <w:rsid w:val="00AD116F"/>
    <w:rsid w:val="00AD3F2C"/>
    <w:rsid w:val="00B006BA"/>
    <w:rsid w:val="00B501A3"/>
    <w:rsid w:val="00B64D69"/>
    <w:rsid w:val="00BF4C15"/>
    <w:rsid w:val="00C66737"/>
    <w:rsid w:val="00C6793A"/>
    <w:rsid w:val="00C94363"/>
    <w:rsid w:val="00D008BE"/>
    <w:rsid w:val="00D437C3"/>
    <w:rsid w:val="00D50D4D"/>
    <w:rsid w:val="00DF2A12"/>
    <w:rsid w:val="00F475FC"/>
    <w:rsid w:val="00F70A63"/>
    <w:rsid w:val="00F90139"/>
    <w:rsid w:val="00FA476F"/>
    <w:rsid w:val="00FA72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E46BF5"/>
  <w15:chartTrackingRefBased/>
  <w15:docId w15:val="{D327ED83-DC79-4FEC-BBF8-5FD8C4E81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1033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71033F"/>
    <w:rPr>
      <w:sz w:val="18"/>
      <w:szCs w:val="18"/>
    </w:rPr>
  </w:style>
  <w:style w:type="paragraph" w:styleId="a5">
    <w:name w:val="footer"/>
    <w:basedOn w:val="a"/>
    <w:link w:val="a6"/>
    <w:uiPriority w:val="99"/>
    <w:unhideWhenUsed/>
    <w:rsid w:val="0071033F"/>
    <w:pPr>
      <w:tabs>
        <w:tab w:val="center" w:pos="4153"/>
        <w:tab w:val="right" w:pos="8306"/>
      </w:tabs>
      <w:snapToGrid w:val="0"/>
      <w:jc w:val="left"/>
    </w:pPr>
    <w:rPr>
      <w:sz w:val="18"/>
      <w:szCs w:val="18"/>
    </w:rPr>
  </w:style>
  <w:style w:type="character" w:customStyle="1" w:styleId="a6">
    <w:name w:val="页脚 字符"/>
    <w:basedOn w:val="a0"/>
    <w:link w:val="a5"/>
    <w:uiPriority w:val="99"/>
    <w:rsid w:val="0071033F"/>
    <w:rPr>
      <w:sz w:val="18"/>
      <w:szCs w:val="18"/>
    </w:rPr>
  </w:style>
  <w:style w:type="character" w:styleId="a7">
    <w:name w:val="line number"/>
    <w:basedOn w:val="a0"/>
    <w:uiPriority w:val="99"/>
    <w:semiHidden/>
    <w:unhideWhenUsed/>
    <w:rsid w:val="0071033F"/>
  </w:style>
  <w:style w:type="paragraph" w:styleId="a8">
    <w:name w:val="List Paragraph"/>
    <w:basedOn w:val="a"/>
    <w:uiPriority w:val="34"/>
    <w:qFormat/>
    <w:rsid w:val="0071033F"/>
    <w:pPr>
      <w:ind w:firstLineChars="200" w:firstLine="420"/>
    </w:pPr>
  </w:style>
  <w:style w:type="character" w:styleId="a9">
    <w:name w:val="Hyperlink"/>
    <w:basedOn w:val="a0"/>
    <w:uiPriority w:val="99"/>
    <w:unhideWhenUsed/>
    <w:rsid w:val="004F097D"/>
    <w:rPr>
      <w:color w:val="0563C1" w:themeColor="hyperlink"/>
      <w:u w:val="single"/>
    </w:rPr>
  </w:style>
  <w:style w:type="character" w:styleId="aa">
    <w:name w:val="Unresolved Mention"/>
    <w:basedOn w:val="a0"/>
    <w:uiPriority w:val="99"/>
    <w:semiHidden/>
    <w:unhideWhenUsed/>
    <w:rsid w:val="004F09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670580">
      <w:bodyDiv w:val="1"/>
      <w:marLeft w:val="0"/>
      <w:marRight w:val="0"/>
      <w:marTop w:val="0"/>
      <w:marBottom w:val="0"/>
      <w:divBdr>
        <w:top w:val="none" w:sz="0" w:space="0" w:color="auto"/>
        <w:left w:val="none" w:sz="0" w:space="0" w:color="auto"/>
        <w:bottom w:val="none" w:sz="0" w:space="0" w:color="auto"/>
        <w:right w:val="none" w:sz="0" w:space="0" w:color="auto"/>
      </w:divBdr>
    </w:div>
    <w:div w:id="514732324">
      <w:bodyDiv w:val="1"/>
      <w:marLeft w:val="0"/>
      <w:marRight w:val="0"/>
      <w:marTop w:val="0"/>
      <w:marBottom w:val="0"/>
      <w:divBdr>
        <w:top w:val="none" w:sz="0" w:space="0" w:color="auto"/>
        <w:left w:val="none" w:sz="0" w:space="0" w:color="auto"/>
        <w:bottom w:val="none" w:sz="0" w:space="0" w:color="auto"/>
        <w:right w:val="none" w:sz="0" w:space="0" w:color="auto"/>
      </w:divBdr>
    </w:div>
    <w:div w:id="1054936429">
      <w:bodyDiv w:val="1"/>
      <w:marLeft w:val="0"/>
      <w:marRight w:val="0"/>
      <w:marTop w:val="0"/>
      <w:marBottom w:val="0"/>
      <w:divBdr>
        <w:top w:val="none" w:sz="0" w:space="0" w:color="auto"/>
        <w:left w:val="none" w:sz="0" w:space="0" w:color="auto"/>
        <w:bottom w:val="none" w:sz="0" w:space="0" w:color="auto"/>
        <w:right w:val="none" w:sz="0" w:space="0" w:color="auto"/>
      </w:divBdr>
    </w:div>
    <w:div w:id="1056507515">
      <w:bodyDiv w:val="1"/>
      <w:marLeft w:val="0"/>
      <w:marRight w:val="0"/>
      <w:marTop w:val="0"/>
      <w:marBottom w:val="0"/>
      <w:divBdr>
        <w:top w:val="none" w:sz="0" w:space="0" w:color="auto"/>
        <w:left w:val="none" w:sz="0" w:space="0" w:color="auto"/>
        <w:bottom w:val="none" w:sz="0" w:space="0" w:color="auto"/>
        <w:right w:val="none" w:sz="0" w:space="0" w:color="auto"/>
      </w:divBdr>
    </w:div>
    <w:div w:id="1057776601">
      <w:bodyDiv w:val="1"/>
      <w:marLeft w:val="0"/>
      <w:marRight w:val="0"/>
      <w:marTop w:val="0"/>
      <w:marBottom w:val="0"/>
      <w:divBdr>
        <w:top w:val="none" w:sz="0" w:space="0" w:color="auto"/>
        <w:left w:val="none" w:sz="0" w:space="0" w:color="auto"/>
        <w:bottom w:val="none" w:sz="0" w:space="0" w:color="auto"/>
        <w:right w:val="none" w:sz="0" w:space="0" w:color="auto"/>
      </w:divBdr>
    </w:div>
    <w:div w:id="1191452024">
      <w:bodyDiv w:val="1"/>
      <w:marLeft w:val="0"/>
      <w:marRight w:val="0"/>
      <w:marTop w:val="0"/>
      <w:marBottom w:val="0"/>
      <w:divBdr>
        <w:top w:val="none" w:sz="0" w:space="0" w:color="auto"/>
        <w:left w:val="none" w:sz="0" w:space="0" w:color="auto"/>
        <w:bottom w:val="none" w:sz="0" w:space="0" w:color="auto"/>
        <w:right w:val="none" w:sz="0" w:space="0" w:color="auto"/>
      </w:divBdr>
    </w:div>
    <w:div w:id="1238203773">
      <w:bodyDiv w:val="1"/>
      <w:marLeft w:val="0"/>
      <w:marRight w:val="0"/>
      <w:marTop w:val="0"/>
      <w:marBottom w:val="0"/>
      <w:divBdr>
        <w:top w:val="none" w:sz="0" w:space="0" w:color="auto"/>
        <w:left w:val="none" w:sz="0" w:space="0" w:color="auto"/>
        <w:bottom w:val="none" w:sz="0" w:space="0" w:color="auto"/>
        <w:right w:val="none" w:sz="0" w:space="0" w:color="auto"/>
      </w:divBdr>
    </w:div>
    <w:div w:id="1719426977">
      <w:bodyDiv w:val="1"/>
      <w:marLeft w:val="0"/>
      <w:marRight w:val="0"/>
      <w:marTop w:val="0"/>
      <w:marBottom w:val="0"/>
      <w:divBdr>
        <w:top w:val="none" w:sz="0" w:space="0" w:color="auto"/>
        <w:left w:val="none" w:sz="0" w:space="0" w:color="auto"/>
        <w:bottom w:val="none" w:sz="0" w:space="0" w:color="auto"/>
        <w:right w:val="none" w:sz="0" w:space="0" w:color="auto"/>
      </w:divBdr>
    </w:div>
    <w:div w:id="1884322577">
      <w:bodyDiv w:val="1"/>
      <w:marLeft w:val="0"/>
      <w:marRight w:val="0"/>
      <w:marTop w:val="0"/>
      <w:marBottom w:val="0"/>
      <w:divBdr>
        <w:top w:val="none" w:sz="0" w:space="0" w:color="auto"/>
        <w:left w:val="none" w:sz="0" w:space="0" w:color="auto"/>
        <w:bottom w:val="none" w:sz="0" w:space="0" w:color="auto"/>
        <w:right w:val="none" w:sz="0" w:space="0" w:color="auto"/>
      </w:divBdr>
    </w:div>
    <w:div w:id="2052226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emf"/><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9</Pages>
  <Words>443</Words>
  <Characters>2527</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Yuna Li</dc:creator>
  <cp:keywords/>
  <dc:description/>
  <cp:lastModifiedBy>Jackson Li</cp:lastModifiedBy>
  <cp:revision>12</cp:revision>
  <dcterms:created xsi:type="dcterms:W3CDTF">2025-04-03T04:52:00Z</dcterms:created>
  <dcterms:modified xsi:type="dcterms:W3CDTF">2025-06-28T14:52:00Z</dcterms:modified>
</cp:coreProperties>
</file>