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3DF34" w14:textId="77777777" w:rsidR="00422D27" w:rsidRPr="005E66D1" w:rsidRDefault="00422D27" w:rsidP="00422D27">
      <w:pPr>
        <w:pStyle w:val="Heading3"/>
        <w:spacing w:after="0" w:line="480" w:lineRule="auto"/>
        <w:rPr>
          <w:sz w:val="20"/>
          <w:szCs w:val="20"/>
        </w:rPr>
      </w:pPr>
      <w:r w:rsidRPr="005E66D1">
        <w:rPr>
          <w:rStyle w:val="Strong"/>
          <w:b w:val="0"/>
          <w:bCs w:val="0"/>
          <w:sz w:val="20"/>
          <w:szCs w:val="20"/>
        </w:rPr>
        <w:t xml:space="preserve">PRISMA 2020 Checklist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3"/>
        <w:gridCol w:w="7067"/>
      </w:tblGrid>
      <w:tr w:rsidR="00422D27" w:rsidRPr="005E66D1" w14:paraId="405B3EF7" w14:textId="77777777" w:rsidTr="005A2654">
        <w:tc>
          <w:tcPr>
            <w:tcW w:w="0" w:type="auto"/>
            <w:hideMark/>
          </w:tcPr>
          <w:p w14:paraId="72E6CD7E" w14:textId="77777777" w:rsidR="00422D27" w:rsidRPr="005E66D1" w:rsidRDefault="00422D27" w:rsidP="005A26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Section/Topic</w:t>
            </w:r>
          </w:p>
        </w:tc>
        <w:tc>
          <w:tcPr>
            <w:tcW w:w="0" w:type="auto"/>
            <w:hideMark/>
          </w:tcPr>
          <w:p w14:paraId="1B66586E" w14:textId="77777777" w:rsidR="00422D27" w:rsidRPr="005E66D1" w:rsidRDefault="00422D27" w:rsidP="005A26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Checklist Item</w:t>
            </w:r>
          </w:p>
        </w:tc>
      </w:tr>
      <w:tr w:rsidR="00422D27" w:rsidRPr="005E66D1" w14:paraId="1BAEE075" w14:textId="77777777" w:rsidTr="005A2654">
        <w:tc>
          <w:tcPr>
            <w:tcW w:w="0" w:type="auto"/>
            <w:hideMark/>
          </w:tcPr>
          <w:p w14:paraId="078B5CC1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TITLE</w:t>
            </w:r>
          </w:p>
        </w:tc>
        <w:tc>
          <w:tcPr>
            <w:tcW w:w="0" w:type="auto"/>
            <w:hideMark/>
          </w:tcPr>
          <w:p w14:paraId="0872157C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The title identifies the report as a systematic review of the integration of 3D hologram technology in university pedagogy.</w:t>
            </w:r>
          </w:p>
        </w:tc>
      </w:tr>
      <w:tr w:rsidR="00422D27" w:rsidRPr="005E66D1" w14:paraId="396892AF" w14:textId="77777777" w:rsidTr="005A2654">
        <w:tc>
          <w:tcPr>
            <w:tcW w:w="0" w:type="auto"/>
            <w:hideMark/>
          </w:tcPr>
          <w:p w14:paraId="1EE5BB01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ABSTRACT</w:t>
            </w:r>
          </w:p>
        </w:tc>
        <w:tc>
          <w:tcPr>
            <w:tcW w:w="0" w:type="auto"/>
            <w:hideMark/>
          </w:tcPr>
          <w:p w14:paraId="6E43C850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The abstract provides a structured overview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 includi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g background, aims, methodology (databases,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inclusion and 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exclusion criteria), key findings, and implications.</w:t>
            </w:r>
          </w:p>
        </w:tc>
      </w:tr>
      <w:tr w:rsidR="00422D27" w:rsidRPr="005E66D1" w14:paraId="59BA4DAE" w14:textId="77777777" w:rsidTr="005A2654">
        <w:tc>
          <w:tcPr>
            <w:tcW w:w="0" w:type="auto"/>
            <w:hideMark/>
          </w:tcPr>
          <w:p w14:paraId="7BD01385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INTRODUCTION</w:t>
            </w:r>
          </w:p>
        </w:tc>
        <w:tc>
          <w:tcPr>
            <w:tcW w:w="0" w:type="auto"/>
            <w:hideMark/>
          </w:tcPr>
          <w:p w14:paraId="7889CE3F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The introduction outlines the rationale for using holographic technology in higher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 and establishes the objectives of the review.</w:t>
            </w:r>
          </w:p>
        </w:tc>
      </w:tr>
      <w:tr w:rsidR="00422D27" w:rsidRPr="005E66D1" w14:paraId="5AD192C8" w14:textId="77777777" w:rsidTr="005A2654">
        <w:tc>
          <w:tcPr>
            <w:tcW w:w="0" w:type="auto"/>
            <w:hideMark/>
          </w:tcPr>
          <w:p w14:paraId="5B4303B8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METHODS – Eligibility Criteria</w:t>
            </w:r>
          </w:p>
        </w:tc>
        <w:tc>
          <w:tcPr>
            <w:tcW w:w="0" w:type="auto"/>
            <w:hideMark/>
          </w:tcPr>
          <w:p w14:paraId="34F29F2F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The review included peer-reviewed studies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published between 2012 and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 2024 that focused on 3D holography 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tertiary education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. Exclusion criteria included non-English language, non-empirical work, and studies outside the scope of higher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422D27" w:rsidRPr="005E66D1" w14:paraId="2341F9FE" w14:textId="77777777" w:rsidTr="005A2654">
        <w:tc>
          <w:tcPr>
            <w:tcW w:w="0" w:type="auto"/>
            <w:hideMark/>
          </w:tcPr>
          <w:p w14:paraId="34F8F227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METHODS – Information Sources</w:t>
            </w:r>
          </w:p>
        </w:tc>
        <w:tc>
          <w:tcPr>
            <w:tcW w:w="0" w:type="auto"/>
            <w:hideMark/>
          </w:tcPr>
          <w:p w14:paraId="4D6E806F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Studies were identified using Scopus, Web of Science, IEEE Xplore, ERIC, and Google Scholar. Searches were conducted from March to June 2025.</w:t>
            </w:r>
          </w:p>
        </w:tc>
      </w:tr>
      <w:tr w:rsidR="00422D27" w:rsidRPr="005E66D1" w14:paraId="0270E28B" w14:textId="77777777" w:rsidTr="005A2654">
        <w:tc>
          <w:tcPr>
            <w:tcW w:w="0" w:type="auto"/>
            <w:hideMark/>
          </w:tcPr>
          <w:p w14:paraId="35204CAE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METHODS – Search Strategy</w:t>
            </w:r>
          </w:p>
        </w:tc>
        <w:tc>
          <w:tcPr>
            <w:tcW w:w="0" w:type="auto"/>
            <w:hideMark/>
          </w:tcPr>
          <w:p w14:paraId="332A8D06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Keywords used included “3D hologram,” “holographic learning,” “university pedagogy,” “immersive teaching,” and “virtual presence.” A detailed search strategy is provided in the appendix.</w:t>
            </w:r>
          </w:p>
        </w:tc>
      </w:tr>
      <w:tr w:rsidR="00422D27" w:rsidRPr="005E66D1" w14:paraId="429F1ADF" w14:textId="77777777" w:rsidTr="005A2654">
        <w:tc>
          <w:tcPr>
            <w:tcW w:w="0" w:type="auto"/>
            <w:hideMark/>
          </w:tcPr>
          <w:p w14:paraId="3FAFAD49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METHODS – Selection Process</w:t>
            </w:r>
          </w:p>
        </w:tc>
        <w:tc>
          <w:tcPr>
            <w:tcW w:w="0" w:type="auto"/>
            <w:hideMark/>
          </w:tcPr>
          <w:p w14:paraId="5197AB9A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Two reviewers independently screened titles and abstracts. Full texts of relevant papers were reviewed. Disagreements were resolved through discussion.</w:t>
            </w:r>
          </w:p>
        </w:tc>
      </w:tr>
      <w:tr w:rsidR="00422D27" w:rsidRPr="005E66D1" w14:paraId="46FB69B9" w14:textId="77777777" w:rsidTr="005A2654">
        <w:tc>
          <w:tcPr>
            <w:tcW w:w="0" w:type="auto"/>
            <w:hideMark/>
          </w:tcPr>
          <w:p w14:paraId="6CD6B460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METHODS – Data Collection Process</w:t>
            </w:r>
          </w:p>
        </w:tc>
        <w:tc>
          <w:tcPr>
            <w:tcW w:w="0" w:type="auto"/>
            <w:hideMark/>
          </w:tcPr>
          <w:p w14:paraId="03D2BF24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A standardized data extraction form was used to collect details on year, context, sample, pedagogical model, outcomes, and theoretical underpinnings.</w:t>
            </w:r>
          </w:p>
        </w:tc>
      </w:tr>
      <w:tr w:rsidR="00422D27" w:rsidRPr="005E66D1" w14:paraId="1EB5051E" w14:textId="77777777" w:rsidTr="005A2654">
        <w:tc>
          <w:tcPr>
            <w:tcW w:w="0" w:type="auto"/>
            <w:hideMark/>
          </w:tcPr>
          <w:p w14:paraId="3613A70A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RESULTS – Study Selection</w:t>
            </w:r>
          </w:p>
        </w:tc>
        <w:tc>
          <w:tcPr>
            <w:tcW w:w="0" w:type="auto"/>
            <w:hideMark/>
          </w:tcPr>
          <w:p w14:paraId="2AFBF364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Five hundred twelve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 records were initially identified. After removing duplicates and applying inclusion/exclusion criteria, 30 studies were included in the final synthesis.</w:t>
            </w:r>
          </w:p>
        </w:tc>
      </w:tr>
      <w:tr w:rsidR="00422D27" w:rsidRPr="005E66D1" w14:paraId="5A40D45A" w14:textId="77777777" w:rsidTr="005A2654">
        <w:tc>
          <w:tcPr>
            <w:tcW w:w="0" w:type="auto"/>
            <w:hideMark/>
          </w:tcPr>
          <w:p w14:paraId="219215CF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RESULTS – Study Characteristics</w:t>
            </w:r>
          </w:p>
        </w:tc>
        <w:tc>
          <w:tcPr>
            <w:tcW w:w="0" w:type="auto"/>
            <w:hideMark/>
          </w:tcPr>
          <w:p w14:paraId="7C5B6BBB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Studies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were conducted in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 xml:space="preserve"> fields including medicine, engineering, design,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. Outcomes measured included student engagement, spatial awareness, procedural accuracy, and motivation.</w:t>
            </w:r>
          </w:p>
        </w:tc>
      </w:tr>
      <w:tr w:rsidR="00422D27" w:rsidRPr="005E66D1" w14:paraId="57CE49C1" w14:textId="77777777" w:rsidTr="005A2654">
        <w:tc>
          <w:tcPr>
            <w:tcW w:w="0" w:type="auto"/>
            <w:hideMark/>
          </w:tcPr>
          <w:p w14:paraId="041F5E6F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DISCUSSION</w:t>
            </w:r>
          </w:p>
        </w:tc>
        <w:tc>
          <w:tcPr>
            <w:tcW w:w="0" w:type="auto"/>
            <w:hideMark/>
          </w:tcPr>
          <w:p w14:paraId="427684B7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The discussion interprets results in terms of real-world applications and policy, highlighting improved student outcomes and the need for supportive infrastructure and faculty training. Limitations and research gaps are also addressed.</w:t>
            </w:r>
          </w:p>
        </w:tc>
      </w:tr>
      <w:tr w:rsidR="00422D27" w:rsidRPr="005E66D1" w14:paraId="3BC2F8F9" w14:textId="77777777" w:rsidTr="005A2654">
        <w:tc>
          <w:tcPr>
            <w:tcW w:w="0" w:type="auto"/>
            <w:hideMark/>
          </w:tcPr>
          <w:p w14:paraId="1FF052D2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Style w:val="Strong"/>
                <w:rFonts w:ascii="Times New Roman" w:hAnsi="Times New Roman" w:cs="Times New Roman"/>
                <w:sz w:val="20"/>
                <w:szCs w:val="20"/>
              </w:rPr>
              <w:t>FUNDING</w:t>
            </w:r>
          </w:p>
        </w:tc>
        <w:tc>
          <w:tcPr>
            <w:tcW w:w="0" w:type="auto"/>
            <w:hideMark/>
          </w:tcPr>
          <w:p w14:paraId="61A616BB" w14:textId="77777777" w:rsidR="00422D27" w:rsidRPr="005E66D1" w:rsidRDefault="00422D27" w:rsidP="005A265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66D1">
              <w:rPr>
                <w:rFonts w:ascii="Times New Roman" w:hAnsi="Times New Roman" w:cs="Times New Roman"/>
                <w:sz w:val="20"/>
                <w:szCs w:val="20"/>
              </w:rPr>
              <w:t>No funding was received for this study. The research was conducted independently.</w:t>
            </w:r>
          </w:p>
        </w:tc>
      </w:tr>
    </w:tbl>
    <w:p w14:paraId="41D637A8" w14:textId="77777777" w:rsidR="00422D27" w:rsidRDefault="00422D27" w:rsidP="00422D27">
      <w:pPr>
        <w:spacing w:before="100" w:beforeAutospacing="1" w:after="0" w:afterAutospacing="1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D40E98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D27"/>
    <w:rsid w:val="002E281E"/>
    <w:rsid w:val="003201BB"/>
    <w:rsid w:val="00422D27"/>
    <w:rsid w:val="00865217"/>
    <w:rsid w:val="0089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1A067"/>
  <w15:chartTrackingRefBased/>
  <w15:docId w15:val="{BE3B1465-2A0A-4DC5-A339-ECCEB17E1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D2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2D2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D2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2D2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D2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D2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D2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D2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D2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D2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D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D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22D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D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D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D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D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D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D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D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2D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D2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2D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D2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2D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D2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2D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D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D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D2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22D27"/>
    <w:rPr>
      <w:b/>
      <w:bCs/>
    </w:rPr>
  </w:style>
  <w:style w:type="table" w:styleId="TableGrid">
    <w:name w:val="Table Grid"/>
    <w:basedOn w:val="TableNormal"/>
    <w:uiPriority w:val="59"/>
    <w:rsid w:val="00422D2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1966</Characters>
  <Application>Microsoft Office Word</Application>
  <DocSecurity>0</DocSecurity>
  <Lines>16</Lines>
  <Paragraphs>4</Paragraphs>
  <ScaleCrop>false</ScaleCrop>
  <Company>Springer Nature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2025-08-05T07:20:00Z</dcterms:created>
  <dcterms:modified xsi:type="dcterms:W3CDTF">2025-08-05T07:21:00Z</dcterms:modified>
</cp:coreProperties>
</file>