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50" w:rsidRPr="008B1035" w:rsidRDefault="00CE6056">
      <w:pPr>
        <w:rPr>
          <w:rFonts w:ascii="Times New Roman" w:hAnsi="Times New Roman" w:cs="Times New Roman"/>
          <w:b/>
          <w:sz w:val="24"/>
        </w:rPr>
      </w:pPr>
      <w:r w:rsidRPr="008B1035">
        <w:rPr>
          <w:rFonts w:ascii="Times New Roman" w:hAnsi="Times New Roman" w:cs="Times New Roman"/>
          <w:b/>
          <w:sz w:val="24"/>
        </w:rPr>
        <w:t>Supplementary Figure</w:t>
      </w:r>
      <w:r w:rsidR="008B4ABA" w:rsidRPr="008B1035">
        <w:rPr>
          <w:rFonts w:ascii="Times New Roman" w:hAnsi="Times New Roman" w:cs="Times New Roman"/>
          <w:b/>
          <w:sz w:val="24"/>
        </w:rPr>
        <w:t>s</w:t>
      </w:r>
    </w:p>
    <w:p w:rsidR="00CE6056" w:rsidRPr="008B4ABA" w:rsidRDefault="00CE6056">
      <w:pPr>
        <w:rPr>
          <w:rFonts w:ascii="Times New Roman" w:hAnsi="Times New Roman" w:cs="Times New Roman"/>
        </w:rPr>
      </w:pPr>
    </w:p>
    <w:p w:rsidR="00CE6056" w:rsidRPr="008B4ABA" w:rsidRDefault="008B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19C713">
            <wp:extent cx="8084747" cy="3362571"/>
            <wp:effectExtent l="0" t="0" r="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092" cy="3371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6056" w:rsidRPr="008B4ABA" w:rsidRDefault="00CE6056" w:rsidP="00CE6056">
      <w:pPr>
        <w:rPr>
          <w:rFonts w:ascii="Times New Roman" w:hAnsi="Times New Roman" w:cs="Times New Roman"/>
        </w:rPr>
      </w:pPr>
    </w:p>
    <w:p w:rsidR="00CE6056" w:rsidRPr="008B1035" w:rsidRDefault="00CE6056" w:rsidP="00CE6056">
      <w:pPr>
        <w:rPr>
          <w:rFonts w:ascii="Times New Roman" w:hAnsi="Times New Roman" w:cs="Times New Roman"/>
          <w:sz w:val="20"/>
        </w:rPr>
      </w:pPr>
      <w:r w:rsidRPr="008B1035">
        <w:rPr>
          <w:rFonts w:ascii="Times New Roman" w:hAnsi="Times New Roman" w:cs="Times New Roman"/>
          <w:sz w:val="20"/>
        </w:rPr>
        <w:t>Supplementary Figure 1.</w:t>
      </w:r>
      <w:r w:rsidR="002054C9">
        <w:rPr>
          <w:rFonts w:ascii="Times New Roman" w:hAnsi="Times New Roman" w:cs="Times New Roman"/>
          <w:sz w:val="20"/>
        </w:rPr>
        <w:t xml:space="preserve"> N</w:t>
      </w:r>
      <w:r w:rsidR="008B1035" w:rsidRPr="008B1035">
        <w:rPr>
          <w:rFonts w:ascii="Times New Roman" w:hAnsi="Times New Roman" w:cs="Times New Roman"/>
          <w:sz w:val="20"/>
        </w:rPr>
        <w:t>on-linear relationship between the high BP count-to-total BP reading (C-T) ratio and BP.</w:t>
      </w:r>
    </w:p>
    <w:p w:rsidR="008B1035" w:rsidRPr="008B1035" w:rsidRDefault="008B1035" w:rsidP="00CE6056">
      <w:pPr>
        <w:rPr>
          <w:rFonts w:ascii="Times New Roman" w:hAnsi="Times New Roman" w:cs="Times New Roman"/>
          <w:sz w:val="20"/>
        </w:rPr>
      </w:pPr>
      <w:r w:rsidRPr="008B1035">
        <w:rPr>
          <w:rFonts w:ascii="Times New Roman" w:hAnsi="Times New Roman" w:cs="Times New Roman"/>
          <w:sz w:val="20"/>
        </w:rPr>
        <w:t>The relationship between the C-T ratio and SBP/DBP is fitted well with a logit curve. The red curved line represents BP estimated using the C-T ratio and the reddish ribbon represents the 95% prediction interval of the SBPs/DBPs corresponding to the C-T ratio. The mean widths of the 95% prediction intervals are wider than those estimated in the linear models with BP range restrictions.</w:t>
      </w:r>
    </w:p>
    <w:p w:rsidR="00CE6056" w:rsidRPr="008B1035" w:rsidRDefault="00CE6056" w:rsidP="00CE6056">
      <w:pPr>
        <w:rPr>
          <w:rFonts w:ascii="Times New Roman" w:hAnsi="Times New Roman" w:cs="Times New Roman"/>
          <w:sz w:val="20"/>
        </w:rPr>
      </w:pPr>
    </w:p>
    <w:p w:rsidR="00CE6056" w:rsidRPr="008B1035" w:rsidRDefault="00CE6056">
      <w:pPr>
        <w:rPr>
          <w:rFonts w:ascii="Times New Roman" w:hAnsi="Times New Roman" w:cs="Times New Roman"/>
          <w:sz w:val="20"/>
        </w:rPr>
      </w:pPr>
      <w:r w:rsidRPr="008B1035">
        <w:rPr>
          <w:rFonts w:ascii="Times New Roman" w:hAnsi="Times New Roman" w:cs="Times New Roman"/>
          <w:sz w:val="20"/>
        </w:rPr>
        <w:br w:type="page"/>
      </w:r>
    </w:p>
    <w:p w:rsidR="00CE6056" w:rsidRPr="008B1035" w:rsidRDefault="00CE6056" w:rsidP="00B94B7A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8B1035">
        <w:rPr>
          <w:rFonts w:ascii="Times New Roman" w:hAnsi="Times New Roman" w:cs="Times New Roman"/>
          <w:b/>
          <w:sz w:val="24"/>
        </w:rPr>
        <w:lastRenderedPageBreak/>
        <w:t>Supplementary Tables</w:t>
      </w:r>
    </w:p>
    <w:tbl>
      <w:tblPr>
        <w:tblW w:w="12870" w:type="dxa"/>
        <w:tblLayout w:type="fixed"/>
        <w:tblLook w:val="04A0" w:firstRow="1" w:lastRow="0" w:firstColumn="1" w:lastColumn="0" w:noHBand="0" w:noVBand="1"/>
      </w:tblPr>
      <w:tblGrid>
        <w:gridCol w:w="517"/>
        <w:gridCol w:w="580"/>
        <w:gridCol w:w="1313"/>
        <w:gridCol w:w="709"/>
        <w:gridCol w:w="709"/>
        <w:gridCol w:w="708"/>
        <w:gridCol w:w="709"/>
        <w:gridCol w:w="709"/>
        <w:gridCol w:w="688"/>
        <w:gridCol w:w="588"/>
        <w:gridCol w:w="1417"/>
        <w:gridCol w:w="709"/>
        <w:gridCol w:w="709"/>
        <w:gridCol w:w="708"/>
        <w:gridCol w:w="709"/>
        <w:gridCol w:w="709"/>
        <w:gridCol w:w="653"/>
        <w:gridCol w:w="26"/>
      </w:tblGrid>
      <w:tr w:rsidR="00CE6056" w:rsidRPr="00CE6056" w:rsidTr="00CE6056">
        <w:trPr>
          <w:trHeight w:val="90"/>
        </w:trPr>
        <w:tc>
          <w:tcPr>
            <w:tcW w:w="1287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Supplementary Table 1. </w:t>
            </w:r>
            <w:bookmarkStart w:id="0" w:name="_GoBack"/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Diagnostic performances of the high BP counts at the best threshold </w:t>
            </w:r>
            <w:bookmarkEnd w:id="0"/>
          </w:p>
        </w:tc>
      </w:tr>
      <w:tr w:rsidR="00CE6056" w:rsidRPr="008B1035" w:rsidTr="00CE6056">
        <w:trPr>
          <w:trHeight w:val="10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SBP</w:t>
            </w:r>
          </w:p>
        </w:tc>
        <w:tc>
          <w:tcPr>
            <w:tcW w:w="622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DBP</w:t>
            </w:r>
          </w:p>
        </w:tc>
      </w:tr>
      <w:tr w:rsidR="00EC0806" w:rsidRPr="008B1035" w:rsidTr="00EC0806">
        <w:trPr>
          <w:gridAfter w:val="1"/>
          <w:wAfter w:w="26" w:type="dxa"/>
          <w:trHeight w:val="178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uncontrolled SBP</w:t>
            </w:r>
            <w:r w:rsidR="0074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(N/100)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NPV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CCR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uncontrolled DBP</w:t>
            </w:r>
            <w:r w:rsidR="0074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(N/100)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NPV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CCR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0.907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0.895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0.867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0.927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0.815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0.870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0.867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0.902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0.94 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0.878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0.902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0.896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0.885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0.912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0.945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0.889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0.92 </w:t>
            </w:r>
          </w:p>
        </w:tc>
      </w:tr>
      <w:tr w:rsidR="00EC0806" w:rsidRPr="008B1035" w:rsidTr="00EC0806">
        <w:trPr>
          <w:gridAfter w:val="1"/>
          <w:wAfter w:w="26" w:type="dxa"/>
          <w:trHeight w:val="90"/>
        </w:trPr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0.577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0.686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0.78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0.979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0.978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0.836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0.90 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0.909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0.946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0.930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0.959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0.962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0.979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0.796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0.978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0.977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0.804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0.915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0.930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0.96 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0.878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0.872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0.943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0.957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0.962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0.938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0.95 </w:t>
            </w:r>
          </w:p>
        </w:tc>
      </w:tr>
      <w:tr w:rsidR="00EC0806" w:rsidRPr="008B1035" w:rsidTr="00EC0806">
        <w:trPr>
          <w:gridAfter w:val="1"/>
          <w:wAfter w:w="26" w:type="dxa"/>
          <w:trHeight w:val="90"/>
        </w:trPr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0.740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0.783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0.925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0.889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0.848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0.873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0.867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0.87 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0.844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0.887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0.957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0.964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1.000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0.98 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0.792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0.936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0.86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0.897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0.929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0.945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0.867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0.91 </w:t>
            </w:r>
          </w:p>
        </w:tc>
      </w:tr>
      <w:tr w:rsidR="00EC0806" w:rsidRPr="008B1035" w:rsidTr="00EC0806">
        <w:trPr>
          <w:gridAfter w:val="1"/>
          <w:wAfter w:w="26" w:type="dxa"/>
          <w:trHeight w:val="86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0.816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0.941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0.930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0.842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0.820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0.960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0.953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0.842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0.89 </w:t>
            </w:r>
          </w:p>
        </w:tc>
      </w:tr>
      <w:tr w:rsidR="00EC0806" w:rsidRPr="008B1035" w:rsidTr="00EC0806">
        <w:trPr>
          <w:gridAfter w:val="1"/>
          <w:wAfter w:w="26" w:type="dxa"/>
          <w:trHeight w:val="90"/>
        </w:trPr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0.857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0.857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0.818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78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0.776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0.810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0.85 </w:t>
            </w:r>
          </w:p>
        </w:tc>
      </w:tr>
      <w:tr w:rsidR="00CE6056" w:rsidRPr="00CE6056" w:rsidTr="00CE6056">
        <w:trPr>
          <w:trHeight w:val="86"/>
        </w:trPr>
        <w:tc>
          <w:tcPr>
            <w:tcW w:w="12870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K, the number of BP measurements; SD, standard deviation; PPV, postive predictive value; NPV, negative predictive value; CCR, correct classification rate; SBP, systolic BP</w:t>
            </w:r>
          </w:p>
        </w:tc>
      </w:tr>
      <w:tr w:rsidR="00CE6056" w:rsidRPr="00CE6056" w:rsidTr="00CE6056">
        <w:trPr>
          <w:trHeight w:val="86"/>
        </w:trPr>
        <w:tc>
          <w:tcPr>
            <w:tcW w:w="128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Threshold was derived from Youden's J indexes</w:t>
            </w:r>
          </w:p>
        </w:tc>
      </w:tr>
      <w:tr w:rsidR="00CE6056" w:rsidRPr="00CE6056" w:rsidTr="00CE6056">
        <w:trPr>
          <w:trHeight w:val="86"/>
        </w:trPr>
        <w:tc>
          <w:tcPr>
            <w:tcW w:w="128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056" w:rsidRPr="00CE6056" w:rsidRDefault="00CE6056" w:rsidP="00CE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high SBP/DBP were defined as SBP ≥135 mmHg or DBP ≥85 mmHg.</w:t>
            </w:r>
          </w:p>
        </w:tc>
      </w:tr>
    </w:tbl>
    <w:p w:rsidR="00CE6056" w:rsidRPr="008B4ABA" w:rsidRDefault="00CE6056" w:rsidP="00CE6056">
      <w:pPr>
        <w:rPr>
          <w:rFonts w:ascii="Times New Roman" w:hAnsi="Times New Roman" w:cs="Times New Roman"/>
        </w:rPr>
      </w:pPr>
    </w:p>
    <w:p w:rsidR="00CE6056" w:rsidRPr="008B4ABA" w:rsidRDefault="00CE6056" w:rsidP="00CE6056">
      <w:pPr>
        <w:rPr>
          <w:rFonts w:ascii="Times New Roman" w:hAnsi="Times New Roman" w:cs="Times New Roman"/>
        </w:rPr>
      </w:pPr>
    </w:p>
    <w:sectPr w:rsidR="00CE6056" w:rsidRPr="008B4ABA" w:rsidSect="00CE6056">
      <w:pgSz w:w="15840" w:h="12240" w:orient="landscape"/>
      <w:pgMar w:top="1440" w:right="17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56" w:rsidRDefault="00CE6056" w:rsidP="00CE6056">
      <w:pPr>
        <w:spacing w:after="0" w:line="240" w:lineRule="auto"/>
      </w:pPr>
      <w:r>
        <w:separator/>
      </w:r>
    </w:p>
  </w:endnote>
  <w:endnote w:type="continuationSeparator" w:id="0">
    <w:p w:rsidR="00CE6056" w:rsidRDefault="00CE6056" w:rsidP="00CE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56" w:rsidRDefault="00CE6056" w:rsidP="00CE6056">
      <w:pPr>
        <w:spacing w:after="0" w:line="240" w:lineRule="auto"/>
      </w:pPr>
      <w:r>
        <w:separator/>
      </w:r>
    </w:p>
  </w:footnote>
  <w:footnote w:type="continuationSeparator" w:id="0">
    <w:p w:rsidR="00CE6056" w:rsidRDefault="00CE6056" w:rsidP="00CE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2BB2"/>
    <w:multiLevelType w:val="hybridMultilevel"/>
    <w:tmpl w:val="96CC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D9"/>
    <w:rsid w:val="002054C9"/>
    <w:rsid w:val="002177D9"/>
    <w:rsid w:val="00671150"/>
    <w:rsid w:val="007433B6"/>
    <w:rsid w:val="00784815"/>
    <w:rsid w:val="008B1035"/>
    <w:rsid w:val="008B4ABA"/>
    <w:rsid w:val="009A2CBD"/>
    <w:rsid w:val="00AB1093"/>
    <w:rsid w:val="00B94B7A"/>
    <w:rsid w:val="00C9100C"/>
    <w:rsid w:val="00CE6056"/>
    <w:rsid w:val="00E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5AB4"/>
  <w15:chartTrackingRefBased/>
  <w15:docId w15:val="{FD0EC0E7-1C4C-49EB-B1C0-854282F6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E6056"/>
  </w:style>
  <w:style w:type="paragraph" w:styleId="a4">
    <w:name w:val="footer"/>
    <w:basedOn w:val="a"/>
    <w:link w:val="Char0"/>
    <w:uiPriority w:val="99"/>
    <w:unhideWhenUsed/>
    <w:rsid w:val="00CE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E6056"/>
  </w:style>
  <w:style w:type="paragraph" w:styleId="a5">
    <w:name w:val="List Paragraph"/>
    <w:basedOn w:val="a"/>
    <w:uiPriority w:val="34"/>
    <w:qFormat/>
    <w:rsid w:val="00CE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Hanyang University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hmedi97Office</dc:creator>
  <cp:keywords/>
  <dc:description/>
  <cp:lastModifiedBy>hmedi97Office</cp:lastModifiedBy>
  <cp:revision>13</cp:revision>
  <dcterms:created xsi:type="dcterms:W3CDTF">2021-07-08T08:53:00Z</dcterms:created>
  <dcterms:modified xsi:type="dcterms:W3CDTF">2021-07-20T06:13:00Z</dcterms:modified>
</cp:coreProperties>
</file>