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1808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600"/>
        <w:gridCol w:w="16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12" w:space="0"/>
              <w:bottom w:val="single" w:color="auto" w:sz="6" w:space="0"/>
            </w:tcBorders>
          </w:tcPr>
          <w:p/>
        </w:tc>
        <w:tc>
          <w:tcPr>
            <w:tcW w:w="1600" w:type="dxa"/>
            <w:tcBorders>
              <w:top w:val="single" w:color="auto" w:sz="12" w:space="0"/>
              <w:bottom w:val="single" w:color="auto" w:sz="6" w:space="0"/>
            </w:tcBorders>
          </w:tcPr>
          <w:p>
            <w:r>
              <w:rPr>
                <w:rFonts w:hint="eastAsia"/>
              </w:rPr>
              <w:t>UC Group</w:t>
            </w:r>
          </w:p>
        </w:tc>
        <w:tc>
          <w:tcPr>
            <w:tcW w:w="1660" w:type="dxa"/>
            <w:tcBorders>
              <w:top w:val="single" w:color="auto" w:sz="12" w:space="0"/>
              <w:bottom w:val="single" w:color="auto" w:sz="6" w:space="0"/>
            </w:tcBorders>
          </w:tcPr>
          <w:p>
            <w:r>
              <w:rPr>
                <w:rFonts w:hint="eastAsia"/>
              </w:rPr>
              <w:t>Control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6" w:space="0"/>
              <w:bottom w:val="nil"/>
            </w:tcBorders>
          </w:tcPr>
          <w:p>
            <w:r>
              <w:rPr>
                <w:rFonts w:hint="eastAsia"/>
              </w:rPr>
              <w:t>Sample Size</w:t>
            </w:r>
          </w:p>
        </w:tc>
        <w:tc>
          <w:tcPr>
            <w:tcW w:w="1600" w:type="dxa"/>
            <w:tcBorders>
              <w:top w:val="single" w:color="auto" w:sz="6" w:space="0"/>
              <w:bottom w:val="nil"/>
            </w:tcBorders>
          </w:tcPr>
          <w:p>
            <w:r>
              <w:rPr>
                <w:rFonts w:hint="eastAsia"/>
              </w:rPr>
              <w:t>210</w:t>
            </w:r>
          </w:p>
        </w:tc>
        <w:tc>
          <w:tcPr>
            <w:tcW w:w="1660" w:type="dxa"/>
            <w:tcBorders>
              <w:top w:val="single" w:color="auto" w:sz="6" w:space="0"/>
              <w:bottom w:val="nil"/>
            </w:tcBorders>
          </w:tcPr>
          <w:p>
            <w:r>
              <w:rPr>
                <w:rFonts w:hint="eastAsia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nil"/>
            </w:tcBorders>
          </w:tcPr>
          <w:p>
            <w:pPr>
              <w:rPr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Stage</w:t>
            </w:r>
          </w:p>
        </w:tc>
        <w:tc>
          <w:tcPr>
            <w:tcW w:w="1600" w:type="dxa"/>
            <w:tcBorders>
              <w:top w:val="nil"/>
            </w:tcBorders>
          </w:tcPr>
          <w:p/>
        </w:tc>
        <w:tc>
          <w:tcPr>
            <w:tcW w:w="1660" w:type="dxa"/>
            <w:tcBorders>
              <w:top w:val="nil"/>
            </w:tcBorders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&lt;pT2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137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≥pT2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72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525" w:firstLineChars="250"/>
              <w:rPr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Tx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autoSpaceDE w:val="0"/>
              <w:autoSpaceDN w:val="0"/>
              <w:adjustRightInd w:val="0"/>
              <w:rPr>
                <w:rFonts w:cs="AdvOT4a6296b1"/>
                <w:kern w:val="0"/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Grade</w:t>
            </w:r>
          </w:p>
        </w:tc>
        <w:tc>
          <w:tcPr>
            <w:tcW w:w="160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autoSpaceDE w:val="0"/>
              <w:autoSpaceDN w:val="0"/>
              <w:adjustRightInd w:val="0"/>
              <w:ind w:firstLine="420" w:firstLineChars="200"/>
              <w:rPr>
                <w:rFonts w:cs="AdvOT4a6296b1"/>
                <w:kern w:val="0"/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PUNLMP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autoSpaceDE w:val="0"/>
              <w:autoSpaceDN w:val="0"/>
              <w:adjustRightInd w:val="0"/>
              <w:ind w:firstLine="420" w:firstLineChars="200"/>
              <w:rPr>
                <w:rFonts w:cs="AdvPSA066"/>
                <w:kern w:val="0"/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Low grade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67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High grade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141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rFonts w:cs="AdvOT4a6296b1"/>
                <w:kern w:val="0"/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Gx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cs="AdvOT4a6296b1"/>
                <w:kern w:val="0"/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Subtype</w:t>
            </w:r>
          </w:p>
        </w:tc>
        <w:tc>
          <w:tcPr>
            <w:tcW w:w="160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rFonts w:cs="AdvOT4a6296b1"/>
                <w:kern w:val="0"/>
                <w:szCs w:val="21"/>
              </w:rPr>
            </w:pPr>
            <w:r>
              <w:rPr>
                <w:rFonts w:hint="eastAsia" w:cs="AdvOT4a6296b1"/>
                <w:kern w:val="0"/>
                <w:szCs w:val="21"/>
              </w:rPr>
              <w:t>U</w:t>
            </w:r>
            <w:r>
              <w:rPr>
                <w:rFonts w:cs="AdvOT4a6296b1"/>
                <w:kern w:val="0"/>
                <w:szCs w:val="21"/>
              </w:rPr>
              <w:t>BC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179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rFonts w:cs="AdvOT4a6296b1"/>
                <w:kern w:val="0"/>
                <w:szCs w:val="21"/>
              </w:rPr>
            </w:pPr>
            <w:r>
              <w:rPr>
                <w:rFonts w:cs="AdvOT4a6296b1"/>
                <w:kern w:val="0"/>
                <w:szCs w:val="21"/>
              </w:rPr>
              <w:t>UTUC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31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cs="AdvOT4a6296b1"/>
                <w:kern w:val="0"/>
                <w:szCs w:val="21"/>
              </w:rPr>
            </w:pPr>
            <w:r>
              <w:rPr>
                <w:rFonts w:hint="eastAsia" w:cs="AdvOT4a6296b1"/>
                <w:kern w:val="0"/>
                <w:szCs w:val="21"/>
              </w:rPr>
              <w:t>Tumor Type</w:t>
            </w:r>
          </w:p>
        </w:tc>
        <w:tc>
          <w:tcPr>
            <w:tcW w:w="160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rFonts w:cs="AdvOT4a6296b1"/>
                <w:kern w:val="0"/>
                <w:szCs w:val="21"/>
              </w:rPr>
            </w:pPr>
            <w:r>
              <w:rPr>
                <w:rFonts w:hint="eastAsia" w:cs="AdvOT4a6296b1"/>
                <w:kern w:val="0"/>
                <w:szCs w:val="21"/>
              </w:rPr>
              <w:t>Primary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188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rFonts w:cs="AdvOT4a6296b1"/>
                <w:kern w:val="0"/>
                <w:szCs w:val="21"/>
              </w:rPr>
            </w:pPr>
            <w:r>
              <w:rPr>
                <w:rFonts w:hint="eastAsia" w:cs="AdvOT4a6296b1"/>
                <w:kern w:val="0"/>
                <w:szCs w:val="21"/>
              </w:rPr>
              <w:t>Recurrent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22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cs="AdvOT4a6296b1"/>
                <w:kern w:val="0"/>
                <w:szCs w:val="21"/>
              </w:rPr>
            </w:pPr>
            <w:r>
              <w:rPr>
                <w:rFonts w:hint="eastAsia" w:cs="AdvOT4a6296b1"/>
                <w:kern w:val="0"/>
                <w:szCs w:val="21"/>
              </w:rPr>
              <w:t>Control Group</w:t>
            </w:r>
          </w:p>
        </w:tc>
        <w:tc>
          <w:tcPr>
            <w:tcW w:w="1600" w:type="dxa"/>
          </w:tcPr>
          <w:p/>
        </w:tc>
        <w:tc>
          <w:tcPr>
            <w:tcW w:w="1660" w:type="dxa"/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Benign diseases</w:t>
            </w:r>
          </w:p>
        </w:tc>
        <w:tc>
          <w:tcPr>
            <w:tcW w:w="1600" w:type="dxa"/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1660" w:type="dxa"/>
          </w:tcPr>
          <w:p>
            <w:r>
              <w:rPr>
                <w:rFonts w:hint="eastAsia"/>
              </w:rPr>
              <w:t>110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bottom w:val="single" w:color="auto" w:sz="12" w:space="0"/>
            </w:tcBorders>
          </w:tcPr>
          <w:p>
            <w:pPr>
              <w:rPr>
                <w:rFonts w:cs="AdvOT4a6296b1"/>
                <w:kern w:val="0"/>
                <w:szCs w:val="21"/>
              </w:rPr>
            </w:pPr>
            <w:r>
              <w:rPr>
                <w:rFonts w:hint="eastAsia" w:cs="AdvOT4a6296b1"/>
                <w:kern w:val="0"/>
                <w:szCs w:val="21"/>
              </w:rPr>
              <w:t xml:space="preserve">    Malignant diseases</w:t>
            </w:r>
          </w:p>
        </w:tc>
        <w:tc>
          <w:tcPr>
            <w:tcW w:w="1600" w:type="dxa"/>
            <w:tcBorders>
              <w:bottom w:val="single" w:color="auto" w:sz="12" w:space="0"/>
            </w:tcBorders>
          </w:tcPr>
          <w:p>
            <w:r>
              <w:rPr>
                <w:rFonts w:hint="eastAsia"/>
              </w:rPr>
              <w:t>/</w:t>
            </w:r>
          </w:p>
        </w:tc>
        <w:tc>
          <w:tcPr>
            <w:tcW w:w="1660" w:type="dxa"/>
            <w:tcBorders>
              <w:bottom w:val="single" w:color="auto" w:sz="12" w:space="0"/>
            </w:tcBorders>
          </w:tcPr>
          <w:p>
            <w:r>
              <w:rPr>
                <w:rFonts w:hint="eastAsia"/>
              </w:rPr>
              <w:t>9</w:t>
            </w:r>
          </w:p>
        </w:tc>
      </w:tr>
    </w:tbl>
    <w:p>
      <w:pPr>
        <w:jc w:val="left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Supplementary table 1</w:t>
      </w:r>
      <w:r>
        <w:rPr>
          <w:rFonts w:hint="eastAsia"/>
          <w:b/>
          <w:sz w:val="24"/>
        </w:rPr>
        <w:t>. Pathological data of the cohort with cytology</w:t>
      </w: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  <w:bookmarkStart w:id="0" w:name="_GoBack"/>
      <w:bookmarkEnd w:id="0"/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rFonts w:hint="eastAsia"/>
          <w:szCs w:val="21"/>
        </w:rPr>
      </w:pPr>
    </w:p>
    <w:p>
      <w:pPr>
        <w:rPr>
          <w:b/>
          <w:sz w:val="24"/>
        </w:rPr>
      </w:pPr>
      <w:r>
        <w:rPr>
          <w:rFonts w:hint="eastAsia"/>
          <w:szCs w:val="21"/>
        </w:rPr>
        <w:t xml:space="preserve">PUNLMP: </w:t>
      </w:r>
      <w:r>
        <w:rPr>
          <w:szCs w:val="21"/>
        </w:rPr>
        <w:t>papillary urothelial neoplasm of low malignant potential</w:t>
      </w:r>
      <w:r>
        <w:rPr>
          <w:rFonts w:hint="eastAsia"/>
          <w:szCs w:val="21"/>
        </w:rPr>
        <w:t>; UBC: u</w:t>
      </w:r>
      <w:r>
        <w:rPr>
          <w:szCs w:val="21"/>
        </w:rPr>
        <w:t xml:space="preserve">rothelial bladder </w:t>
      </w:r>
      <w:r>
        <w:rPr>
          <w:bCs/>
          <w:szCs w:val="21"/>
        </w:rPr>
        <w:t>carcinoma</w:t>
      </w:r>
      <w:r>
        <w:rPr>
          <w:rFonts w:hint="eastAsia"/>
          <w:bCs/>
          <w:szCs w:val="21"/>
        </w:rPr>
        <w:t>; UTUC:</w:t>
      </w:r>
      <w:r>
        <w:rPr>
          <w:bCs/>
          <w:szCs w:val="21"/>
        </w:rPr>
        <w:t xml:space="preserve"> upper tract urothelial carcinoma</w:t>
      </w:r>
      <w:r>
        <w:rPr>
          <w:rFonts w:hint="eastAsia"/>
          <w:bCs/>
          <w:szCs w:val="21"/>
        </w:rPr>
        <w:t>;</w:t>
      </w:r>
    </w:p>
    <w:p>
      <w:pPr>
        <w:rPr>
          <w:b/>
          <w:sz w:val="24"/>
        </w:rPr>
      </w:pPr>
    </w:p>
    <w:p>
      <w:pPr>
        <w:rPr>
          <w:b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vOT4a6296b1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dvPSA066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001"/>
    <w:rsid w:val="001D5ED4"/>
    <w:rsid w:val="00202525"/>
    <w:rsid w:val="00280AF2"/>
    <w:rsid w:val="003044B1"/>
    <w:rsid w:val="004814A0"/>
    <w:rsid w:val="004B6073"/>
    <w:rsid w:val="005D2C1A"/>
    <w:rsid w:val="006D5BB5"/>
    <w:rsid w:val="006E18F7"/>
    <w:rsid w:val="006E6873"/>
    <w:rsid w:val="007647EE"/>
    <w:rsid w:val="00855001"/>
    <w:rsid w:val="008A1F91"/>
    <w:rsid w:val="00AA1BDB"/>
    <w:rsid w:val="00B05C89"/>
    <w:rsid w:val="00B75419"/>
    <w:rsid w:val="00C34947"/>
    <w:rsid w:val="00C56229"/>
    <w:rsid w:val="00DD1794"/>
    <w:rsid w:val="00EC72DF"/>
    <w:rsid w:val="00FE27E1"/>
    <w:rsid w:val="19DE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76</Words>
  <Characters>438</Characters>
  <Lines>3</Lines>
  <Paragraphs>1</Paragraphs>
  <TotalTime>172</TotalTime>
  <ScaleCrop>false</ScaleCrop>
  <LinksUpToDate>false</LinksUpToDate>
  <CharactersWithSpaces>513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2021-01-12T02:50:00Z</dcterms:created>
  <dc:creator>Micorosoft</dc:creator>
  <cp:lastModifiedBy>Mr.</cp:lastModifiedBy>
  <dcterms:modified xsi:type="dcterms:W3CDTF">2021-07-15T04:43:29Z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