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3704FB" w14:textId="24B5C124" w:rsidR="007B2A5F" w:rsidRDefault="00DD6312">
      <w:pPr>
        <w:spacing w:after="0" w:line="480" w:lineRule="auto"/>
        <w:rPr>
          <w:rFonts w:ascii="Times New Roman" w:eastAsia="Times New Roman" w:hAnsi="Times New Roman" w:cs="Times New Roman"/>
          <w:b/>
          <w:sz w:val="24"/>
          <w:szCs w:val="24"/>
        </w:rPr>
      </w:pPr>
      <w:bookmarkStart w:id="0" w:name="_heading=h.my72erdtbq9z" w:colFirst="0" w:colLast="0"/>
      <w:bookmarkEnd w:id="0"/>
      <w:r>
        <w:rPr>
          <w:rFonts w:ascii="Times New Roman" w:eastAsia="Times New Roman" w:hAnsi="Times New Roman" w:cs="Times New Roman"/>
          <w:b/>
          <w:sz w:val="24"/>
          <w:szCs w:val="24"/>
        </w:rPr>
        <w:t xml:space="preserve">Additional File </w:t>
      </w:r>
      <w:r w:rsidR="007A523D">
        <w:rPr>
          <w:rFonts w:ascii="Times New Roman" w:eastAsia="Times New Roman" w:hAnsi="Times New Roman" w:cs="Times New Roman"/>
          <w:b/>
          <w:sz w:val="24"/>
          <w:szCs w:val="24"/>
        </w:rPr>
        <w:t>2</w:t>
      </w:r>
      <w:bookmarkStart w:id="1" w:name="_GoBack"/>
      <w:bookmarkEnd w:id="1"/>
      <w:r>
        <w:rPr>
          <w:rFonts w:ascii="Times New Roman" w:eastAsia="Times New Roman" w:hAnsi="Times New Roman" w:cs="Times New Roman"/>
          <w:b/>
          <w:sz w:val="24"/>
          <w:szCs w:val="24"/>
        </w:rPr>
        <w:t xml:space="preserve">: Case and learning collaborative descriptions </w:t>
      </w:r>
    </w:p>
    <w:p w14:paraId="58C6BE84" w14:textId="77777777" w:rsidR="007B2A5F" w:rsidRDefault="00DD6312">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Case A: Provincial ICU Delirium</w:t>
      </w:r>
    </w:p>
    <w:p w14:paraId="5B87A3AB" w14:textId="0127970C" w:rsidR="007B2A5F" w:rsidRDefault="00DD6312">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Provincial Intensive Care Unit (ICU) Delirium Initiative is a best practice implementation initiative led by Alberta Health Services (AHS) Critical Care Strategic Clinical Network (CC SCN). Province-wide implementation of the initiative occurred from September 2016 to March 2019. This initiative was implemented by operational and medical leaders and frontline teams in 17 adult and </w:t>
      </w:r>
      <w:r w:rsidR="00622290">
        <w:rPr>
          <w:rFonts w:ascii="Times New Roman" w:eastAsia="Times New Roman" w:hAnsi="Times New Roman" w:cs="Times New Roman"/>
          <w:sz w:val="24"/>
          <w:szCs w:val="24"/>
        </w:rPr>
        <w:t>three</w:t>
      </w:r>
      <w:r>
        <w:rPr>
          <w:rFonts w:ascii="Times New Roman" w:eastAsia="Times New Roman" w:hAnsi="Times New Roman" w:cs="Times New Roman"/>
          <w:sz w:val="24"/>
          <w:szCs w:val="24"/>
        </w:rPr>
        <w:t xml:space="preserve"> pediatric ICUs across AHS. The ABCDEF (Assess, prevent and manage pain; </w:t>
      </w:r>
      <w:r>
        <w:rPr>
          <w:rFonts w:ascii="Times New Roman" w:eastAsia="Times New Roman" w:hAnsi="Times New Roman" w:cs="Times New Roman"/>
          <w:sz w:val="24"/>
          <w:szCs w:val="24"/>
          <w:u w:val="single"/>
        </w:rPr>
        <w:t>B</w:t>
      </w:r>
      <w:r>
        <w:rPr>
          <w:rFonts w:ascii="Times New Roman" w:eastAsia="Times New Roman" w:hAnsi="Times New Roman" w:cs="Times New Roman"/>
          <w:sz w:val="24"/>
          <w:szCs w:val="24"/>
        </w:rPr>
        <w:t xml:space="preserve">oth Spontaneous Awakening Trials (SAT) and Spontaneous Breaking Trials (SBT); </w:t>
      </w:r>
      <w:r>
        <w:rPr>
          <w:rFonts w:ascii="Times New Roman" w:eastAsia="Times New Roman" w:hAnsi="Times New Roman" w:cs="Times New Roman"/>
          <w:sz w:val="24"/>
          <w:szCs w:val="24"/>
          <w:u w:val="single"/>
        </w:rPr>
        <w:t>C</w:t>
      </w:r>
      <w:r>
        <w:rPr>
          <w:rFonts w:ascii="Times New Roman" w:eastAsia="Times New Roman" w:hAnsi="Times New Roman" w:cs="Times New Roman"/>
          <w:sz w:val="24"/>
          <w:szCs w:val="24"/>
        </w:rPr>
        <w:t xml:space="preserve">hoice of analgesia and sedation; </w:t>
      </w:r>
      <w:r>
        <w:rPr>
          <w:rFonts w:ascii="Times New Roman" w:eastAsia="Times New Roman" w:hAnsi="Times New Roman" w:cs="Times New Roman"/>
          <w:sz w:val="24"/>
          <w:szCs w:val="24"/>
          <w:u w:val="single"/>
        </w:rPr>
        <w:t>D</w:t>
      </w:r>
      <w:r>
        <w:rPr>
          <w:rFonts w:ascii="Times New Roman" w:eastAsia="Times New Roman" w:hAnsi="Times New Roman" w:cs="Times New Roman"/>
          <w:sz w:val="24"/>
          <w:szCs w:val="24"/>
        </w:rPr>
        <w:t xml:space="preserve">elirium: assess, prevent and manage; </w:t>
      </w:r>
      <w:r>
        <w:rPr>
          <w:rFonts w:ascii="Times New Roman" w:eastAsia="Times New Roman" w:hAnsi="Times New Roman" w:cs="Times New Roman"/>
          <w:sz w:val="24"/>
          <w:szCs w:val="24"/>
          <w:u w:val="single"/>
        </w:rPr>
        <w:t>E</w:t>
      </w:r>
      <w:r>
        <w:rPr>
          <w:rFonts w:ascii="Times New Roman" w:eastAsia="Times New Roman" w:hAnsi="Times New Roman" w:cs="Times New Roman"/>
          <w:sz w:val="24"/>
          <w:szCs w:val="24"/>
        </w:rPr>
        <w:t xml:space="preserve">arly mobility and exercise; </w:t>
      </w:r>
      <w:r>
        <w:rPr>
          <w:rFonts w:ascii="Times New Roman" w:eastAsia="Times New Roman" w:hAnsi="Times New Roman" w:cs="Times New Roman"/>
          <w:sz w:val="24"/>
          <w:szCs w:val="24"/>
          <w:u w:val="single"/>
        </w:rPr>
        <w:t>F</w:t>
      </w:r>
      <w:r>
        <w:rPr>
          <w:rFonts w:ascii="Times New Roman" w:eastAsia="Times New Roman" w:hAnsi="Times New Roman" w:cs="Times New Roman"/>
          <w:sz w:val="24"/>
          <w:szCs w:val="24"/>
        </w:rPr>
        <w:t>amily engagement and empowerment) care bundle of best practices to prevent and manage ICU delirium w</w:t>
      </w:r>
      <w:r w:rsidR="00622290">
        <w:rPr>
          <w:rFonts w:ascii="Times New Roman" w:eastAsia="Times New Roman" w:hAnsi="Times New Roman" w:cs="Times New Roman"/>
          <w:sz w:val="24"/>
          <w:szCs w:val="24"/>
        </w:rPr>
        <w:t>ere</w:t>
      </w:r>
      <w:r>
        <w:rPr>
          <w:rFonts w:ascii="Times New Roman" w:eastAsia="Times New Roman" w:hAnsi="Times New Roman" w:cs="Times New Roman"/>
          <w:sz w:val="24"/>
          <w:szCs w:val="24"/>
        </w:rPr>
        <w:t xml:space="preserve"> implemented. </w:t>
      </w:r>
    </w:p>
    <w:p w14:paraId="7D9ECF87" w14:textId="5FBF99D1" w:rsidR="007B2A5F" w:rsidRDefault="00DD6312" w:rsidP="00622290">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Case A used </w:t>
      </w:r>
      <w:r w:rsidR="00D65E8E">
        <w:rPr>
          <w:rFonts w:ascii="Times New Roman" w:eastAsia="Times New Roman" w:hAnsi="Times New Roman" w:cs="Times New Roman"/>
          <w:sz w:val="24"/>
          <w:szCs w:val="24"/>
        </w:rPr>
        <w:t>an AHS adaptation of the</w:t>
      </w:r>
      <w:r w:rsidR="00622290">
        <w:rPr>
          <w:rFonts w:ascii="Times New Roman" w:eastAsia="Times New Roman" w:hAnsi="Times New Roman" w:cs="Times New Roman"/>
          <w:sz w:val="24"/>
          <w:szCs w:val="24"/>
        </w:rPr>
        <w:t xml:space="preserve"> </w:t>
      </w:r>
      <w:r w:rsidR="00D65E8E">
        <w:rPr>
          <w:rFonts w:ascii="Times New Roman" w:eastAsia="Times New Roman" w:hAnsi="Times New Roman" w:cs="Times New Roman"/>
          <w:sz w:val="24"/>
          <w:szCs w:val="24"/>
        </w:rPr>
        <w:t xml:space="preserve">IHI </w:t>
      </w:r>
      <w:r>
        <w:rPr>
          <w:rFonts w:ascii="Times New Roman" w:eastAsia="Times New Roman" w:hAnsi="Times New Roman" w:cs="Times New Roman"/>
          <w:sz w:val="24"/>
          <w:szCs w:val="24"/>
        </w:rPr>
        <w:t>Innovative Learning Collaborative (ILC)</w:t>
      </w:r>
      <w:r w:rsidR="00622290">
        <w:rPr>
          <w:rFonts w:ascii="Times New Roman" w:eastAsia="Times New Roman" w:hAnsi="Times New Roman" w:cs="Times New Roman"/>
          <w:sz w:val="24"/>
          <w:szCs w:val="24"/>
        </w:rPr>
        <w:t xml:space="preserve"> approach</w:t>
      </w:r>
      <w:r>
        <w:rPr>
          <w:rFonts w:ascii="Times New Roman" w:eastAsia="Times New Roman" w:hAnsi="Times New Roman" w:cs="Times New Roman"/>
          <w:sz w:val="24"/>
          <w:szCs w:val="24"/>
        </w:rPr>
        <w:t xml:space="preserve"> </w:t>
      </w:r>
      <w:r w:rsidR="00680B63">
        <w:rPr>
          <w:rFonts w:ascii="Times New Roman" w:eastAsia="Times New Roman" w:hAnsi="Times New Roman" w:cs="Times New Roman"/>
          <w:sz w:val="24"/>
          <w:szCs w:val="24"/>
        </w:rPr>
        <w:fldChar w:fldCharType="begin"/>
      </w:r>
      <w:r w:rsidR="00680B63">
        <w:rPr>
          <w:rFonts w:ascii="Times New Roman" w:eastAsia="Times New Roman" w:hAnsi="Times New Roman" w:cs="Times New Roman"/>
          <w:sz w:val="24"/>
          <w:szCs w:val="24"/>
        </w:rPr>
        <w:instrText xml:space="preserve"> ADDIN EN.CITE &lt;EndNote&gt;&lt;Cite&gt;&lt;Author&gt;Institute for Healthcare Improvement&lt;/Author&gt;&lt;Year&gt;2003&lt;/Year&gt;&lt;RecNum&gt;53&lt;/RecNum&gt;&lt;DisplayText&gt;(1)&lt;/DisplayText&gt;&lt;record&gt;&lt;rec-number&gt;53&lt;/rec-number&gt;&lt;foreign-keys&gt;&lt;key app="EN" db-id="2tdxdtxrz52pxverxzjp5wa6rzpzd2rvddrr" timestamp="1594830276"&gt;53&lt;/key&gt;&lt;/foreign-keys&gt;&lt;ref-type name="Report"&gt;27&lt;/ref-type&gt;&lt;contributors&gt;&lt;authors&gt;&lt;author&gt;Institute for Healthcare Improvement,&lt;/author&gt;&lt;/authors&gt;&lt;tertiary-authors&gt;&lt;author&gt;IHI Innovation Series White Paper&lt;/author&gt;&lt;/tertiary-authors&gt;&lt;/contributors&gt;&lt;titles&gt;&lt;title&gt;The Breakthrough Series: IHI’s collaborative model for achieving breakthrough improvement&lt;/title&gt;&lt;/titles&gt;&lt;dates&gt;&lt;year&gt;2003&lt;/year&gt;&lt;/dates&gt;&lt;urls&gt;&lt;/urls&gt;&lt;/record&gt;&lt;/Cite&gt;&lt;/EndNote&gt;</w:instrText>
      </w:r>
      <w:r w:rsidR="00680B63">
        <w:rPr>
          <w:rFonts w:ascii="Times New Roman" w:eastAsia="Times New Roman" w:hAnsi="Times New Roman" w:cs="Times New Roman"/>
          <w:sz w:val="24"/>
          <w:szCs w:val="24"/>
        </w:rPr>
        <w:fldChar w:fldCharType="separate"/>
      </w:r>
      <w:r w:rsidR="00680B63">
        <w:rPr>
          <w:rFonts w:ascii="Times New Roman" w:eastAsia="Times New Roman" w:hAnsi="Times New Roman" w:cs="Times New Roman"/>
          <w:noProof/>
          <w:sz w:val="24"/>
          <w:szCs w:val="24"/>
        </w:rPr>
        <w:t>(1)</w:t>
      </w:r>
      <w:r w:rsidR="00680B63">
        <w:rPr>
          <w:rFonts w:ascii="Times New Roman" w:eastAsia="Times New Roman" w:hAnsi="Times New Roman" w:cs="Times New Roman"/>
          <w:sz w:val="24"/>
          <w:szCs w:val="24"/>
        </w:rPr>
        <w:fldChar w:fldCharType="end"/>
      </w:r>
      <w:r w:rsidR="00680B63">
        <w:rPr>
          <w:rFonts w:ascii="Times New Roman" w:eastAsia="Times New Roman" w:hAnsi="Times New Roman" w:cs="Times New Roman"/>
          <w:sz w:val="24"/>
          <w:szCs w:val="24"/>
        </w:rPr>
        <w:t xml:space="preserve"> </w:t>
      </w:r>
      <w:r w:rsidR="00D65E8E">
        <w:rPr>
          <w:rFonts w:ascii="Times New Roman" w:eastAsia="Times New Roman" w:hAnsi="Times New Roman" w:cs="Times New Roman"/>
          <w:sz w:val="24"/>
          <w:szCs w:val="24"/>
        </w:rPr>
        <w:t xml:space="preserve">to engage </w:t>
      </w:r>
      <w:r>
        <w:rPr>
          <w:rFonts w:ascii="Times New Roman" w:eastAsia="Times New Roman" w:hAnsi="Times New Roman" w:cs="Times New Roman"/>
          <w:sz w:val="24"/>
          <w:szCs w:val="24"/>
        </w:rPr>
        <w:t xml:space="preserve">local teams in using measurement to drive clinical pathway practice changes </w:t>
      </w:r>
      <w:r w:rsidR="00D65E8E">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achieve system-wide improvements. These ILCs included learning sessions where interprofessional local teams, patients/families, and expert faculty exchange ideas. Action </w:t>
      </w:r>
      <w:r w:rsidR="00622290">
        <w:rPr>
          <w:rFonts w:ascii="Times New Roman" w:eastAsia="Times New Roman" w:hAnsi="Times New Roman" w:cs="Times New Roman"/>
          <w:sz w:val="24"/>
          <w:szCs w:val="24"/>
        </w:rPr>
        <w:t>p</w:t>
      </w:r>
      <w:r>
        <w:rPr>
          <w:rFonts w:ascii="Times New Roman" w:eastAsia="Times New Roman" w:hAnsi="Times New Roman" w:cs="Times New Roman"/>
          <w:sz w:val="24"/>
          <w:szCs w:val="24"/>
        </w:rPr>
        <w:t xml:space="preserve">eriods </w:t>
      </w:r>
      <w:r w:rsidR="00CC5D25">
        <w:rPr>
          <w:rFonts w:ascii="Times New Roman" w:eastAsia="Times New Roman" w:hAnsi="Times New Roman" w:cs="Times New Roman"/>
          <w:sz w:val="24"/>
          <w:szCs w:val="24"/>
        </w:rPr>
        <w:t>occurred</w:t>
      </w:r>
      <w:r>
        <w:rPr>
          <w:rFonts w:ascii="Times New Roman" w:eastAsia="Times New Roman" w:hAnsi="Times New Roman" w:cs="Times New Roman"/>
          <w:sz w:val="24"/>
          <w:szCs w:val="24"/>
        </w:rPr>
        <w:t xml:space="preserve"> between each session where local teams collect</w:t>
      </w:r>
      <w:r w:rsidR="00622290">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data and complete</w:t>
      </w:r>
      <w:r w:rsidR="00622290">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Plan</w:t>
      </w:r>
      <w:r w:rsidR="00CC5D2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Do</w:t>
      </w:r>
      <w:r w:rsidR="00CC5D2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Study</w:t>
      </w:r>
      <w:r w:rsidR="00CC5D2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Act </w:t>
      </w:r>
      <w:r w:rsidR="00CC5D25">
        <w:rPr>
          <w:rFonts w:ascii="Times New Roman" w:eastAsia="Times New Roman" w:hAnsi="Times New Roman" w:cs="Times New Roman"/>
          <w:sz w:val="24"/>
          <w:szCs w:val="24"/>
        </w:rPr>
        <w:t xml:space="preserve">(PDSA) </w:t>
      </w:r>
      <w:r>
        <w:rPr>
          <w:rFonts w:ascii="Times New Roman" w:eastAsia="Times New Roman" w:hAnsi="Times New Roman" w:cs="Times New Roman"/>
          <w:sz w:val="24"/>
          <w:szCs w:val="24"/>
        </w:rPr>
        <w:t xml:space="preserve">cycles. Balanced Scorecards were used </w:t>
      </w:r>
      <w:r w:rsidR="00622290">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organize key provincial and </w:t>
      </w:r>
      <w:r w:rsidR="00622290">
        <w:rPr>
          <w:rFonts w:ascii="Times New Roman" w:eastAsia="Times New Roman" w:hAnsi="Times New Roman" w:cs="Times New Roman"/>
          <w:sz w:val="24"/>
          <w:szCs w:val="24"/>
        </w:rPr>
        <w:t>locally identified</w:t>
      </w:r>
      <w:r>
        <w:rPr>
          <w:rFonts w:ascii="Times New Roman" w:eastAsia="Times New Roman" w:hAnsi="Times New Roman" w:cs="Times New Roman"/>
          <w:sz w:val="24"/>
          <w:szCs w:val="24"/>
        </w:rPr>
        <w:t xml:space="preserve"> measures around quality dimensions</w:t>
      </w:r>
      <w:r>
        <w:rPr>
          <w:sz w:val="24"/>
          <w:szCs w:val="24"/>
        </w:rPr>
        <w:t>.</w:t>
      </w:r>
      <w:r>
        <w:t xml:space="preserve"> </w:t>
      </w:r>
      <w:r>
        <w:rPr>
          <w:rFonts w:ascii="Times New Roman" w:eastAsia="Times New Roman" w:hAnsi="Times New Roman" w:cs="Times New Roman"/>
          <w:sz w:val="24"/>
          <w:szCs w:val="24"/>
        </w:rPr>
        <w:t>A total of five ILCs occurred during</w:t>
      </w:r>
      <w:r w:rsidR="0062229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Provincial ICU Delirium Initiative </w:t>
      </w:r>
      <w:r w:rsidR="00D65E8E">
        <w:rPr>
          <w:rFonts w:ascii="Times New Roman" w:eastAsia="Times New Roman" w:hAnsi="Times New Roman" w:cs="Times New Roman"/>
          <w:sz w:val="24"/>
          <w:szCs w:val="24"/>
        </w:rPr>
        <w:t xml:space="preserve">implementation, </w:t>
      </w:r>
      <w:r>
        <w:rPr>
          <w:rFonts w:ascii="Times New Roman" w:eastAsia="Times New Roman" w:hAnsi="Times New Roman" w:cs="Times New Roman"/>
          <w:sz w:val="24"/>
          <w:szCs w:val="24"/>
        </w:rPr>
        <w:t xml:space="preserve">involving an average of 173 multi-disciplinary participants from Alberta ICUs. Multi-disciplinary implementation teams comprised frontline health professionals and operational leaders. Each local ICU team was supported by Practice Leads as they implemented </w:t>
      </w:r>
      <w:r w:rsidR="00622290">
        <w:rPr>
          <w:rFonts w:ascii="Times New Roman" w:eastAsia="Times New Roman" w:hAnsi="Times New Roman" w:cs="Times New Roman"/>
          <w:sz w:val="24"/>
          <w:szCs w:val="24"/>
        </w:rPr>
        <w:t>quality improvement</w:t>
      </w:r>
      <w:r>
        <w:rPr>
          <w:rFonts w:ascii="Times New Roman" w:eastAsia="Times New Roman" w:hAnsi="Times New Roman" w:cs="Times New Roman"/>
          <w:sz w:val="24"/>
          <w:szCs w:val="24"/>
        </w:rPr>
        <w:t xml:space="preserve"> activities </w:t>
      </w:r>
      <w:r w:rsidR="00D65E8E">
        <w:rPr>
          <w:rFonts w:ascii="Times New Roman" w:eastAsia="Times New Roman" w:hAnsi="Times New Roman" w:cs="Times New Roman"/>
          <w:sz w:val="24"/>
          <w:szCs w:val="24"/>
        </w:rPr>
        <w:t>that led to</w:t>
      </w:r>
      <w:r>
        <w:rPr>
          <w:rFonts w:ascii="Times New Roman" w:eastAsia="Times New Roman" w:hAnsi="Times New Roman" w:cs="Times New Roman"/>
          <w:sz w:val="24"/>
          <w:szCs w:val="24"/>
        </w:rPr>
        <w:t xml:space="preserve"> higher adoption rate</w:t>
      </w:r>
      <w:r w:rsidR="00D65E8E">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lastRenderedPageBreak/>
        <w:t>sustainable practices. Monthly audit and feedback reports were provided to frontline providers and unit leaders and quarterly reports were provided to Zone and site leadership.</w:t>
      </w:r>
    </w:p>
    <w:p w14:paraId="35D5DF90" w14:textId="77777777" w:rsidR="007B2A5F" w:rsidRDefault="007B2A5F">
      <w:pPr>
        <w:spacing w:after="0" w:line="480" w:lineRule="auto"/>
        <w:rPr>
          <w:rFonts w:ascii="Times New Roman" w:eastAsia="Times New Roman" w:hAnsi="Times New Roman" w:cs="Times New Roman"/>
          <w:b/>
          <w:sz w:val="24"/>
          <w:szCs w:val="24"/>
        </w:rPr>
      </w:pPr>
    </w:p>
    <w:p w14:paraId="68EE72DF" w14:textId="77777777" w:rsidR="007B2A5F" w:rsidRDefault="00DD6312">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Case B: Appropriate Use of Antipsychotics (AUA)</w:t>
      </w:r>
    </w:p>
    <w:p w14:paraId="50F45042" w14:textId="50D0D2D0" w:rsidR="00622290" w:rsidRDefault="00DD6312">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Appropriate Use of Antipsychotics (AUA) in Supportive Living (SL) is a multi-phase initiative developed and implemented by the Alberta Health Services (AHS) Seniors Health Strategic Clinical Network (SCN). The AUA initiative focused on reducing the inappropriate use of antipsychotic medications for managing responsive behaviors associated with dementia. The AUA initiative was first implemented in 11 “early adopter” long term care (LTC) sites across Alberta in 2013-2014. </w:t>
      </w:r>
      <w:r w:rsidR="00622290">
        <w:rPr>
          <w:rFonts w:ascii="Times New Roman" w:eastAsia="Times New Roman" w:hAnsi="Times New Roman" w:cs="Times New Roman"/>
          <w:sz w:val="24"/>
          <w:szCs w:val="24"/>
        </w:rPr>
        <w:t xml:space="preserve">The initiative </w:t>
      </w:r>
      <w:r w:rsidR="00D65E8E">
        <w:rPr>
          <w:rFonts w:ascii="Times New Roman" w:eastAsia="Times New Roman" w:hAnsi="Times New Roman" w:cs="Times New Roman"/>
          <w:sz w:val="24"/>
          <w:szCs w:val="24"/>
        </w:rPr>
        <w:t xml:space="preserve">supported </w:t>
      </w:r>
      <w:r w:rsidR="00622290">
        <w:rPr>
          <w:rFonts w:ascii="Times New Roman" w:eastAsia="Times New Roman" w:hAnsi="Times New Roman" w:cs="Times New Roman"/>
          <w:sz w:val="24"/>
          <w:szCs w:val="24"/>
        </w:rPr>
        <w:t xml:space="preserve">enhanced implementation of the AUA Guideline and Toolkit of resources; Interprofessional Monthly Antipsychotic Medication reviews were the key interventions of the AUA initiative. </w:t>
      </w:r>
      <w:r>
        <w:rPr>
          <w:rFonts w:ascii="Times New Roman" w:eastAsia="Times New Roman" w:hAnsi="Times New Roman" w:cs="Times New Roman"/>
          <w:sz w:val="24"/>
          <w:szCs w:val="24"/>
        </w:rPr>
        <w:t xml:space="preserve">Following the success of these early adopter sites in reducing antipsychotic use by 50%, the initiative was then implemented in all 170 LTC facilitates across Alberta in 2014-2015, followed by scaled implementation in 165 designated supportive living (DSL) facilities from 2016-2018. </w:t>
      </w:r>
    </w:p>
    <w:p w14:paraId="132C089C" w14:textId="4670C52C" w:rsidR="007B2A5F" w:rsidRDefault="00DD6312" w:rsidP="00622290">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After</w:t>
      </w:r>
      <w:r w:rsidR="00D65E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successful implementation of three learning collaboratives in 11 early adopter sites, a series of nine LCs (3 full-day sessions for each collaborative) occurred during provincial implementation in 2014-2015, engaging over 100 LTC sites with higher than provincial average</w:t>
      </w:r>
      <w:r w:rsidR="00D65E8E">
        <w:rPr>
          <w:rFonts w:ascii="Times New Roman" w:eastAsia="Times New Roman" w:hAnsi="Times New Roman" w:cs="Times New Roman"/>
          <w:sz w:val="24"/>
          <w:szCs w:val="24"/>
        </w:rPr>
        <w:t xml:space="preserve"> baseline rates of</w:t>
      </w:r>
      <w:r>
        <w:rPr>
          <w:rFonts w:ascii="Times New Roman" w:eastAsia="Times New Roman" w:hAnsi="Times New Roman" w:cs="Times New Roman"/>
          <w:sz w:val="24"/>
          <w:szCs w:val="24"/>
        </w:rPr>
        <w:t xml:space="preserve"> </w:t>
      </w:r>
      <w:r w:rsidR="00D65E8E">
        <w:rPr>
          <w:rFonts w:ascii="Times New Roman" w:eastAsia="Times New Roman" w:hAnsi="Times New Roman" w:cs="Times New Roman"/>
          <w:sz w:val="24"/>
          <w:szCs w:val="24"/>
        </w:rPr>
        <w:t xml:space="preserve">resident </w:t>
      </w:r>
      <w:r>
        <w:rPr>
          <w:rFonts w:ascii="Times New Roman" w:eastAsia="Times New Roman" w:hAnsi="Times New Roman" w:cs="Times New Roman"/>
          <w:sz w:val="24"/>
          <w:szCs w:val="24"/>
        </w:rPr>
        <w:t>antipsychotic medication</w:t>
      </w:r>
      <w:r w:rsidR="00D65E8E">
        <w:rPr>
          <w:rFonts w:ascii="Times New Roman" w:eastAsia="Times New Roman" w:hAnsi="Times New Roman" w:cs="Times New Roman"/>
          <w:sz w:val="24"/>
          <w:szCs w:val="24"/>
        </w:rPr>
        <w:t xml:space="preserve"> use</w:t>
      </w:r>
      <w:r>
        <w:rPr>
          <w:rFonts w:ascii="Times New Roman" w:eastAsia="Times New Roman" w:hAnsi="Times New Roman" w:cs="Times New Roman"/>
          <w:sz w:val="24"/>
          <w:szCs w:val="24"/>
        </w:rPr>
        <w:t xml:space="preserve">. Between 8-18 sites participated in each collaborative (one “change team” from each site). These “change-team” members were responsible for attending workshops, educating staff at their site, organizing and supporting practice change, and collecting data for the AUA initiative team. </w:t>
      </w:r>
      <w:r w:rsidR="00D65E8E">
        <w:rPr>
          <w:rFonts w:ascii="Times New Roman" w:eastAsia="Times New Roman" w:hAnsi="Times New Roman" w:cs="Times New Roman"/>
          <w:sz w:val="24"/>
          <w:szCs w:val="24"/>
        </w:rPr>
        <w:t>Seven of nine</w:t>
      </w:r>
      <w:r>
        <w:rPr>
          <w:rFonts w:ascii="Times New Roman" w:eastAsia="Times New Roman" w:hAnsi="Times New Roman" w:cs="Times New Roman"/>
          <w:sz w:val="24"/>
          <w:szCs w:val="24"/>
        </w:rPr>
        <w:t xml:space="preserve"> collaboratives occurred in person</w:t>
      </w:r>
      <w:r w:rsidR="00D65E8E">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w:t>
      </w:r>
      <w:r w:rsidR="00FD30F0">
        <w:rPr>
          <w:rFonts w:ascii="Times New Roman" w:eastAsia="Times New Roman" w:hAnsi="Times New Roman" w:cs="Times New Roman"/>
          <w:sz w:val="24"/>
          <w:szCs w:val="24"/>
        </w:rPr>
        <w:t>two</w:t>
      </w:r>
      <w:r w:rsidR="00D65E8E">
        <w:rPr>
          <w:rFonts w:ascii="Times New Roman" w:eastAsia="Times New Roman" w:hAnsi="Times New Roman" w:cs="Times New Roman"/>
          <w:sz w:val="24"/>
          <w:szCs w:val="24"/>
        </w:rPr>
        <w:t xml:space="preserve"> occurred</w:t>
      </w:r>
      <w:r>
        <w:rPr>
          <w:rFonts w:ascii="Times New Roman" w:eastAsia="Times New Roman" w:hAnsi="Times New Roman" w:cs="Times New Roman"/>
          <w:sz w:val="24"/>
          <w:szCs w:val="24"/>
        </w:rPr>
        <w:t xml:space="preserve"> virtually. The remaining LTC sites (approximately 60) were </w:t>
      </w:r>
      <w:r>
        <w:rPr>
          <w:rFonts w:ascii="Times New Roman" w:eastAsia="Times New Roman" w:hAnsi="Times New Roman" w:cs="Times New Roman"/>
          <w:sz w:val="24"/>
          <w:szCs w:val="24"/>
        </w:rPr>
        <w:lastRenderedPageBreak/>
        <w:t xml:space="preserve">invited to one 2-hour educational session about the AUA toolkit and resources. These sites had lower than provincial average use of antipsychotics in their </w:t>
      </w:r>
      <w:r w:rsidR="00FD30F0">
        <w:rPr>
          <w:rFonts w:ascii="Times New Roman" w:eastAsia="Times New Roman" w:hAnsi="Times New Roman" w:cs="Times New Roman"/>
          <w:sz w:val="24"/>
          <w:szCs w:val="24"/>
        </w:rPr>
        <w:t>residents and</w:t>
      </w:r>
      <w:r>
        <w:rPr>
          <w:rFonts w:ascii="Times New Roman" w:eastAsia="Times New Roman" w:hAnsi="Times New Roman" w:cs="Times New Roman"/>
          <w:sz w:val="24"/>
          <w:szCs w:val="24"/>
        </w:rPr>
        <w:t xml:space="preserve"> received education</w:t>
      </w:r>
      <w:r w:rsidR="00D65E8E">
        <w:rPr>
          <w:rFonts w:ascii="Times New Roman" w:eastAsia="Times New Roman" w:hAnsi="Times New Roman" w:cs="Times New Roman"/>
          <w:sz w:val="24"/>
          <w:szCs w:val="24"/>
        </w:rPr>
        <w:t xml:space="preserve"> only</w:t>
      </w:r>
      <w:r>
        <w:rPr>
          <w:rFonts w:ascii="Times New Roman" w:eastAsia="Times New Roman" w:hAnsi="Times New Roman" w:cs="Times New Roman"/>
          <w:sz w:val="24"/>
          <w:szCs w:val="24"/>
        </w:rPr>
        <w:t xml:space="preserve">. In 2016-2018, with the spread to DSL, a series of 4 learning workshops </w:t>
      </w:r>
      <w:r w:rsidR="00D65E8E">
        <w:rPr>
          <w:rFonts w:ascii="Times New Roman" w:eastAsia="Times New Roman" w:hAnsi="Times New Roman" w:cs="Times New Roman"/>
          <w:sz w:val="24"/>
          <w:szCs w:val="24"/>
        </w:rPr>
        <w:t>engaged</w:t>
      </w:r>
      <w:r>
        <w:rPr>
          <w:rFonts w:ascii="Times New Roman" w:eastAsia="Times New Roman" w:hAnsi="Times New Roman" w:cs="Times New Roman"/>
          <w:sz w:val="24"/>
          <w:szCs w:val="24"/>
        </w:rPr>
        <w:t xml:space="preserve"> 156 DSL sites. Learning workshops occurred face-to-face, with some sites joining virtually. A total of 69 learning workshop sessions were held from 2016-2018. Additionally, the AUA initiative team provided 11 videoconferences, and monthly curbside consultations. Curbside consultations involved teleconference meetings to discuss case studies on responsive behaviors of residents with dementia. These additional meetings were opportunities for </w:t>
      </w:r>
      <w:r w:rsidR="00D65E8E">
        <w:rPr>
          <w:rFonts w:ascii="Times New Roman" w:eastAsia="Times New Roman" w:hAnsi="Times New Roman" w:cs="Times New Roman"/>
          <w:sz w:val="24"/>
          <w:szCs w:val="24"/>
        </w:rPr>
        <w:t xml:space="preserve">collaborative </w:t>
      </w:r>
      <w:r>
        <w:rPr>
          <w:rFonts w:ascii="Times New Roman" w:eastAsia="Times New Roman" w:hAnsi="Times New Roman" w:cs="Times New Roman"/>
          <w:sz w:val="24"/>
          <w:szCs w:val="24"/>
        </w:rPr>
        <w:t>learning, problem solving, and support.</w:t>
      </w:r>
      <w:r w:rsidR="00622290">
        <w:rPr>
          <w:rFonts w:ascii="Times New Roman" w:eastAsia="Times New Roman" w:hAnsi="Times New Roman" w:cs="Times New Roman"/>
          <w:sz w:val="24"/>
          <w:szCs w:val="24"/>
        </w:rPr>
        <w:t xml:space="preserve"> In DSL sites</w:t>
      </w:r>
      <w:r w:rsidR="00D65E8E">
        <w:rPr>
          <w:rFonts w:ascii="Times New Roman" w:eastAsia="Times New Roman" w:hAnsi="Times New Roman" w:cs="Times New Roman"/>
          <w:sz w:val="24"/>
          <w:szCs w:val="24"/>
        </w:rPr>
        <w:t>,</w:t>
      </w:r>
      <w:r w:rsidR="00622290">
        <w:rPr>
          <w:rFonts w:ascii="Times New Roman" w:eastAsia="Times New Roman" w:hAnsi="Times New Roman" w:cs="Times New Roman"/>
          <w:sz w:val="24"/>
          <w:szCs w:val="24"/>
        </w:rPr>
        <w:t xml:space="preserve"> the AUA team </w:t>
      </w:r>
      <w:r w:rsidR="00D65E8E">
        <w:rPr>
          <w:rFonts w:ascii="Times New Roman" w:eastAsia="Times New Roman" w:hAnsi="Times New Roman" w:cs="Times New Roman"/>
          <w:sz w:val="24"/>
          <w:szCs w:val="24"/>
        </w:rPr>
        <w:t>used the AHS-adapted</w:t>
      </w:r>
      <w:r w:rsidR="00622290">
        <w:rPr>
          <w:rFonts w:ascii="Times New Roman" w:eastAsia="Times New Roman" w:hAnsi="Times New Roman" w:cs="Times New Roman"/>
          <w:sz w:val="24"/>
          <w:szCs w:val="24"/>
        </w:rPr>
        <w:t xml:space="preserve"> </w:t>
      </w:r>
      <w:r w:rsidR="00D65E8E">
        <w:rPr>
          <w:rFonts w:ascii="Times New Roman" w:eastAsia="Times New Roman" w:hAnsi="Times New Roman" w:cs="Times New Roman"/>
          <w:sz w:val="24"/>
          <w:szCs w:val="24"/>
        </w:rPr>
        <w:t xml:space="preserve">IHI </w:t>
      </w:r>
      <w:r w:rsidR="00622290">
        <w:rPr>
          <w:rFonts w:ascii="Times New Roman" w:eastAsia="Times New Roman" w:hAnsi="Times New Roman" w:cs="Times New Roman"/>
          <w:sz w:val="24"/>
          <w:szCs w:val="24"/>
        </w:rPr>
        <w:t>Innovation Learning Collaborative (ILC) approach developed by SCNs in AHS</w:t>
      </w:r>
      <w:r w:rsidR="00F721DB">
        <w:rPr>
          <w:rFonts w:ascii="Times New Roman" w:eastAsia="Times New Roman" w:hAnsi="Times New Roman" w:cs="Times New Roman"/>
          <w:sz w:val="24"/>
          <w:szCs w:val="24"/>
        </w:rPr>
        <w:t xml:space="preserve"> </w:t>
      </w:r>
      <w:r w:rsidR="00F721DB">
        <w:rPr>
          <w:rFonts w:ascii="Times New Roman" w:eastAsia="Times New Roman" w:hAnsi="Times New Roman" w:cs="Times New Roman"/>
          <w:sz w:val="24"/>
          <w:szCs w:val="24"/>
        </w:rPr>
        <w:fldChar w:fldCharType="begin"/>
      </w:r>
      <w:r w:rsidR="00F721DB">
        <w:rPr>
          <w:rFonts w:ascii="Times New Roman" w:eastAsia="Times New Roman" w:hAnsi="Times New Roman" w:cs="Times New Roman"/>
          <w:sz w:val="24"/>
          <w:szCs w:val="24"/>
        </w:rPr>
        <w:instrText xml:space="preserve"> ADDIN EN.CITE &lt;EndNote&gt;&lt;Cite&gt;&lt;Author&gt;Institute for Healthcare Improvement&lt;/Author&gt;&lt;Year&gt;2003&lt;/Year&gt;&lt;RecNum&gt;1&lt;/RecNum&gt;&lt;DisplayText&gt;(1)&lt;/DisplayText&gt;&lt;record&gt;&lt;rec-number&gt;1&lt;/rec-number&gt;&lt;foreign-keys&gt;&lt;key app="EN" db-id="2edww2awf2wta9epas0vzav0rvz02000x09a" timestamp="1599068360"&gt;1&lt;/key&gt;&lt;/foreign-keys&gt;&lt;ref-type name="Report"&gt;27&lt;/ref-type&gt;&lt;contributors&gt;&lt;authors&gt;&lt;author&gt;Institute for Healthcare Improvement,&lt;/author&gt;&lt;/authors&gt;&lt;tertiary-authors&gt;&lt;author&gt;IHI Innovation Series White Paper&lt;/author&gt;&lt;/tertiary-authors&gt;&lt;/contributors&gt;&lt;titles&gt;&lt;title&gt;The Breakthrough Series: IHI’s collaborative model for achieving breakthrough improvement&lt;/title&gt;&lt;/titles&gt;&lt;dates&gt;&lt;year&gt;2003&lt;/year&gt;&lt;/dates&gt;&lt;urls&gt;&lt;/urls&gt;&lt;/record&gt;&lt;/Cite&gt;&lt;/EndNote&gt;</w:instrText>
      </w:r>
      <w:r w:rsidR="00F721DB">
        <w:rPr>
          <w:rFonts w:ascii="Times New Roman" w:eastAsia="Times New Roman" w:hAnsi="Times New Roman" w:cs="Times New Roman"/>
          <w:sz w:val="24"/>
          <w:szCs w:val="24"/>
        </w:rPr>
        <w:fldChar w:fldCharType="separate"/>
      </w:r>
      <w:r w:rsidR="00F721DB">
        <w:rPr>
          <w:rFonts w:ascii="Times New Roman" w:eastAsia="Times New Roman" w:hAnsi="Times New Roman" w:cs="Times New Roman"/>
          <w:noProof/>
          <w:sz w:val="24"/>
          <w:szCs w:val="24"/>
        </w:rPr>
        <w:t>(1)</w:t>
      </w:r>
      <w:r w:rsidR="00F721DB">
        <w:rPr>
          <w:rFonts w:ascii="Times New Roman" w:eastAsia="Times New Roman" w:hAnsi="Times New Roman" w:cs="Times New Roman"/>
          <w:sz w:val="24"/>
          <w:szCs w:val="24"/>
        </w:rPr>
        <w:fldChar w:fldCharType="end"/>
      </w:r>
      <w:r w:rsidR="00622290">
        <w:rPr>
          <w:rFonts w:ascii="Times New Roman" w:eastAsia="Times New Roman" w:hAnsi="Times New Roman" w:cs="Times New Roman"/>
          <w:sz w:val="24"/>
          <w:szCs w:val="24"/>
        </w:rPr>
        <w:t xml:space="preserve">. ILCs engage provincial teams in using measurement to drive clinical pathway practice changes </w:t>
      </w:r>
      <w:r w:rsidR="00D65E8E">
        <w:rPr>
          <w:rFonts w:ascii="Times New Roman" w:eastAsia="Times New Roman" w:hAnsi="Times New Roman" w:cs="Times New Roman"/>
          <w:sz w:val="24"/>
          <w:szCs w:val="24"/>
        </w:rPr>
        <w:t>and</w:t>
      </w:r>
      <w:r w:rsidR="00622290">
        <w:rPr>
          <w:rFonts w:ascii="Times New Roman" w:eastAsia="Times New Roman" w:hAnsi="Times New Roman" w:cs="Times New Roman"/>
          <w:sz w:val="24"/>
          <w:szCs w:val="24"/>
        </w:rPr>
        <w:t xml:space="preserve"> achieve system-wide improvements. ILC methods include learning sessions, action periods, balanced scorecards, measurement, results, and sustainability processes. The ILC method, tools and training are standardized to achieve: 1) care engagement; 2) focus on quality and 3) finish to sustainment</w:t>
      </w:r>
      <w:r w:rsidR="009A30F6">
        <w:rPr>
          <w:rFonts w:ascii="Times New Roman" w:eastAsia="Times New Roman" w:hAnsi="Times New Roman" w:cs="Times New Roman"/>
          <w:sz w:val="24"/>
          <w:szCs w:val="24"/>
        </w:rPr>
        <w:t xml:space="preserve"> </w:t>
      </w:r>
      <w:r w:rsidR="009A30F6">
        <w:rPr>
          <w:rFonts w:ascii="Times New Roman" w:eastAsia="Times New Roman" w:hAnsi="Times New Roman" w:cs="Times New Roman"/>
          <w:sz w:val="24"/>
          <w:szCs w:val="24"/>
        </w:rPr>
        <w:fldChar w:fldCharType="begin"/>
      </w:r>
      <w:r w:rsidR="009A30F6">
        <w:rPr>
          <w:rFonts w:ascii="Times New Roman" w:eastAsia="Times New Roman" w:hAnsi="Times New Roman" w:cs="Times New Roman"/>
          <w:sz w:val="24"/>
          <w:szCs w:val="24"/>
        </w:rPr>
        <w:instrText xml:space="preserve"> ADDIN EN.CITE &lt;EndNote&gt;&lt;Cite&gt;&lt;Author&gt;Arain&lt;/Author&gt;&lt;Year&gt;2018&lt;/Year&gt;&lt;RecNum&gt;139&lt;/RecNum&gt;&lt;DisplayText&gt;(2)&lt;/DisplayText&gt;&lt;record&gt;&lt;rec-number&gt;139&lt;/rec-number&gt;&lt;foreign-keys&gt;&lt;key app="EN" db-id="5fzrp95tf9ddxmeff03p59rh5zs0sdrafdrt" timestamp="1596650439"&gt;139&lt;/key&gt;&lt;/foreign-keys&gt;&lt;ref-type name="Report"&gt;27&lt;/ref-type&gt;&lt;contributors&gt;&lt;authors&gt;&lt;author&gt;Arain, M &lt;/author&gt;&lt;author&gt;Charland, P &lt;/author&gt;&lt;author&gt;Graham, L &lt;/author&gt;&lt;author&gt;Memon, A&lt;/author&gt;&lt;author&gt;Ahmad, A&lt;/author&gt;&lt;/authors&gt;&lt;/contributors&gt;&lt;titles&gt;&lt;title&gt;Appropriate Use of Antipsychotics in Designated Supportive Living 4/4D Evaluation: Final Report.&lt;/title&gt;&lt;/titles&gt;&lt;dates&gt;&lt;year&gt;2018&lt;/year&gt;&lt;/dates&gt;&lt;pub-location&gt;Calgary, AB&lt;/pub-location&gt;&lt;publisher&gt;Health Systems Evaluation and Evidence Alberta Health Services&lt;/publisher&gt;&lt;urls&gt;&lt;/urls&gt;&lt;/record&gt;&lt;/Cite&gt;&lt;/EndNote&gt;</w:instrText>
      </w:r>
      <w:r w:rsidR="009A30F6">
        <w:rPr>
          <w:rFonts w:ascii="Times New Roman" w:eastAsia="Times New Roman" w:hAnsi="Times New Roman" w:cs="Times New Roman"/>
          <w:sz w:val="24"/>
          <w:szCs w:val="24"/>
        </w:rPr>
        <w:fldChar w:fldCharType="separate"/>
      </w:r>
      <w:r w:rsidR="009A30F6">
        <w:rPr>
          <w:rFonts w:ascii="Times New Roman" w:eastAsia="Times New Roman" w:hAnsi="Times New Roman" w:cs="Times New Roman"/>
          <w:noProof/>
          <w:sz w:val="24"/>
          <w:szCs w:val="24"/>
        </w:rPr>
        <w:t>(2)</w:t>
      </w:r>
      <w:r w:rsidR="009A30F6">
        <w:rPr>
          <w:rFonts w:ascii="Times New Roman" w:eastAsia="Times New Roman" w:hAnsi="Times New Roman" w:cs="Times New Roman"/>
          <w:sz w:val="24"/>
          <w:szCs w:val="24"/>
        </w:rPr>
        <w:fldChar w:fldCharType="end"/>
      </w:r>
      <w:r w:rsidR="009A30F6" w:rsidRPr="00D80063">
        <w:rPr>
          <w:rFonts w:ascii="Times New Roman" w:eastAsia="Times New Roman" w:hAnsi="Times New Roman" w:cs="Times New Roman"/>
          <w:sz w:val="24"/>
          <w:szCs w:val="24"/>
        </w:rPr>
        <w:t>.</w:t>
      </w:r>
      <w:r w:rsidR="009A30F6" w:rsidRPr="00D80063" w:rsidDel="009A30F6">
        <w:rPr>
          <w:rFonts w:ascii="Times New Roman" w:eastAsia="Times New Roman" w:hAnsi="Times New Roman" w:cs="Times New Roman"/>
          <w:sz w:val="24"/>
          <w:szCs w:val="24"/>
        </w:rPr>
        <w:t xml:space="preserve"> </w:t>
      </w:r>
    </w:p>
    <w:p w14:paraId="79962EFC" w14:textId="77777777" w:rsidR="0032313B" w:rsidRDefault="0032313B" w:rsidP="00D80063">
      <w:pPr>
        <w:spacing w:after="0" w:line="480" w:lineRule="auto"/>
        <w:ind w:firstLine="720"/>
        <w:rPr>
          <w:rFonts w:ascii="Times New Roman" w:eastAsia="Times New Roman" w:hAnsi="Times New Roman" w:cs="Times New Roman"/>
        </w:rPr>
      </w:pPr>
    </w:p>
    <w:p w14:paraId="31659592" w14:textId="5C98A406" w:rsidR="00680B63" w:rsidRPr="00680B63" w:rsidRDefault="00680B63">
      <w:pPr>
        <w:rPr>
          <w:rFonts w:ascii="Times New Roman" w:eastAsia="Times New Roman" w:hAnsi="Times New Roman" w:cs="Times New Roman"/>
          <w:sz w:val="24"/>
          <w:szCs w:val="24"/>
        </w:rPr>
      </w:pPr>
      <w:bookmarkStart w:id="2" w:name="_heading=h.30j0zll" w:colFirst="0" w:colLast="0"/>
      <w:bookmarkStart w:id="3" w:name="_heading=h.1fob9te" w:colFirst="0" w:colLast="0"/>
      <w:bookmarkEnd w:id="2"/>
      <w:bookmarkEnd w:id="3"/>
      <w:r w:rsidRPr="00680B63">
        <w:rPr>
          <w:rFonts w:ascii="Times New Roman" w:eastAsia="Times New Roman" w:hAnsi="Times New Roman" w:cs="Times New Roman"/>
          <w:sz w:val="24"/>
          <w:szCs w:val="24"/>
        </w:rPr>
        <w:t>Reference</w:t>
      </w:r>
    </w:p>
    <w:p w14:paraId="11218A81" w14:textId="77777777" w:rsidR="00F721DB" w:rsidRPr="00F721DB" w:rsidRDefault="00680B63" w:rsidP="00F721DB">
      <w:pPr>
        <w:pStyle w:val="EndNoteBibliography"/>
        <w:spacing w:after="0"/>
        <w:rPr>
          <w:rFonts w:ascii="Times New Roman" w:hAnsi="Times New Roman" w:cs="Times New Roman"/>
          <w:noProof/>
          <w:sz w:val="24"/>
          <w:szCs w:val="24"/>
        </w:rPr>
      </w:pPr>
      <w:r w:rsidRPr="00F721DB">
        <w:rPr>
          <w:rFonts w:ascii="Times New Roman" w:eastAsia="Times New Roman" w:hAnsi="Times New Roman" w:cs="Times New Roman"/>
          <w:sz w:val="24"/>
          <w:szCs w:val="24"/>
        </w:rPr>
        <w:fldChar w:fldCharType="begin"/>
      </w:r>
      <w:r w:rsidRPr="00F721DB">
        <w:rPr>
          <w:rFonts w:ascii="Times New Roman" w:eastAsia="Times New Roman" w:hAnsi="Times New Roman" w:cs="Times New Roman"/>
          <w:sz w:val="24"/>
          <w:szCs w:val="24"/>
        </w:rPr>
        <w:instrText xml:space="preserve"> ADDIN EN.REFLIST </w:instrText>
      </w:r>
      <w:r w:rsidRPr="00F721DB">
        <w:rPr>
          <w:rFonts w:ascii="Times New Roman" w:eastAsia="Times New Roman" w:hAnsi="Times New Roman" w:cs="Times New Roman"/>
          <w:sz w:val="24"/>
          <w:szCs w:val="24"/>
        </w:rPr>
        <w:fldChar w:fldCharType="separate"/>
      </w:r>
      <w:r w:rsidR="00F721DB" w:rsidRPr="00F721DB">
        <w:rPr>
          <w:rFonts w:ascii="Times New Roman" w:hAnsi="Times New Roman" w:cs="Times New Roman"/>
          <w:noProof/>
          <w:sz w:val="24"/>
          <w:szCs w:val="24"/>
        </w:rPr>
        <w:t>1.</w:t>
      </w:r>
      <w:r w:rsidR="00F721DB" w:rsidRPr="00F721DB">
        <w:rPr>
          <w:rFonts w:ascii="Times New Roman" w:hAnsi="Times New Roman" w:cs="Times New Roman"/>
          <w:noProof/>
          <w:sz w:val="24"/>
          <w:szCs w:val="24"/>
        </w:rPr>
        <w:tab/>
        <w:t>Institute for Healthcare Improvement. The Breakthrough Series: IHI’s collaborative model for achieving breakthrough improvement. 2003.</w:t>
      </w:r>
    </w:p>
    <w:p w14:paraId="7F70EB6A" w14:textId="77777777" w:rsidR="00F721DB" w:rsidRPr="00F721DB" w:rsidRDefault="00F721DB" w:rsidP="00F721DB">
      <w:pPr>
        <w:pStyle w:val="EndNoteBibliography"/>
        <w:rPr>
          <w:rFonts w:ascii="Times New Roman" w:hAnsi="Times New Roman" w:cs="Times New Roman"/>
          <w:noProof/>
          <w:sz w:val="24"/>
          <w:szCs w:val="24"/>
        </w:rPr>
      </w:pPr>
      <w:r w:rsidRPr="00F721DB">
        <w:rPr>
          <w:rFonts w:ascii="Times New Roman" w:hAnsi="Times New Roman" w:cs="Times New Roman"/>
          <w:noProof/>
          <w:sz w:val="24"/>
          <w:szCs w:val="24"/>
        </w:rPr>
        <w:t>2.</w:t>
      </w:r>
      <w:r w:rsidRPr="00F721DB">
        <w:rPr>
          <w:rFonts w:ascii="Times New Roman" w:hAnsi="Times New Roman" w:cs="Times New Roman"/>
          <w:noProof/>
          <w:sz w:val="24"/>
          <w:szCs w:val="24"/>
        </w:rPr>
        <w:tab/>
        <w:t>Arain M, Charland P, Graham L, Memon A, Ahmad A. Appropriate Use of Antipsychotics in Designated Supportive Living 4/4D Evaluation: Final Report. Calgary, AB: Health Systems Evaluation and Evidence Alberta Health Services; 2018.</w:t>
      </w:r>
    </w:p>
    <w:p w14:paraId="759EB79C" w14:textId="63383C5F" w:rsidR="007B2A5F" w:rsidRDefault="00680B63">
      <w:pPr>
        <w:rPr>
          <w:rFonts w:ascii="Times New Roman" w:eastAsia="Times New Roman" w:hAnsi="Times New Roman" w:cs="Times New Roman"/>
          <w:sz w:val="24"/>
          <w:szCs w:val="24"/>
        </w:rPr>
      </w:pPr>
      <w:r w:rsidRPr="00F721DB">
        <w:rPr>
          <w:rFonts w:ascii="Times New Roman" w:eastAsia="Times New Roman" w:hAnsi="Times New Roman" w:cs="Times New Roman"/>
          <w:sz w:val="24"/>
          <w:szCs w:val="24"/>
        </w:rPr>
        <w:fldChar w:fldCharType="end"/>
      </w:r>
    </w:p>
    <w:sectPr w:rsidR="007B2A5F" w:rsidSect="0032313B">
      <w:pgSz w:w="12240" w:h="158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BC34C9"/>
    <w:multiLevelType w:val="multilevel"/>
    <w:tmpl w:val="72F8FC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3871DC1"/>
    <w:multiLevelType w:val="hybridMultilevel"/>
    <w:tmpl w:val="44061714"/>
    <w:lvl w:ilvl="0" w:tplc="10090001">
      <w:start w:val="1"/>
      <w:numFmt w:val="bullet"/>
      <w:lvlText w:val=""/>
      <w:lvlJc w:val="left"/>
      <w:pPr>
        <w:ind w:left="720" w:hanging="360"/>
      </w:pPr>
      <w:rPr>
        <w:rFonts w:ascii="Symbol" w:eastAsia="Times New Roman"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80C06B7"/>
    <w:multiLevelType w:val="multilevel"/>
    <w:tmpl w:val="914CA3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FAA1989"/>
    <w:multiLevelType w:val="multilevel"/>
    <w:tmpl w:val="B83EA4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09C262D"/>
    <w:multiLevelType w:val="multilevel"/>
    <w:tmpl w:val="ABF6AB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D5B16F3"/>
    <w:multiLevelType w:val="multilevel"/>
    <w:tmpl w:val="57CA6A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C936337"/>
    <w:multiLevelType w:val="multilevel"/>
    <w:tmpl w:val="EF3A45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3"/>
  </w:num>
  <w:num w:numId="2">
    <w:abstractNumId w:val="2"/>
  </w:num>
  <w:num w:numId="3">
    <w:abstractNumId w:val="5"/>
  </w:num>
  <w:num w:numId="4">
    <w:abstractNumId w:val="0"/>
  </w:num>
  <w:num w:numId="5">
    <w:abstractNumId w:val="4"/>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fzrp95tf9ddxmeff03p59rh5zs0sdrafdrt&quot;&gt;KT_And_PatientEngagement&lt;record-ids&gt;&lt;item&gt;139&lt;/item&gt;&lt;/record-ids&gt;&lt;/item&gt;&lt;/Libraries&gt;"/>
  </w:docVars>
  <w:rsids>
    <w:rsidRoot w:val="007B2A5F"/>
    <w:rsid w:val="002A0640"/>
    <w:rsid w:val="0032313B"/>
    <w:rsid w:val="00340528"/>
    <w:rsid w:val="00622290"/>
    <w:rsid w:val="00680B63"/>
    <w:rsid w:val="007A523D"/>
    <w:rsid w:val="007B2A5F"/>
    <w:rsid w:val="00886A10"/>
    <w:rsid w:val="009A30F6"/>
    <w:rsid w:val="00C4747C"/>
    <w:rsid w:val="00C5693C"/>
    <w:rsid w:val="00CC5D25"/>
    <w:rsid w:val="00D65E8E"/>
    <w:rsid w:val="00D80063"/>
    <w:rsid w:val="00DD6312"/>
    <w:rsid w:val="00E105E2"/>
    <w:rsid w:val="00E808B0"/>
    <w:rsid w:val="00F10E24"/>
    <w:rsid w:val="00F721DB"/>
    <w:rsid w:val="00FD30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4F729"/>
  <w15:docId w15:val="{EFB84EA4-4A34-4E59-9577-870B19A33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character" w:styleId="CommentReference">
    <w:name w:val="annotation reference"/>
    <w:basedOn w:val="DefaultParagraphFont"/>
    <w:uiPriority w:val="99"/>
    <w:semiHidden/>
    <w:unhideWhenUsed/>
    <w:rsid w:val="00010D97"/>
    <w:rPr>
      <w:sz w:val="16"/>
      <w:szCs w:val="16"/>
    </w:rPr>
  </w:style>
  <w:style w:type="paragraph" w:styleId="CommentText">
    <w:name w:val="annotation text"/>
    <w:basedOn w:val="Normal"/>
    <w:link w:val="CommentTextChar"/>
    <w:uiPriority w:val="99"/>
    <w:semiHidden/>
    <w:unhideWhenUsed/>
    <w:rsid w:val="00010D97"/>
    <w:pPr>
      <w:spacing w:line="240" w:lineRule="auto"/>
    </w:pPr>
    <w:rPr>
      <w:sz w:val="20"/>
      <w:szCs w:val="20"/>
    </w:rPr>
  </w:style>
  <w:style w:type="character" w:customStyle="1" w:styleId="CommentTextChar">
    <w:name w:val="Comment Text Char"/>
    <w:basedOn w:val="DefaultParagraphFont"/>
    <w:link w:val="CommentText"/>
    <w:uiPriority w:val="99"/>
    <w:semiHidden/>
    <w:rsid w:val="00010D97"/>
    <w:rPr>
      <w:sz w:val="20"/>
      <w:szCs w:val="20"/>
    </w:rPr>
  </w:style>
  <w:style w:type="paragraph" w:styleId="CommentSubject">
    <w:name w:val="annotation subject"/>
    <w:basedOn w:val="CommentText"/>
    <w:next w:val="CommentText"/>
    <w:link w:val="CommentSubjectChar"/>
    <w:uiPriority w:val="99"/>
    <w:semiHidden/>
    <w:unhideWhenUsed/>
    <w:rsid w:val="00010D97"/>
    <w:rPr>
      <w:b/>
      <w:bCs/>
    </w:rPr>
  </w:style>
  <w:style w:type="character" w:customStyle="1" w:styleId="CommentSubjectChar">
    <w:name w:val="Comment Subject Char"/>
    <w:basedOn w:val="CommentTextChar"/>
    <w:link w:val="CommentSubject"/>
    <w:uiPriority w:val="99"/>
    <w:semiHidden/>
    <w:rsid w:val="00010D97"/>
    <w:rPr>
      <w:b/>
      <w:bCs/>
      <w:sz w:val="20"/>
      <w:szCs w:val="20"/>
    </w:rPr>
  </w:style>
  <w:style w:type="paragraph" w:styleId="BalloonText">
    <w:name w:val="Balloon Text"/>
    <w:basedOn w:val="Normal"/>
    <w:link w:val="BalloonTextChar"/>
    <w:uiPriority w:val="99"/>
    <w:semiHidden/>
    <w:unhideWhenUsed/>
    <w:rsid w:val="00010D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0D97"/>
    <w:rPr>
      <w:rFonts w:ascii="Segoe UI" w:hAnsi="Segoe UI" w:cs="Segoe UI"/>
      <w:sz w:val="18"/>
      <w:szCs w:val="18"/>
    </w:rPr>
  </w:style>
  <w:style w:type="paragraph" w:styleId="Revision">
    <w:name w:val="Revision"/>
    <w:hidden/>
    <w:uiPriority w:val="99"/>
    <w:semiHidden/>
    <w:rsid w:val="00814B20"/>
    <w:pPr>
      <w:spacing w:after="0" w:line="240" w:lineRule="auto"/>
    </w:pPr>
  </w:style>
  <w:style w:type="table" w:customStyle="1" w:styleId="a0">
    <w:basedOn w:val="TableNormal"/>
    <w:pPr>
      <w:spacing w:after="0" w:line="240" w:lineRule="auto"/>
    </w:pPr>
    <w:tblPr>
      <w:tblStyleRowBandSize w:val="1"/>
      <w:tblStyleColBandSize w:val="1"/>
    </w:tblPr>
  </w:style>
  <w:style w:type="table" w:styleId="TableGrid">
    <w:name w:val="Table Grid"/>
    <w:basedOn w:val="TableNormal"/>
    <w:uiPriority w:val="39"/>
    <w:rsid w:val="00893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932CD"/>
    <w:pPr>
      <w:ind w:left="720"/>
      <w:contextualSpacing/>
    </w:pPr>
  </w:style>
  <w:style w:type="paragraph" w:styleId="NormalWeb">
    <w:name w:val="Normal (Web)"/>
    <w:basedOn w:val="Normal"/>
    <w:uiPriority w:val="99"/>
    <w:unhideWhenUsed/>
    <w:rsid w:val="008932CD"/>
    <w:pPr>
      <w:spacing w:before="100" w:beforeAutospacing="1" w:after="100" w:afterAutospacing="1" w:line="240" w:lineRule="auto"/>
    </w:pPr>
    <w:rPr>
      <w:rFonts w:ascii="Times New Roman" w:eastAsia="Times New Roman" w:hAnsi="Times New Roman" w:cs="Times New Roman"/>
      <w:sz w:val="24"/>
      <w:szCs w:val="24"/>
      <w:lang w:val="en-CA"/>
    </w:r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character" w:styleId="Hyperlink">
    <w:name w:val="Hyperlink"/>
    <w:basedOn w:val="DefaultParagraphFont"/>
    <w:uiPriority w:val="99"/>
    <w:unhideWhenUsed/>
    <w:rsid w:val="002A0640"/>
    <w:rPr>
      <w:color w:val="0000FF" w:themeColor="hyperlink"/>
      <w:u w:val="single"/>
    </w:rPr>
  </w:style>
  <w:style w:type="character" w:customStyle="1" w:styleId="UnresolvedMention1">
    <w:name w:val="Unresolved Mention1"/>
    <w:basedOn w:val="DefaultParagraphFont"/>
    <w:uiPriority w:val="99"/>
    <w:semiHidden/>
    <w:unhideWhenUsed/>
    <w:rsid w:val="002A0640"/>
    <w:rPr>
      <w:color w:val="605E5C"/>
      <w:shd w:val="clear" w:color="auto" w:fill="E1DFDD"/>
    </w:rPr>
  </w:style>
  <w:style w:type="paragraph" w:customStyle="1" w:styleId="EndNoteBibliographyTitle">
    <w:name w:val="EndNote Bibliography Title"/>
    <w:basedOn w:val="Normal"/>
    <w:link w:val="EndNoteBibliographyTitleChar"/>
    <w:rsid w:val="00680B63"/>
    <w:pPr>
      <w:spacing w:after="0"/>
      <w:jc w:val="center"/>
    </w:pPr>
    <w:rPr>
      <w:lang w:val="en-CA"/>
    </w:rPr>
  </w:style>
  <w:style w:type="character" w:customStyle="1" w:styleId="EndNoteBibliographyTitleChar">
    <w:name w:val="EndNote Bibliography Title Char"/>
    <w:basedOn w:val="DefaultParagraphFont"/>
    <w:link w:val="EndNoteBibliographyTitle"/>
    <w:rsid w:val="00680B63"/>
    <w:rPr>
      <w:lang w:val="en-CA"/>
    </w:rPr>
  </w:style>
  <w:style w:type="paragraph" w:customStyle="1" w:styleId="EndNoteBibliography">
    <w:name w:val="EndNote Bibliography"/>
    <w:basedOn w:val="Normal"/>
    <w:link w:val="EndNoteBibliographyChar"/>
    <w:rsid w:val="00680B63"/>
    <w:pPr>
      <w:spacing w:line="240" w:lineRule="auto"/>
    </w:pPr>
    <w:rPr>
      <w:lang w:val="en-CA"/>
    </w:rPr>
  </w:style>
  <w:style w:type="character" w:customStyle="1" w:styleId="EndNoteBibliographyChar">
    <w:name w:val="EndNote Bibliography Char"/>
    <w:basedOn w:val="DefaultParagraphFont"/>
    <w:link w:val="EndNoteBibliography"/>
    <w:rsid w:val="00680B63"/>
    <w:rPr>
      <w:lang w:val="en-CA"/>
    </w:rPr>
  </w:style>
  <w:style w:type="character" w:styleId="UnresolvedMention">
    <w:name w:val="Unresolved Mention"/>
    <w:basedOn w:val="DefaultParagraphFont"/>
    <w:uiPriority w:val="99"/>
    <w:semiHidden/>
    <w:unhideWhenUsed/>
    <w:rsid w:val="00CC5D25"/>
    <w:rPr>
      <w:color w:val="605E5C"/>
      <w:shd w:val="clear" w:color="auto" w:fill="E1DFDD"/>
    </w:rPr>
  </w:style>
  <w:style w:type="character" w:styleId="FollowedHyperlink">
    <w:name w:val="FollowedHyperlink"/>
    <w:basedOn w:val="DefaultParagraphFont"/>
    <w:uiPriority w:val="99"/>
    <w:semiHidden/>
    <w:unhideWhenUsed/>
    <w:rsid w:val="009A30F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2198856">
      <w:bodyDiv w:val="1"/>
      <w:marLeft w:val="0"/>
      <w:marRight w:val="0"/>
      <w:marTop w:val="0"/>
      <w:marBottom w:val="0"/>
      <w:divBdr>
        <w:top w:val="none" w:sz="0" w:space="0" w:color="auto"/>
        <w:left w:val="none" w:sz="0" w:space="0" w:color="auto"/>
        <w:bottom w:val="none" w:sz="0" w:space="0" w:color="auto"/>
        <w:right w:val="none" w:sz="0" w:space="0" w:color="auto"/>
      </w:divBdr>
    </w:div>
    <w:div w:id="817041330">
      <w:bodyDiv w:val="1"/>
      <w:marLeft w:val="0"/>
      <w:marRight w:val="0"/>
      <w:marTop w:val="0"/>
      <w:marBottom w:val="0"/>
      <w:divBdr>
        <w:top w:val="none" w:sz="0" w:space="0" w:color="auto"/>
        <w:left w:val="none" w:sz="0" w:space="0" w:color="auto"/>
        <w:bottom w:val="none" w:sz="0" w:space="0" w:color="auto"/>
        <w:right w:val="none" w:sz="0" w:space="0" w:color="auto"/>
      </w:divBdr>
    </w:div>
    <w:div w:id="1065104977">
      <w:bodyDiv w:val="1"/>
      <w:marLeft w:val="0"/>
      <w:marRight w:val="0"/>
      <w:marTop w:val="0"/>
      <w:marBottom w:val="0"/>
      <w:divBdr>
        <w:top w:val="none" w:sz="0" w:space="0" w:color="auto"/>
        <w:left w:val="none" w:sz="0" w:space="0" w:color="auto"/>
        <w:bottom w:val="none" w:sz="0" w:space="0" w:color="auto"/>
        <w:right w:val="none" w:sz="0" w:space="0" w:color="auto"/>
      </w:divBdr>
    </w:div>
    <w:div w:id="1362049001">
      <w:bodyDiv w:val="1"/>
      <w:marLeft w:val="0"/>
      <w:marRight w:val="0"/>
      <w:marTop w:val="0"/>
      <w:marBottom w:val="0"/>
      <w:divBdr>
        <w:top w:val="none" w:sz="0" w:space="0" w:color="auto"/>
        <w:left w:val="none" w:sz="0" w:space="0" w:color="auto"/>
        <w:bottom w:val="none" w:sz="0" w:space="0" w:color="auto"/>
        <w:right w:val="none" w:sz="0" w:space="0" w:color="auto"/>
      </w:divBdr>
    </w:div>
    <w:div w:id="17378219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jgUEb1sTZgcWXaM1YA900OlC1mg==">AMUW2mVWldlu68UI0Ked+Gt7/hrXczj9Rh6RHbivyg46SaZ41J5G6nsO7G2FyouXA+m25sx1aD4sNyQTfiLvMmpdPCMitkfCR8II47jdpW/J0CEDJ9eEZMt8lhIzxzMcrbiogLvc3Jnd87HpA0Kv1CkGqT8Nh8SRS+LrdokrOvG+yDwQjQHheqs=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1159</Words>
  <Characters>6610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Flynn</dc:creator>
  <cp:lastModifiedBy>Alyson Campbell</cp:lastModifiedBy>
  <cp:revision>3</cp:revision>
  <cp:lastPrinted>2020-08-23T16:34:00Z</cp:lastPrinted>
  <dcterms:created xsi:type="dcterms:W3CDTF">2020-09-03T14:20:00Z</dcterms:created>
  <dcterms:modified xsi:type="dcterms:W3CDTF">2020-09-04T02:03:00Z</dcterms:modified>
</cp:coreProperties>
</file>