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83D" w:rsidRPr="00D1503C" w:rsidRDefault="001E3683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file 1: </w:t>
      </w:r>
      <w:r w:rsidR="004F383D" w:rsidRPr="00DD6E61">
        <w:rPr>
          <w:rFonts w:ascii="Times New Roman" w:hAnsi="Times New Roman" w:cs="Times New Roman"/>
          <w:sz w:val="24"/>
          <w:szCs w:val="24"/>
        </w:rPr>
        <w:t>Simple daily intensity index</w:t>
      </w:r>
      <w:r w:rsidR="004F383D" w:rsidRPr="004A2E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b/>
          <w:sz w:val="24"/>
          <w:szCs w:val="24"/>
        </w:rPr>
        <w:t>(</w:t>
      </w:r>
      <w:r w:rsidR="004F383D" w:rsidRPr="005A0038">
        <w:rPr>
          <w:rFonts w:ascii="Times New Roman" w:hAnsi="Times New Roman" w:cs="Times New Roman"/>
          <w:sz w:val="24"/>
          <w:szCs w:val="24"/>
        </w:rPr>
        <w:t>SDII</w:t>
      </w:r>
      <w:r w:rsidR="004F383D">
        <w:rPr>
          <w:rFonts w:ascii="Times New Roman" w:hAnsi="Times New Roman" w:cs="Times New Roman"/>
          <w:b/>
          <w:sz w:val="24"/>
          <w:szCs w:val="24"/>
        </w:rPr>
        <w:t>)</w:t>
      </w:r>
    </w:p>
    <w:p w:rsidR="004F383D" w:rsidRPr="00F22F22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4258">
        <w:rPr>
          <w:rFonts w:ascii="Times New Roman" w:hAnsi="Times New Roman" w:cs="Times New Roman"/>
          <w:noProof/>
          <w:sz w:val="24"/>
          <w:szCs w:val="24"/>
          <w:lang w:val="en-US" w:bidi="hi-IN"/>
        </w:rPr>
        <w:drawing>
          <wp:inline distT="0" distB="0" distL="0" distR="0" wp14:anchorId="36182293" wp14:editId="56F333E6">
            <wp:extent cx="5495925" cy="2657475"/>
            <wp:effectExtent l="0" t="0" r="9525" b="952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sectPr w:rsidR="004F383D" w:rsidRPr="00F22F22" w:rsidSect="004F38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3D"/>
    <w:rsid w:val="00182687"/>
    <w:rsid w:val="001E3683"/>
    <w:rsid w:val="004F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796D48-1A4D-4F7B-9E43-2864140BB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383D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F3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H:\Rclimdex\New%20Excel%20graph\indices%20-%20revised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557453006883538"/>
          <c:y val="0.1037037037037037"/>
          <c:w val="0.84681137921532224"/>
          <c:h val="0.71862117235345579"/>
        </c:manualLayout>
      </c:layout>
      <c:lineChart>
        <c:grouping val="standard"/>
        <c:varyColors val="0"/>
        <c:ser>
          <c:idx val="1"/>
          <c:order val="0"/>
          <c:tx>
            <c:strRef>
              <c:f>indices_annually!$B$225</c:f>
              <c:strCache>
                <c:ptCount val="1"/>
                <c:pt idx="0">
                  <c:v>Balasore</c:v>
                </c:pt>
              </c:strCache>
            </c:strRef>
          </c:tx>
          <c:spPr>
            <a:ln w="12700"/>
          </c:spPr>
          <c:marker>
            <c:symbol val="circle"/>
            <c:size val="5"/>
          </c:marker>
          <c:cat>
            <c:numRef>
              <c:f>indices_annually!$A$226:$A$256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indices_annually!$B$226:$B$256</c:f>
              <c:numCache>
                <c:formatCode>General</c:formatCode>
                <c:ptCount val="31"/>
                <c:pt idx="0">
                  <c:v>14.1</c:v>
                </c:pt>
                <c:pt idx="1">
                  <c:v>16.600000000000001</c:v>
                </c:pt>
                <c:pt idx="2">
                  <c:v>14.1</c:v>
                </c:pt>
                <c:pt idx="3">
                  <c:v>15.8</c:v>
                </c:pt>
                <c:pt idx="4">
                  <c:v>16.7</c:v>
                </c:pt>
                <c:pt idx="5">
                  <c:v>17.5</c:v>
                </c:pt>
                <c:pt idx="6">
                  <c:v>20.5</c:v>
                </c:pt>
                <c:pt idx="7">
                  <c:v>17.399999999999999</c:v>
                </c:pt>
                <c:pt idx="8">
                  <c:v>17.100000000000001</c:v>
                </c:pt>
                <c:pt idx="9">
                  <c:v>21.2</c:v>
                </c:pt>
                <c:pt idx="10">
                  <c:v>20.399999999999999</c:v>
                </c:pt>
                <c:pt idx="11">
                  <c:v>14</c:v>
                </c:pt>
                <c:pt idx="12">
                  <c:v>20.9</c:v>
                </c:pt>
                <c:pt idx="13">
                  <c:v>17.7</c:v>
                </c:pt>
                <c:pt idx="14">
                  <c:v>17.899999999999999</c:v>
                </c:pt>
                <c:pt idx="15">
                  <c:v>19</c:v>
                </c:pt>
                <c:pt idx="16">
                  <c:v>17.899999999999999</c:v>
                </c:pt>
                <c:pt idx="17">
                  <c:v>17.600000000000001</c:v>
                </c:pt>
                <c:pt idx="18">
                  <c:v>16.5</c:v>
                </c:pt>
                <c:pt idx="19">
                  <c:v>18.7</c:v>
                </c:pt>
                <c:pt idx="20">
                  <c:v>18.3</c:v>
                </c:pt>
                <c:pt idx="21">
                  <c:v>18.600000000000001</c:v>
                </c:pt>
                <c:pt idx="22">
                  <c:v>17.3</c:v>
                </c:pt>
                <c:pt idx="23">
                  <c:v>20.2</c:v>
                </c:pt>
                <c:pt idx="24">
                  <c:v>17.5</c:v>
                </c:pt>
                <c:pt idx="25">
                  <c:v>21.1</c:v>
                </c:pt>
                <c:pt idx="26">
                  <c:v>18.399999999999999</c:v>
                </c:pt>
                <c:pt idx="27">
                  <c:v>22.2</c:v>
                </c:pt>
                <c:pt idx="28">
                  <c:v>18.899999999999999</c:v>
                </c:pt>
                <c:pt idx="29">
                  <c:v>23.7</c:v>
                </c:pt>
                <c:pt idx="30">
                  <c:v>15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5E8-48F4-B748-57E353CA407F}"/>
            </c:ext>
          </c:extLst>
        </c:ser>
        <c:ser>
          <c:idx val="2"/>
          <c:order val="1"/>
          <c:tx>
            <c:strRef>
              <c:f>indices_annually!$C$225</c:f>
              <c:strCache>
                <c:ptCount val="1"/>
                <c:pt idx="0">
                  <c:v> Bhadrak</c:v>
                </c:pt>
              </c:strCache>
            </c:strRef>
          </c:tx>
          <c:spPr>
            <a:ln w="12700"/>
          </c:spPr>
          <c:marker>
            <c:symbol val="square"/>
            <c:size val="5"/>
          </c:marker>
          <c:cat>
            <c:numRef>
              <c:f>indices_annually!$A$226:$A$256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indices_annually!$C$226:$C$256</c:f>
              <c:numCache>
                <c:formatCode>General</c:formatCode>
                <c:ptCount val="31"/>
                <c:pt idx="0">
                  <c:v>15.1</c:v>
                </c:pt>
                <c:pt idx="1">
                  <c:v>15.3</c:v>
                </c:pt>
                <c:pt idx="2">
                  <c:v>16.100000000000001</c:v>
                </c:pt>
                <c:pt idx="3">
                  <c:v>14.3</c:v>
                </c:pt>
                <c:pt idx="4">
                  <c:v>21</c:v>
                </c:pt>
                <c:pt idx="5">
                  <c:v>22.5</c:v>
                </c:pt>
                <c:pt idx="6">
                  <c:v>17.3</c:v>
                </c:pt>
                <c:pt idx="7">
                  <c:v>14.5</c:v>
                </c:pt>
                <c:pt idx="8">
                  <c:v>20.3</c:v>
                </c:pt>
                <c:pt idx="9">
                  <c:v>16.7</c:v>
                </c:pt>
                <c:pt idx="10">
                  <c:v>15.3</c:v>
                </c:pt>
                <c:pt idx="11">
                  <c:v>21.2</c:v>
                </c:pt>
                <c:pt idx="12">
                  <c:v>17.399999999999999</c:v>
                </c:pt>
                <c:pt idx="13">
                  <c:v>17.3</c:v>
                </c:pt>
                <c:pt idx="14">
                  <c:v>17.3</c:v>
                </c:pt>
                <c:pt idx="15">
                  <c:v>17.2</c:v>
                </c:pt>
                <c:pt idx="16">
                  <c:v>12.7</c:v>
                </c:pt>
                <c:pt idx="17">
                  <c:v>17.7</c:v>
                </c:pt>
                <c:pt idx="18">
                  <c:v>13.1</c:v>
                </c:pt>
                <c:pt idx="19">
                  <c:v>24.3</c:v>
                </c:pt>
                <c:pt idx="20">
                  <c:v>10.5</c:v>
                </c:pt>
                <c:pt idx="21">
                  <c:v>16.399999999999999</c:v>
                </c:pt>
                <c:pt idx="22">
                  <c:v>16.3</c:v>
                </c:pt>
                <c:pt idx="23">
                  <c:v>24.9</c:v>
                </c:pt>
                <c:pt idx="24">
                  <c:v>16.5</c:v>
                </c:pt>
                <c:pt idx="25">
                  <c:v>22.3</c:v>
                </c:pt>
                <c:pt idx="26">
                  <c:v>16.100000000000001</c:v>
                </c:pt>
                <c:pt idx="27">
                  <c:v>19.600000000000001</c:v>
                </c:pt>
                <c:pt idx="28">
                  <c:v>20.7</c:v>
                </c:pt>
                <c:pt idx="29">
                  <c:v>23.5</c:v>
                </c:pt>
                <c:pt idx="30">
                  <c:v>14.5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05E8-48F4-B748-57E353CA407F}"/>
            </c:ext>
          </c:extLst>
        </c:ser>
        <c:ser>
          <c:idx val="3"/>
          <c:order val="2"/>
          <c:tx>
            <c:strRef>
              <c:f>indices_annually!$D$225</c:f>
              <c:strCache>
                <c:ptCount val="1"/>
                <c:pt idx="0">
                  <c:v> Ganjam</c:v>
                </c:pt>
              </c:strCache>
            </c:strRef>
          </c:tx>
          <c:spPr>
            <a:ln w="12700"/>
          </c:spPr>
          <c:marker>
            <c:symbol val="star"/>
            <c:size val="5"/>
          </c:marker>
          <c:cat>
            <c:numRef>
              <c:f>indices_annually!$A$226:$A$256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indices_annually!$D$226:$D$256</c:f>
              <c:numCache>
                <c:formatCode>General</c:formatCode>
                <c:ptCount val="31"/>
                <c:pt idx="0">
                  <c:v>24.9</c:v>
                </c:pt>
                <c:pt idx="1">
                  <c:v>22</c:v>
                </c:pt>
                <c:pt idx="2">
                  <c:v>15</c:v>
                </c:pt>
                <c:pt idx="3">
                  <c:v>13</c:v>
                </c:pt>
                <c:pt idx="4">
                  <c:v>12.7</c:v>
                </c:pt>
                <c:pt idx="5">
                  <c:v>15.6</c:v>
                </c:pt>
                <c:pt idx="6">
                  <c:v>24.6</c:v>
                </c:pt>
                <c:pt idx="7">
                  <c:v>16</c:v>
                </c:pt>
                <c:pt idx="8">
                  <c:v>16.600000000000001</c:v>
                </c:pt>
                <c:pt idx="9">
                  <c:v>15.7</c:v>
                </c:pt>
                <c:pt idx="10">
                  <c:v>17.899999999999999</c:v>
                </c:pt>
                <c:pt idx="11">
                  <c:v>22.8</c:v>
                </c:pt>
                <c:pt idx="12">
                  <c:v>19.600000000000001</c:v>
                </c:pt>
                <c:pt idx="13">
                  <c:v>14.5</c:v>
                </c:pt>
                <c:pt idx="14">
                  <c:v>16.5</c:v>
                </c:pt>
                <c:pt idx="15">
                  <c:v>23.9</c:v>
                </c:pt>
                <c:pt idx="16">
                  <c:v>22</c:v>
                </c:pt>
                <c:pt idx="17">
                  <c:v>14.7</c:v>
                </c:pt>
                <c:pt idx="18">
                  <c:v>14</c:v>
                </c:pt>
                <c:pt idx="19">
                  <c:v>16.8</c:v>
                </c:pt>
                <c:pt idx="20">
                  <c:v>6.6</c:v>
                </c:pt>
                <c:pt idx="21">
                  <c:v>15.1</c:v>
                </c:pt>
                <c:pt idx="22">
                  <c:v>16.3</c:v>
                </c:pt>
                <c:pt idx="23">
                  <c:v>20.3</c:v>
                </c:pt>
                <c:pt idx="24">
                  <c:v>14.9</c:v>
                </c:pt>
                <c:pt idx="25">
                  <c:v>17.600000000000001</c:v>
                </c:pt>
                <c:pt idx="26">
                  <c:v>20.7</c:v>
                </c:pt>
                <c:pt idx="27">
                  <c:v>17.399999999999999</c:v>
                </c:pt>
                <c:pt idx="28">
                  <c:v>13.8</c:v>
                </c:pt>
                <c:pt idx="29">
                  <c:v>18.899999999999999</c:v>
                </c:pt>
                <c:pt idx="30">
                  <c:v>17.600000000000001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05E8-48F4-B748-57E353CA407F}"/>
            </c:ext>
          </c:extLst>
        </c:ser>
        <c:ser>
          <c:idx val="4"/>
          <c:order val="3"/>
          <c:tx>
            <c:strRef>
              <c:f>indices_annually!$E$225</c:f>
              <c:strCache>
                <c:ptCount val="1"/>
                <c:pt idx="0">
                  <c:v>Jagatsingpur</c:v>
                </c:pt>
              </c:strCache>
            </c:strRef>
          </c:tx>
          <c:spPr>
            <a:ln w="12700"/>
          </c:spPr>
          <c:marker>
            <c:symbol val="dash"/>
            <c:size val="5"/>
          </c:marker>
          <c:cat>
            <c:numRef>
              <c:f>indices_annually!$A$226:$A$256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indices_annually!$E$226:$E$256</c:f>
              <c:numCache>
                <c:formatCode>General</c:formatCode>
                <c:ptCount val="31"/>
                <c:pt idx="0">
                  <c:v>19.7</c:v>
                </c:pt>
                <c:pt idx="1">
                  <c:v>17.100000000000001</c:v>
                </c:pt>
                <c:pt idx="2">
                  <c:v>18.600000000000001</c:v>
                </c:pt>
                <c:pt idx="3">
                  <c:v>16.5</c:v>
                </c:pt>
                <c:pt idx="4">
                  <c:v>16.8</c:v>
                </c:pt>
                <c:pt idx="5">
                  <c:v>18.100000000000001</c:v>
                </c:pt>
                <c:pt idx="6">
                  <c:v>18.5</c:v>
                </c:pt>
                <c:pt idx="7">
                  <c:v>13.2</c:v>
                </c:pt>
                <c:pt idx="8">
                  <c:v>16</c:v>
                </c:pt>
                <c:pt idx="9">
                  <c:v>17.7</c:v>
                </c:pt>
                <c:pt idx="10">
                  <c:v>17.600000000000001</c:v>
                </c:pt>
                <c:pt idx="11">
                  <c:v>24.1</c:v>
                </c:pt>
                <c:pt idx="12">
                  <c:v>20.3</c:v>
                </c:pt>
                <c:pt idx="13">
                  <c:v>22.8</c:v>
                </c:pt>
                <c:pt idx="14">
                  <c:v>16.3</c:v>
                </c:pt>
                <c:pt idx="15">
                  <c:v>21.7</c:v>
                </c:pt>
                <c:pt idx="16">
                  <c:v>17</c:v>
                </c:pt>
                <c:pt idx="17">
                  <c:v>24</c:v>
                </c:pt>
                <c:pt idx="18">
                  <c:v>18.3</c:v>
                </c:pt>
                <c:pt idx="19">
                  <c:v>22.4</c:v>
                </c:pt>
                <c:pt idx="20">
                  <c:v>10.9</c:v>
                </c:pt>
                <c:pt idx="21">
                  <c:v>18.600000000000001</c:v>
                </c:pt>
                <c:pt idx="22">
                  <c:v>21.2</c:v>
                </c:pt>
                <c:pt idx="23">
                  <c:v>23.5</c:v>
                </c:pt>
                <c:pt idx="24">
                  <c:v>20.7</c:v>
                </c:pt>
                <c:pt idx="25">
                  <c:v>27.7</c:v>
                </c:pt>
                <c:pt idx="26">
                  <c:v>23</c:v>
                </c:pt>
                <c:pt idx="27">
                  <c:v>18.8</c:v>
                </c:pt>
                <c:pt idx="28">
                  <c:v>23.6</c:v>
                </c:pt>
                <c:pt idx="29">
                  <c:v>18.899999999999999</c:v>
                </c:pt>
                <c:pt idx="30">
                  <c:v>18.8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05E8-48F4-B748-57E353CA407F}"/>
            </c:ext>
          </c:extLst>
        </c:ser>
        <c:ser>
          <c:idx val="5"/>
          <c:order val="4"/>
          <c:tx>
            <c:strRef>
              <c:f>indices_annually!$F$225</c:f>
              <c:strCache>
                <c:ptCount val="1"/>
                <c:pt idx="0">
                  <c:v>Puri</c:v>
                </c:pt>
              </c:strCache>
            </c:strRef>
          </c:tx>
          <c:spPr>
            <a:ln w="12700"/>
          </c:spPr>
          <c:marker>
            <c:symbol val="triangle"/>
            <c:size val="7"/>
          </c:marker>
          <c:cat>
            <c:numRef>
              <c:f>indices_annually!$A$226:$A$256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indices_annually!$F$226:$F$256</c:f>
              <c:numCache>
                <c:formatCode>General</c:formatCode>
                <c:ptCount val="31"/>
                <c:pt idx="0">
                  <c:v>21.4</c:v>
                </c:pt>
                <c:pt idx="1">
                  <c:v>17.8</c:v>
                </c:pt>
                <c:pt idx="2">
                  <c:v>19</c:v>
                </c:pt>
                <c:pt idx="3">
                  <c:v>13.5</c:v>
                </c:pt>
                <c:pt idx="4">
                  <c:v>16.2</c:v>
                </c:pt>
                <c:pt idx="5">
                  <c:v>16.600000000000001</c:v>
                </c:pt>
                <c:pt idx="6">
                  <c:v>23.2</c:v>
                </c:pt>
                <c:pt idx="7">
                  <c:v>15.4</c:v>
                </c:pt>
                <c:pt idx="8">
                  <c:v>18.600000000000001</c:v>
                </c:pt>
                <c:pt idx="9">
                  <c:v>20.6</c:v>
                </c:pt>
                <c:pt idx="10">
                  <c:v>19.100000000000001</c:v>
                </c:pt>
                <c:pt idx="11">
                  <c:v>27.3</c:v>
                </c:pt>
                <c:pt idx="12">
                  <c:v>24.3</c:v>
                </c:pt>
                <c:pt idx="13">
                  <c:v>20.3</c:v>
                </c:pt>
                <c:pt idx="14">
                  <c:v>19.100000000000001</c:v>
                </c:pt>
                <c:pt idx="15">
                  <c:v>25.5</c:v>
                </c:pt>
                <c:pt idx="16">
                  <c:v>15.3</c:v>
                </c:pt>
                <c:pt idx="17">
                  <c:v>17.100000000000001</c:v>
                </c:pt>
                <c:pt idx="18">
                  <c:v>18</c:v>
                </c:pt>
                <c:pt idx="19">
                  <c:v>19.2</c:v>
                </c:pt>
                <c:pt idx="20">
                  <c:v>13.9</c:v>
                </c:pt>
                <c:pt idx="21">
                  <c:v>14.5</c:v>
                </c:pt>
                <c:pt idx="22">
                  <c:v>16.7</c:v>
                </c:pt>
                <c:pt idx="23">
                  <c:v>16.7</c:v>
                </c:pt>
                <c:pt idx="24">
                  <c:v>14.6</c:v>
                </c:pt>
                <c:pt idx="25">
                  <c:v>20.6</c:v>
                </c:pt>
                <c:pt idx="26">
                  <c:v>29.3</c:v>
                </c:pt>
                <c:pt idx="27">
                  <c:v>17.3</c:v>
                </c:pt>
                <c:pt idx="28">
                  <c:v>23</c:v>
                </c:pt>
                <c:pt idx="29">
                  <c:v>21</c:v>
                </c:pt>
                <c:pt idx="30">
                  <c:v>19.2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05E8-48F4-B748-57E353CA40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606562640"/>
        <c:axId val="-1606556112"/>
      </c:lineChart>
      <c:catAx>
        <c:axId val="-16065626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Year</a:t>
                </a:r>
              </a:p>
            </c:rich>
          </c:tx>
          <c:layout>
            <c:manualLayout>
              <c:xMode val="edge"/>
              <c:yMode val="edge"/>
              <c:x val="0.50068451429880967"/>
              <c:y val="0.91836064936327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-1606556112"/>
        <c:crosses val="autoZero"/>
        <c:auto val="1"/>
        <c:lblAlgn val="ctr"/>
        <c:lblOffset val="100"/>
        <c:tickLblSkip val="5"/>
        <c:noMultiLvlLbl val="0"/>
      </c:catAx>
      <c:valAx>
        <c:axId val="-1606556112"/>
        <c:scaling>
          <c:orientation val="minMax"/>
          <c:max val="30"/>
          <c:min val="5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SDII (mm/day)</a:t>
                </a:r>
              </a:p>
            </c:rich>
          </c:tx>
          <c:layout>
            <c:manualLayout>
              <c:xMode val="edge"/>
              <c:yMode val="edge"/>
              <c:x val="1.2698410159048087E-2"/>
              <c:y val="0.2785204627199378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-1606562640"/>
        <c:crosses val="autoZero"/>
        <c:crossBetween val="between"/>
        <c:majorUnit val="5"/>
        <c:minorUnit val="1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13560242257669339"/>
          <c:y val="2.2562846310877804E-2"/>
          <c:w val="0.83238758507434873"/>
          <c:h val="9.5434576054337278E-2"/>
        </c:manualLayout>
      </c:layout>
      <c:overlay val="0"/>
    </c:legend>
    <c:plotVisOnly val="1"/>
    <c:dispBlanksAs val="gap"/>
    <c:showDLblsOverMax val="0"/>
  </c:chart>
  <c:spPr>
    <a:noFill/>
    <a:ln>
      <a:solidFill>
        <a:schemeClr val="bg1">
          <a:lumMod val="65000"/>
        </a:schemeClr>
      </a:solidFill>
    </a:ln>
  </c:spPr>
  <c:txPr>
    <a:bodyPr/>
    <a:lstStyle/>
    <a:p>
      <a:pPr>
        <a:defRPr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2020-06-30T06:23:00Z</dcterms:created>
  <dcterms:modified xsi:type="dcterms:W3CDTF">2020-07-03T11:23:00Z</dcterms:modified>
</cp:coreProperties>
</file>