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D47AB" w14:textId="77777777" w:rsidR="00CC0A37" w:rsidRPr="002B6D1C" w:rsidRDefault="00CC0A37" w:rsidP="006A6FD5">
      <w:pPr>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Transepithelial potential difference governs epithelial homeostasis by </w:t>
      </w:r>
      <w:proofErr w:type="gramStart"/>
      <w:r w:rsidRPr="002B6D1C">
        <w:rPr>
          <w:rFonts w:ascii="Times New Roman" w:hAnsi="Times New Roman" w:cs="Times New Roman"/>
          <w:b/>
          <w:bCs/>
          <w:color w:val="000000" w:themeColor="text1"/>
        </w:rPr>
        <w:t>electromechanics</w:t>
      </w:r>
      <w:proofErr w:type="gramEnd"/>
    </w:p>
    <w:p w14:paraId="4D833680" w14:textId="77777777" w:rsidR="00CC0A37" w:rsidRPr="002B6D1C" w:rsidRDefault="00CC0A37" w:rsidP="006A6FD5">
      <w:pPr>
        <w:rPr>
          <w:rFonts w:ascii="Times New Roman" w:hAnsi="Times New Roman" w:cs="Times New Roman"/>
          <w:color w:val="000000" w:themeColor="text1"/>
          <w:vertAlign w:val="superscript"/>
        </w:rPr>
      </w:pPr>
      <w:r w:rsidRPr="002B6D1C">
        <w:rPr>
          <w:rFonts w:ascii="Times New Roman" w:hAnsi="Times New Roman" w:cs="Times New Roman"/>
          <w:color w:val="000000" w:themeColor="text1"/>
        </w:rPr>
        <w:t>Thuan Beng Saw</w:t>
      </w:r>
      <w:proofErr w:type="gramStart"/>
      <w:r w:rsidRPr="002B6D1C">
        <w:rPr>
          <w:rFonts w:ascii="Times New Roman" w:hAnsi="Times New Roman" w:cs="Times New Roman"/>
          <w:color w:val="000000" w:themeColor="text1"/>
          <w:shd w:val="clear" w:color="auto" w:fill="FFFFFF"/>
          <w:vertAlign w:val="superscript"/>
        </w:rPr>
        <w:t>†</w:t>
      </w:r>
      <w:r w:rsidRPr="002B6D1C">
        <w:rPr>
          <w:rFonts w:ascii="Times New Roman" w:hAnsi="Times New Roman" w:cs="Times New Roman"/>
          <w:color w:val="000000" w:themeColor="text1"/>
          <w:vertAlign w:val="superscript"/>
        </w:rPr>
        <w:t>,#</w:t>
      </w:r>
      <w:proofErr w:type="gramEnd"/>
      <w:r w:rsidRPr="002B6D1C">
        <w:rPr>
          <w:rFonts w:ascii="Times New Roman" w:hAnsi="Times New Roman" w:cs="Times New Roman"/>
          <w:color w:val="000000" w:themeColor="text1"/>
          <w:vertAlign w:val="superscript"/>
        </w:rPr>
        <w:t>,1,2</w:t>
      </w:r>
      <w:r w:rsidRPr="002B6D1C">
        <w:rPr>
          <w:rFonts w:ascii="Times New Roman" w:hAnsi="Times New Roman" w:cs="Times New Roman"/>
          <w:color w:val="000000" w:themeColor="text1"/>
        </w:rPr>
        <w:t xml:space="preserve">, </w:t>
      </w:r>
      <w:proofErr w:type="spellStart"/>
      <w:r w:rsidRPr="002B6D1C">
        <w:rPr>
          <w:rFonts w:ascii="Times New Roman" w:hAnsi="Times New Roman" w:cs="Times New Roman"/>
          <w:color w:val="000000" w:themeColor="text1"/>
        </w:rPr>
        <w:t>Xumei</w:t>
      </w:r>
      <w:proofErr w:type="spellEnd"/>
      <w:r w:rsidRPr="002B6D1C">
        <w:rPr>
          <w:rFonts w:ascii="Times New Roman" w:hAnsi="Times New Roman" w:cs="Times New Roman"/>
          <w:color w:val="000000" w:themeColor="text1"/>
        </w:rPr>
        <w:t xml:space="preserve"> Gao</w:t>
      </w:r>
      <w:r w:rsidRPr="002B6D1C">
        <w:rPr>
          <w:rFonts w:ascii="Times New Roman" w:hAnsi="Times New Roman" w:cs="Times New Roman"/>
          <w:color w:val="000000" w:themeColor="text1"/>
          <w:shd w:val="clear" w:color="auto" w:fill="FFFFFF"/>
          <w:vertAlign w:val="superscript"/>
        </w:rPr>
        <w:t>†,</w:t>
      </w:r>
      <w:r w:rsidRPr="002B6D1C">
        <w:rPr>
          <w:rFonts w:ascii="Times New Roman" w:hAnsi="Times New Roman" w:cs="Times New Roman"/>
          <w:color w:val="000000" w:themeColor="text1"/>
          <w:vertAlign w:val="superscript"/>
        </w:rPr>
        <w:t>3</w:t>
      </w:r>
      <w:r w:rsidRPr="002B6D1C">
        <w:rPr>
          <w:rFonts w:ascii="Times New Roman" w:hAnsi="Times New Roman" w:cs="Times New Roman"/>
          <w:color w:val="000000" w:themeColor="text1"/>
        </w:rPr>
        <w:t xml:space="preserve">, </w:t>
      </w:r>
      <w:proofErr w:type="spellStart"/>
      <w:r w:rsidRPr="002B6D1C">
        <w:rPr>
          <w:rFonts w:ascii="Times New Roman" w:hAnsi="Times New Roman" w:cs="Times New Roman"/>
          <w:color w:val="000000" w:themeColor="text1"/>
        </w:rPr>
        <w:t>Jianan</w:t>
      </w:r>
      <w:proofErr w:type="spellEnd"/>
      <w:r w:rsidRPr="002B6D1C">
        <w:rPr>
          <w:rFonts w:ascii="Times New Roman" w:hAnsi="Times New Roman" w:cs="Times New Roman"/>
          <w:color w:val="000000" w:themeColor="text1"/>
        </w:rPr>
        <w:t xml:space="preserve"> He</w:t>
      </w:r>
      <w:r w:rsidRPr="002B6D1C">
        <w:rPr>
          <w:rFonts w:ascii="Times New Roman" w:hAnsi="Times New Roman" w:cs="Times New Roman"/>
          <w:color w:val="000000" w:themeColor="text1"/>
          <w:vertAlign w:val="superscript"/>
        </w:rPr>
        <w:t>3</w:t>
      </w:r>
      <w:r w:rsidRPr="002B6D1C">
        <w:rPr>
          <w:rFonts w:ascii="Times New Roman" w:hAnsi="Times New Roman" w:cs="Times New Roman"/>
          <w:color w:val="000000" w:themeColor="text1"/>
        </w:rPr>
        <w:t>, Anh Phuong Le</w:t>
      </w:r>
      <w:r w:rsidRPr="002B6D1C">
        <w:rPr>
          <w:rFonts w:ascii="Times New Roman" w:hAnsi="Times New Roman" w:cs="Times New Roman"/>
          <w:color w:val="000000" w:themeColor="text1"/>
          <w:vertAlign w:val="superscript"/>
        </w:rPr>
        <w:t>2</w:t>
      </w:r>
      <w:r w:rsidRPr="002B6D1C">
        <w:rPr>
          <w:rFonts w:ascii="Times New Roman" w:hAnsi="Times New Roman" w:cs="Times New Roman"/>
          <w:color w:val="000000" w:themeColor="text1"/>
        </w:rPr>
        <w:t xml:space="preserve">, </w:t>
      </w:r>
      <w:proofErr w:type="spellStart"/>
      <w:r w:rsidRPr="002B6D1C">
        <w:rPr>
          <w:rFonts w:ascii="Times New Roman" w:hAnsi="Times New Roman" w:cs="Times New Roman"/>
          <w:color w:val="000000" w:themeColor="text1"/>
        </w:rPr>
        <w:t>Supatra</w:t>
      </w:r>
      <w:proofErr w:type="spellEnd"/>
      <w:r w:rsidRPr="002B6D1C">
        <w:rPr>
          <w:rFonts w:ascii="Times New Roman" w:hAnsi="Times New Roman" w:cs="Times New Roman"/>
          <w:color w:val="000000" w:themeColor="text1"/>
        </w:rPr>
        <w:t xml:space="preserve"> Marsh</w:t>
      </w:r>
      <w:r w:rsidRPr="002B6D1C">
        <w:rPr>
          <w:rFonts w:ascii="Times New Roman" w:hAnsi="Times New Roman" w:cs="Times New Roman"/>
          <w:color w:val="000000" w:themeColor="text1"/>
          <w:vertAlign w:val="superscript"/>
        </w:rPr>
        <w:t>2</w:t>
      </w:r>
      <w:r w:rsidRPr="002B6D1C">
        <w:rPr>
          <w:rFonts w:ascii="Times New Roman" w:hAnsi="Times New Roman" w:cs="Times New Roman"/>
          <w:color w:val="000000" w:themeColor="text1"/>
        </w:rPr>
        <w:t xml:space="preserve">, </w:t>
      </w:r>
      <w:proofErr w:type="spellStart"/>
      <w:r w:rsidRPr="002B6D1C">
        <w:rPr>
          <w:rFonts w:ascii="Times New Roman" w:hAnsi="Times New Roman" w:cs="Times New Roman"/>
          <w:color w:val="000000" w:themeColor="text1"/>
        </w:rPr>
        <w:t>Keng</w:t>
      </w:r>
      <w:proofErr w:type="spellEnd"/>
      <w:r w:rsidRPr="002B6D1C">
        <w:rPr>
          <w:rFonts w:ascii="Times New Roman" w:hAnsi="Times New Roman" w:cs="Times New Roman"/>
          <w:color w:val="000000" w:themeColor="text1"/>
        </w:rPr>
        <w:t>-hui Lin</w:t>
      </w:r>
      <w:r w:rsidRPr="002B6D1C">
        <w:rPr>
          <w:rFonts w:ascii="Times New Roman" w:hAnsi="Times New Roman" w:cs="Times New Roman"/>
          <w:color w:val="000000" w:themeColor="text1"/>
          <w:vertAlign w:val="superscript"/>
        </w:rPr>
        <w:t>4</w:t>
      </w:r>
      <w:r w:rsidRPr="002B6D1C">
        <w:rPr>
          <w:rFonts w:ascii="Times New Roman" w:hAnsi="Times New Roman" w:cs="Times New Roman"/>
          <w:color w:val="000000" w:themeColor="text1"/>
        </w:rPr>
        <w:t>, Alexander Ludwig</w:t>
      </w:r>
      <w:r w:rsidRPr="002B6D1C">
        <w:rPr>
          <w:rFonts w:ascii="Times New Roman" w:hAnsi="Times New Roman" w:cs="Times New Roman"/>
          <w:color w:val="000000" w:themeColor="text1"/>
          <w:vertAlign w:val="superscript"/>
        </w:rPr>
        <w:t>5,6</w:t>
      </w:r>
      <w:r w:rsidRPr="002B6D1C">
        <w:rPr>
          <w:rFonts w:ascii="Times New Roman" w:hAnsi="Times New Roman" w:cs="Times New Roman"/>
          <w:color w:val="000000" w:themeColor="text1"/>
        </w:rPr>
        <w:t>, Jacques Prost</w:t>
      </w:r>
      <w:r w:rsidRPr="002B6D1C">
        <w:rPr>
          <w:rFonts w:ascii="Times New Roman" w:hAnsi="Times New Roman" w:cs="Times New Roman"/>
          <w:color w:val="000000" w:themeColor="text1"/>
          <w:vertAlign w:val="superscript"/>
        </w:rPr>
        <w:t>#,2,7</w:t>
      </w:r>
      <w:r w:rsidRPr="002B6D1C">
        <w:rPr>
          <w:rFonts w:ascii="Times New Roman" w:hAnsi="Times New Roman" w:cs="Times New Roman"/>
          <w:color w:val="000000" w:themeColor="text1"/>
        </w:rPr>
        <w:t xml:space="preserve">, </w:t>
      </w:r>
      <w:proofErr w:type="spellStart"/>
      <w:r w:rsidRPr="002B6D1C">
        <w:rPr>
          <w:rFonts w:ascii="Times New Roman" w:hAnsi="Times New Roman" w:cs="Times New Roman"/>
          <w:color w:val="000000" w:themeColor="text1"/>
        </w:rPr>
        <w:t>Chwee</w:t>
      </w:r>
      <w:proofErr w:type="spellEnd"/>
      <w:r w:rsidRPr="002B6D1C">
        <w:rPr>
          <w:rFonts w:ascii="Times New Roman" w:hAnsi="Times New Roman" w:cs="Times New Roman"/>
          <w:color w:val="000000" w:themeColor="text1"/>
        </w:rPr>
        <w:t xml:space="preserve"> Teck Lim</w:t>
      </w:r>
      <w:r w:rsidRPr="002B6D1C">
        <w:rPr>
          <w:rFonts w:ascii="Times New Roman" w:hAnsi="Times New Roman" w:cs="Times New Roman"/>
          <w:color w:val="000000" w:themeColor="text1"/>
          <w:vertAlign w:val="superscript"/>
        </w:rPr>
        <w:t>#,1,2,8</w:t>
      </w:r>
    </w:p>
    <w:p w14:paraId="4AF1BC91" w14:textId="1E575A40" w:rsidR="00CC0A37" w:rsidRDefault="00CC0A37" w:rsidP="000C4880">
      <w:pPr>
        <w:jc w:val="both"/>
        <w:rPr>
          <w:rFonts w:ascii="Times New Roman" w:hAnsi="Times New Roman" w:cs="Times New Roman"/>
          <w:b/>
          <w:bCs/>
          <w:color w:val="000000" w:themeColor="text1"/>
          <w:lang w:val="en-US"/>
        </w:rPr>
      </w:pPr>
    </w:p>
    <w:p w14:paraId="182E1A10" w14:textId="6C2FE407" w:rsidR="009C2D23" w:rsidRPr="002B6D1C" w:rsidRDefault="009C2D23" w:rsidP="000C4880">
      <w:pPr>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Supplementary Data:</w:t>
      </w:r>
    </w:p>
    <w:p w14:paraId="36DBEC81" w14:textId="77777777" w:rsidR="00CC0A37" w:rsidRPr="002B6D1C" w:rsidRDefault="00CC0A37" w:rsidP="002D0B07">
      <w:pPr>
        <w:pStyle w:val="SMHeading"/>
        <w:jc w:val="center"/>
        <w:rPr>
          <w:color w:val="000000" w:themeColor="text1"/>
          <w:sz w:val="22"/>
          <w:szCs w:val="22"/>
        </w:rPr>
      </w:pPr>
      <w:r w:rsidRPr="002B6D1C">
        <w:rPr>
          <w:noProof/>
          <w:color w:val="000000" w:themeColor="text1"/>
          <w:sz w:val="22"/>
          <w:szCs w:val="22"/>
        </w:rPr>
        <w:drawing>
          <wp:inline distT="0" distB="0" distL="0" distR="0" wp14:anchorId="10D528FA" wp14:editId="5C91CA1F">
            <wp:extent cx="5731510" cy="24301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430145"/>
                    </a:xfrm>
                    <a:prstGeom prst="rect">
                      <a:avLst/>
                    </a:prstGeom>
                    <a:noFill/>
                    <a:ln>
                      <a:noFill/>
                    </a:ln>
                  </pic:spPr>
                </pic:pic>
              </a:graphicData>
            </a:graphic>
          </wp:inline>
        </w:drawing>
      </w:r>
    </w:p>
    <w:p w14:paraId="2E0CE4EF" w14:textId="77777777" w:rsidR="00CC0A37" w:rsidRPr="002B6D1C" w:rsidRDefault="00CC0A37" w:rsidP="002D0B07">
      <w:pPr>
        <w:pStyle w:val="SMHeading"/>
        <w:rPr>
          <w:color w:val="000000" w:themeColor="text1"/>
          <w:sz w:val="22"/>
          <w:szCs w:val="22"/>
        </w:rPr>
      </w:pPr>
      <w:r w:rsidRPr="002B6D1C">
        <w:rPr>
          <w:color w:val="000000" w:themeColor="text1"/>
          <w:sz w:val="22"/>
          <w:szCs w:val="22"/>
        </w:rPr>
        <w:t xml:space="preserve">Fig. S1. TEPD and TEER of mature MDCK reach ~ 1 mV and ~ 100 </w:t>
      </w:r>
      <m:oMath>
        <m:r>
          <m:rPr>
            <m:sty m:val="b"/>
          </m:rPr>
          <w:rPr>
            <w:rFonts w:ascii="Cambria Math" w:hAnsi="Cambria Math"/>
            <w:color w:val="000000" w:themeColor="text1"/>
            <w:sz w:val="22"/>
            <w:szCs w:val="22"/>
          </w:rPr>
          <m:t>Ω</m:t>
        </m:r>
        <m:r>
          <m:rPr>
            <m:sty m:val="bi"/>
          </m:rPr>
          <w:rPr>
            <w:rFonts w:ascii="Cambria Math" w:hAnsi="Cambria Math"/>
            <w:color w:val="000000" w:themeColor="text1"/>
            <w:sz w:val="22"/>
            <w:szCs w:val="22"/>
          </w:rPr>
          <m:t>.c</m:t>
        </m:r>
        <m:sSup>
          <m:sSupPr>
            <m:ctrlPr>
              <w:rPr>
                <w:rFonts w:ascii="Cambria Math" w:hAnsi="Cambria Math"/>
                <w:i/>
                <w:color w:val="000000" w:themeColor="text1"/>
                <w:sz w:val="22"/>
                <w:szCs w:val="22"/>
              </w:rPr>
            </m:ctrlPr>
          </m:sSupPr>
          <m:e>
            <m:r>
              <m:rPr>
                <m:sty m:val="bi"/>
              </m:rPr>
              <w:rPr>
                <w:rFonts w:ascii="Cambria Math" w:hAnsi="Cambria Math"/>
                <w:color w:val="000000" w:themeColor="text1"/>
                <w:sz w:val="22"/>
                <w:szCs w:val="22"/>
              </w:rPr>
              <m:t>m</m:t>
            </m:r>
          </m:e>
          <m:sup>
            <m:r>
              <m:rPr>
                <m:sty m:val="bi"/>
              </m:rPr>
              <w:rPr>
                <w:rFonts w:ascii="Cambria Math" w:hAnsi="Cambria Math"/>
                <w:color w:val="000000" w:themeColor="text1"/>
                <w:sz w:val="22"/>
                <w:szCs w:val="22"/>
              </w:rPr>
              <m:t>2</m:t>
            </m:r>
          </m:sup>
        </m:sSup>
      </m:oMath>
      <w:r w:rsidRPr="002B6D1C">
        <w:rPr>
          <w:color w:val="000000" w:themeColor="text1"/>
          <w:sz w:val="22"/>
          <w:szCs w:val="22"/>
        </w:rPr>
        <w:t>.</w:t>
      </w:r>
    </w:p>
    <w:p w14:paraId="3FB77705" w14:textId="77777777" w:rsidR="00CC0A37" w:rsidRPr="002B6D1C" w:rsidRDefault="00CC0A37" w:rsidP="002D0B07">
      <w:pPr>
        <w:pStyle w:val="SMHeading"/>
        <w:rPr>
          <w:color w:val="000000" w:themeColor="text1"/>
          <w:sz w:val="22"/>
          <w:szCs w:val="22"/>
        </w:rPr>
      </w:pPr>
    </w:p>
    <w:p w14:paraId="7C5DDE9E"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b, </w:t>
      </w:r>
      <w:r w:rsidRPr="002B6D1C">
        <w:rPr>
          <w:rFonts w:ascii="Times New Roman" w:hAnsi="Times New Roman" w:cs="Times New Roman"/>
          <w:color w:val="000000" w:themeColor="text1"/>
        </w:rPr>
        <w:t xml:space="preserve">MDCK transepithelial potential difference (TEPD) and electrical resistance (TEER) as a function of days cultured on </w:t>
      </w:r>
      <w:proofErr w:type="spellStart"/>
      <w:r w:rsidRPr="002B6D1C">
        <w:rPr>
          <w:rFonts w:ascii="Times New Roman" w:hAnsi="Times New Roman" w:cs="Times New Roman"/>
          <w:color w:val="000000" w:themeColor="text1"/>
        </w:rPr>
        <w:t>transwell</w:t>
      </w:r>
      <w:proofErr w:type="spellEnd"/>
      <w:r w:rsidRPr="002B6D1C">
        <w:rPr>
          <w:rFonts w:ascii="Times New Roman" w:hAnsi="Times New Roman" w:cs="Times New Roman"/>
          <w:color w:val="000000" w:themeColor="text1"/>
        </w:rPr>
        <w:t xml:space="preserve"> systems. Cells were seeded on Day 0 and became confluent on Day 2. Each experiment was followed till Day 5 or 7. Black lines are mean values, scatter points of different colours indicate independent experiments. Day 1 to 5: n = 6 independent experiments in 3 biological replicates, Day 6 and 7: n = 2 independent experiments in 1 biological replicate. </w:t>
      </w:r>
    </w:p>
    <w:p w14:paraId="38325181" w14:textId="77777777" w:rsidR="00CC0A37" w:rsidRPr="002B6D1C" w:rsidRDefault="00CC0A37" w:rsidP="002D0B07">
      <w:pPr>
        <w:pStyle w:val="SMcaption"/>
        <w:rPr>
          <w:color w:val="000000" w:themeColor="text1"/>
          <w:sz w:val="22"/>
          <w:szCs w:val="22"/>
        </w:rPr>
      </w:pPr>
    </w:p>
    <w:p w14:paraId="7D6D904F" w14:textId="77777777" w:rsidR="00CC0A37" w:rsidRPr="002B6D1C" w:rsidRDefault="00CC0A37" w:rsidP="002D0B07">
      <w:pPr>
        <w:pStyle w:val="SMcaption"/>
        <w:rPr>
          <w:color w:val="000000" w:themeColor="text1"/>
          <w:sz w:val="22"/>
          <w:szCs w:val="22"/>
        </w:rPr>
      </w:pPr>
    </w:p>
    <w:p w14:paraId="6F462DB8" w14:textId="77777777" w:rsidR="00CC0A37" w:rsidRPr="002B6D1C" w:rsidRDefault="00CC0A37" w:rsidP="002D0B07">
      <w:pPr>
        <w:pStyle w:val="SMcaption"/>
        <w:jc w:val="center"/>
        <w:rPr>
          <w:color w:val="000000" w:themeColor="text1"/>
          <w:sz w:val="22"/>
          <w:szCs w:val="22"/>
        </w:rPr>
      </w:pPr>
      <w:r w:rsidRPr="002B6D1C">
        <w:rPr>
          <w:noProof/>
          <w:color w:val="000000" w:themeColor="text1"/>
          <w:sz w:val="22"/>
          <w:szCs w:val="22"/>
        </w:rPr>
        <w:drawing>
          <wp:inline distT="0" distB="0" distL="0" distR="0" wp14:anchorId="6003F627" wp14:editId="13072FC8">
            <wp:extent cx="5731510" cy="21075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107565"/>
                    </a:xfrm>
                    <a:prstGeom prst="rect">
                      <a:avLst/>
                    </a:prstGeom>
                    <a:noFill/>
                    <a:ln>
                      <a:noFill/>
                    </a:ln>
                  </pic:spPr>
                </pic:pic>
              </a:graphicData>
            </a:graphic>
          </wp:inline>
        </w:drawing>
      </w:r>
    </w:p>
    <w:p w14:paraId="7254D1F8"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Fig. S2.</w:t>
      </w:r>
      <w:r w:rsidRPr="002B6D1C">
        <w:rPr>
          <w:rFonts w:ascii="Times New Roman" w:hAnsi="Times New Roman" w:cs="Times New Roman"/>
          <w:color w:val="000000" w:themeColor="text1"/>
        </w:rPr>
        <w:t xml:space="preserve"> </w:t>
      </w:r>
      <w:r w:rsidRPr="002B6D1C">
        <w:rPr>
          <w:rFonts w:ascii="Times New Roman" w:hAnsi="Times New Roman" w:cs="Times New Roman"/>
          <w:b/>
          <w:bCs/>
          <w:color w:val="000000" w:themeColor="text1"/>
        </w:rPr>
        <w:t>Electric assay and microfluidic device for cell experiments.</w:t>
      </w:r>
    </w:p>
    <w:p w14:paraId="3B08071D"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3E05AC4A"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w:t>
      </w:r>
      <w:r w:rsidRPr="002B6D1C">
        <w:rPr>
          <w:rFonts w:ascii="Times New Roman" w:hAnsi="Times New Roman" w:cs="Times New Roman"/>
          <w:color w:val="000000" w:themeColor="text1"/>
        </w:rPr>
        <w:t xml:space="preserve">3D rendering of the whole electric assay. Picture shows four independent electric assays where the microfluidic chips are sandwiched between the cartridges and pressure-sealed with O-rings to create </w:t>
      </w:r>
      <w:r w:rsidRPr="002B6D1C">
        <w:rPr>
          <w:rFonts w:ascii="Times New Roman" w:hAnsi="Times New Roman" w:cs="Times New Roman"/>
          <w:color w:val="000000" w:themeColor="text1"/>
        </w:rPr>
        <w:lastRenderedPageBreak/>
        <w:t>isolated compartments (see Methods for details). The cartridges are connected through tubes to electrodes and DC source meters for the application of external E-fields. Experiments were done on a microscope with environmental chamber maintaining 37°C and 5% CO</w:t>
      </w:r>
      <w:r w:rsidRPr="002B6D1C">
        <w:rPr>
          <w:rFonts w:ascii="Times New Roman" w:hAnsi="Times New Roman" w:cs="Times New Roman"/>
          <w:color w:val="000000" w:themeColor="text1"/>
          <w:vertAlign w:val="subscript"/>
        </w:rPr>
        <w:t>2</w:t>
      </w:r>
      <w:r w:rsidRPr="002B6D1C">
        <w:rPr>
          <w:rFonts w:ascii="Times New Roman" w:hAnsi="Times New Roman" w:cs="Times New Roman"/>
          <w:color w:val="000000" w:themeColor="text1"/>
        </w:rPr>
        <w:t xml:space="preserve"> for imaging. </w:t>
      </w:r>
      <w:r w:rsidRPr="002B6D1C">
        <w:rPr>
          <w:rFonts w:ascii="Times New Roman" w:hAnsi="Times New Roman" w:cs="Times New Roman"/>
          <w:b/>
          <w:bCs/>
          <w:color w:val="000000" w:themeColor="text1"/>
        </w:rPr>
        <w:t xml:space="preserve">b, </w:t>
      </w:r>
      <w:r w:rsidRPr="002B6D1C">
        <w:rPr>
          <w:rFonts w:ascii="Times New Roman" w:hAnsi="Times New Roman" w:cs="Times New Roman"/>
          <w:color w:val="000000" w:themeColor="text1"/>
        </w:rPr>
        <w:t>The microfluidic chip is multi-layered, made from glass (cyan), 1</w:t>
      </w:r>
      <w:r w:rsidRPr="002B6D1C">
        <w:rPr>
          <w:rFonts w:ascii="Times New Roman" w:hAnsi="Times New Roman" w:cs="Times New Roman"/>
          <w:color w:val="000000" w:themeColor="text1"/>
          <w:vertAlign w:val="superscript"/>
        </w:rPr>
        <w:t>st</w:t>
      </w:r>
      <w:r w:rsidRPr="002B6D1C">
        <w:rPr>
          <w:rFonts w:ascii="Times New Roman" w:hAnsi="Times New Roman" w:cs="Times New Roman"/>
          <w:color w:val="000000" w:themeColor="text1"/>
        </w:rPr>
        <w:t xml:space="preserve"> layer of NOA73 UV curable material with channels (red), and 2</w:t>
      </w:r>
      <w:r w:rsidRPr="002B6D1C">
        <w:rPr>
          <w:rFonts w:ascii="Times New Roman" w:hAnsi="Times New Roman" w:cs="Times New Roman"/>
          <w:color w:val="000000" w:themeColor="text1"/>
          <w:vertAlign w:val="superscript"/>
        </w:rPr>
        <w:t>nd</w:t>
      </w:r>
      <w:r w:rsidRPr="002B6D1C">
        <w:rPr>
          <w:rFonts w:ascii="Times New Roman" w:hAnsi="Times New Roman" w:cs="Times New Roman"/>
          <w:color w:val="000000" w:themeColor="text1"/>
        </w:rPr>
        <w:t xml:space="preserve"> NOA73 layer with opening of slit geometry where the E-field emerges (blue). The chip is embedded with polyacrylamide gel (shown as chartreuse on the top of the 2</w:t>
      </w:r>
      <w:r w:rsidRPr="002B6D1C">
        <w:rPr>
          <w:rFonts w:ascii="Times New Roman" w:hAnsi="Times New Roman" w:cs="Times New Roman"/>
          <w:color w:val="000000" w:themeColor="text1"/>
          <w:vertAlign w:val="superscript"/>
        </w:rPr>
        <w:t>nd</w:t>
      </w:r>
      <w:r w:rsidRPr="002B6D1C">
        <w:rPr>
          <w:rFonts w:ascii="Times New Roman" w:hAnsi="Times New Roman" w:cs="Times New Roman"/>
          <w:color w:val="000000" w:themeColor="text1"/>
        </w:rPr>
        <w:t xml:space="preserve"> chip layer, green within the 2</w:t>
      </w:r>
      <w:r w:rsidRPr="002B6D1C">
        <w:rPr>
          <w:rFonts w:ascii="Times New Roman" w:hAnsi="Times New Roman" w:cs="Times New Roman"/>
          <w:color w:val="000000" w:themeColor="text1"/>
          <w:vertAlign w:val="superscript"/>
        </w:rPr>
        <w:t>nd</w:t>
      </w:r>
      <w:r w:rsidRPr="002B6D1C">
        <w:rPr>
          <w:rFonts w:ascii="Times New Roman" w:hAnsi="Times New Roman" w:cs="Times New Roman"/>
          <w:color w:val="000000" w:themeColor="text1"/>
        </w:rPr>
        <w:t xml:space="preserve"> layer, and orange within the 1</w:t>
      </w:r>
      <w:r w:rsidRPr="002B6D1C">
        <w:rPr>
          <w:rFonts w:ascii="Times New Roman" w:hAnsi="Times New Roman" w:cs="Times New Roman"/>
          <w:color w:val="000000" w:themeColor="text1"/>
          <w:vertAlign w:val="superscript"/>
        </w:rPr>
        <w:t>st</w:t>
      </w:r>
      <w:r w:rsidRPr="002B6D1C">
        <w:rPr>
          <w:rFonts w:ascii="Times New Roman" w:hAnsi="Times New Roman" w:cs="Times New Roman"/>
          <w:color w:val="000000" w:themeColor="text1"/>
        </w:rPr>
        <w:t xml:space="preserve"> layer), coated with ECM proteins as the cell substrate. Top-down view (top, left column), layered schematic (bottom, left column), cross-section and side-view (right column). Black dotted line is cut-line for cross-section view. </w:t>
      </w:r>
    </w:p>
    <w:p w14:paraId="7AAF7B08"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p>
    <w:p w14:paraId="390FCE2E" w14:textId="77777777" w:rsidR="00CC0A37" w:rsidRPr="002B6D1C" w:rsidRDefault="00CC0A37" w:rsidP="002D0B07">
      <w:pPr>
        <w:pStyle w:val="SMHeading"/>
        <w:jc w:val="center"/>
        <w:rPr>
          <w:color w:val="000000" w:themeColor="text1"/>
          <w:sz w:val="22"/>
          <w:szCs w:val="22"/>
        </w:rPr>
      </w:pPr>
      <w:r w:rsidRPr="002B6D1C">
        <w:rPr>
          <w:noProof/>
          <w:color w:val="000000" w:themeColor="text1"/>
          <w:sz w:val="22"/>
          <w:szCs w:val="22"/>
        </w:rPr>
        <w:drawing>
          <wp:inline distT="0" distB="0" distL="0" distR="0" wp14:anchorId="15C0B791" wp14:editId="1D4EFA16">
            <wp:extent cx="3083389" cy="23393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0787" cy="2352539"/>
                    </a:xfrm>
                    <a:prstGeom prst="rect">
                      <a:avLst/>
                    </a:prstGeom>
                    <a:noFill/>
                    <a:ln>
                      <a:noFill/>
                    </a:ln>
                  </pic:spPr>
                </pic:pic>
              </a:graphicData>
            </a:graphic>
          </wp:inline>
        </w:drawing>
      </w:r>
    </w:p>
    <w:p w14:paraId="2E658052"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Fig. S3. Cell shape (indicated by phase-contrast imaging) is perturbed as long as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 is applied.</w:t>
      </w:r>
    </w:p>
    <w:p w14:paraId="06F899D1"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0A319A1B"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Normalized junction intensity of phase contrast imaging as function of time for different field conditions. Line and shaded regions are mean </w:t>
      </w:r>
      <m:oMath>
        <m:r>
          <w:rPr>
            <w:rFonts w:ascii="Cambria Math" w:hAnsi="Cambria Math" w:cs="Times New Roman"/>
            <w:color w:val="000000" w:themeColor="text1"/>
          </w:rPr>
          <m:t xml:space="preserve">± </m:t>
        </m:r>
      </m:oMath>
      <w:r w:rsidRPr="002B6D1C">
        <w:rPr>
          <w:rFonts w:ascii="Times New Roman" w:hAnsi="Times New Roman" w:cs="Times New Roman"/>
          <w:color w:val="000000" w:themeColor="text1"/>
        </w:rPr>
        <w:t xml:space="preserve">s.e.m. Broken part of lines are without data. Each time point has between 50 - 93 individual junctions. Ctrl: n = 3 independent experiments in 2 biological replicates.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n = 3 independent experiments in 3 biological replicates. Two-tailed, t-test against normal distribution of mean = 1 for all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time points. All time points P &lt;&lt; 0.001. </w:t>
      </w:r>
    </w:p>
    <w:p w14:paraId="2BF1B39C"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p>
    <w:p w14:paraId="72842B2E" w14:textId="77777777" w:rsidR="00CC0A37" w:rsidRPr="002B6D1C" w:rsidRDefault="00CC0A37" w:rsidP="002D0B07">
      <w:pPr>
        <w:pStyle w:val="SMHeading"/>
        <w:rPr>
          <w:color w:val="000000" w:themeColor="text1"/>
          <w:sz w:val="22"/>
          <w:szCs w:val="22"/>
        </w:rPr>
      </w:pPr>
      <w:r w:rsidRPr="002B6D1C">
        <w:rPr>
          <w:noProof/>
          <w:color w:val="000000" w:themeColor="text1"/>
          <w:sz w:val="22"/>
          <w:szCs w:val="22"/>
        </w:rPr>
        <w:drawing>
          <wp:inline distT="0" distB="0" distL="0" distR="0" wp14:anchorId="79DCF19C" wp14:editId="2C2DE2C9">
            <wp:extent cx="5731510" cy="17767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76730"/>
                    </a:xfrm>
                    <a:prstGeom prst="rect">
                      <a:avLst/>
                    </a:prstGeom>
                    <a:noFill/>
                    <a:ln>
                      <a:noFill/>
                    </a:ln>
                  </pic:spPr>
                </pic:pic>
              </a:graphicData>
            </a:graphic>
          </wp:inline>
        </w:drawing>
      </w:r>
    </w:p>
    <w:p w14:paraId="537976CD"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Fig. S4. Only MDCK under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 stay homogeneously distributed on fibronectin-coated gel.</w:t>
      </w:r>
    </w:p>
    <w:p w14:paraId="75CF704F"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32147EBC"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lastRenderedPageBreak/>
        <w:t xml:space="preserve">a, </w:t>
      </w:r>
      <w:r w:rsidRPr="002B6D1C">
        <w:rPr>
          <w:rFonts w:ascii="Times New Roman" w:hAnsi="Times New Roman" w:cs="Times New Roman"/>
          <w:color w:val="000000" w:themeColor="text1"/>
        </w:rPr>
        <w:t xml:space="preserve">Top-down view of nucleus/cell distributions of MDCK on fibronectin-coated gel under different field conditions for ~ 2 days. Scale bars, 50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w:t>
      </w:r>
      <w:r w:rsidRPr="002B6D1C">
        <w:rPr>
          <w:rFonts w:ascii="Times New Roman" w:hAnsi="Times New Roman" w:cs="Times New Roman"/>
          <w:b/>
          <w:bCs/>
          <w:color w:val="000000" w:themeColor="text1"/>
        </w:rPr>
        <w:t xml:space="preserve"> b, </w:t>
      </w:r>
      <w:r w:rsidRPr="002B6D1C">
        <w:rPr>
          <w:rFonts w:ascii="Times New Roman" w:hAnsi="Times New Roman" w:cs="Times New Roman"/>
          <w:color w:val="000000" w:themeColor="text1"/>
        </w:rPr>
        <w:t>RUDM values of such experiments.</w:t>
      </w:r>
      <w:r w:rsidRPr="002B6D1C">
        <w:rPr>
          <w:rFonts w:ascii="Times New Roman" w:hAnsi="Times New Roman" w:cs="Times New Roman"/>
          <w:b/>
          <w:bCs/>
          <w:color w:val="000000" w:themeColor="text1"/>
        </w:rPr>
        <w:t xml:space="preserve"> </w:t>
      </w:r>
      <w:r w:rsidRPr="002B6D1C">
        <w:rPr>
          <w:rFonts w:ascii="Times New Roman" w:hAnsi="Times New Roman" w:cs="Times New Roman"/>
          <w:color w:val="000000" w:themeColor="text1"/>
        </w:rPr>
        <w:t xml:space="preserve">Line is mean </w:t>
      </w:r>
      <m:oMath>
        <m:r>
          <w:rPr>
            <w:rFonts w:ascii="Cambria Math" w:hAnsi="Cambria Math" w:cs="Times New Roman"/>
            <w:color w:val="000000" w:themeColor="text1"/>
          </w:rPr>
          <m:t xml:space="preserve">± </m:t>
        </m:r>
      </m:oMath>
      <w:r w:rsidRPr="002B6D1C">
        <w:rPr>
          <w:rFonts w:ascii="Times New Roman" w:hAnsi="Times New Roman" w:cs="Times New Roman"/>
          <w:color w:val="000000" w:themeColor="text1"/>
        </w:rPr>
        <w:t>s.t.d., scatter points are independent experiments. Ctrl: n = 6 independent experiments in 3 biological replicates. AtB: n = 3 independent experiments in 2 biological replicates. BtA: n = 5 independent experiments in 3 biological replicates. One-tailed, two-sample t-test. *P = 0.008 (Ctrl-</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*P = 0.01 (</w:t>
      </w:r>
      <w:proofErr w:type="spellStart"/>
      <w:r w:rsidRPr="002B6D1C">
        <w:rPr>
          <w:rFonts w:ascii="Times New Roman" w:hAnsi="Times New Roman" w:cs="Times New Roman"/>
          <w:color w:val="000000" w:themeColor="text1"/>
        </w:rPr>
        <w:t>AtB-BtA</w:t>
      </w:r>
      <w:proofErr w:type="spellEnd"/>
      <w:r w:rsidRPr="002B6D1C">
        <w:rPr>
          <w:rFonts w:ascii="Times New Roman" w:hAnsi="Times New Roman" w:cs="Times New Roman"/>
          <w:color w:val="000000" w:themeColor="text1"/>
        </w:rPr>
        <w:t xml:space="preserve">). </w:t>
      </w:r>
    </w:p>
    <w:p w14:paraId="574ECBD6"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p>
    <w:p w14:paraId="04EEACE8"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536C03CA"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77620F42" wp14:editId="07F059CE">
            <wp:extent cx="2754353" cy="2038020"/>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014" cy="2054788"/>
                    </a:xfrm>
                    <a:prstGeom prst="rect">
                      <a:avLst/>
                    </a:prstGeom>
                    <a:noFill/>
                    <a:ln>
                      <a:noFill/>
                    </a:ln>
                  </pic:spPr>
                </pic:pic>
              </a:graphicData>
            </a:graphic>
          </wp:inline>
        </w:drawing>
      </w:r>
    </w:p>
    <w:p w14:paraId="71DA4F78"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Fig. S5.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field-rescue of heterogeneous layers on fibronectin-coated gel do not show significant differences in local division rates between dense and sparse regions.  </w:t>
      </w:r>
    </w:p>
    <w:p w14:paraId="5F27AECB"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106999DC"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w:t>
      </w:r>
      <w:r w:rsidRPr="002B6D1C">
        <w:rPr>
          <w:rFonts w:ascii="Times New Roman" w:hAnsi="Times New Roman" w:cs="Times New Roman"/>
          <w:color w:val="000000" w:themeColor="text1"/>
        </w:rPr>
        <w:t xml:space="preserve">Local division rates of dense and sparse regions under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fields. Line is mean </w:t>
      </w:r>
      <m:oMath>
        <m:r>
          <w:rPr>
            <w:rFonts w:ascii="Cambria Math" w:hAnsi="Cambria Math" w:cs="Times New Roman"/>
            <w:color w:val="000000" w:themeColor="text1"/>
          </w:rPr>
          <m:t xml:space="preserve">± </m:t>
        </m:r>
      </m:oMath>
      <w:r w:rsidRPr="002B6D1C">
        <w:rPr>
          <w:rFonts w:ascii="Times New Roman" w:hAnsi="Times New Roman" w:cs="Times New Roman"/>
          <w:color w:val="000000" w:themeColor="text1"/>
        </w:rPr>
        <w:t>s.t.d., scatter points are independent field-of-views. Dense/Sparse: n = 6 independent field-of-views, 3 independent experiments in 3 biological replicates. Two-tailed, paired t-test. P = 0.09.</w:t>
      </w:r>
    </w:p>
    <w:p w14:paraId="3E4046EB" w14:textId="77777777" w:rsidR="00CC0A37" w:rsidRPr="002B6D1C" w:rsidRDefault="00CC0A37" w:rsidP="002D0B07">
      <w:pPr>
        <w:jc w:val="both"/>
        <w:rPr>
          <w:rFonts w:ascii="Times New Roman" w:hAnsi="Times New Roman" w:cs="Times New Roman"/>
          <w:color w:val="000000" w:themeColor="text1"/>
        </w:rPr>
      </w:pPr>
    </w:p>
    <w:p w14:paraId="42ED6F7A" w14:textId="77777777" w:rsidR="00CC0A37" w:rsidRPr="002B6D1C" w:rsidRDefault="00CC0A37" w:rsidP="002D0B07">
      <w:pPr>
        <w:jc w:val="both"/>
        <w:rPr>
          <w:rFonts w:ascii="Times New Roman" w:hAnsi="Times New Roman" w:cs="Times New Roman"/>
          <w:color w:val="000000" w:themeColor="text1"/>
        </w:rPr>
      </w:pPr>
    </w:p>
    <w:p w14:paraId="29DA6773" w14:textId="77777777" w:rsidR="00CC0A37" w:rsidRPr="002B6D1C" w:rsidRDefault="00CC0A37" w:rsidP="002D0B07">
      <w:pPr>
        <w:jc w:val="center"/>
        <w:rPr>
          <w:rFonts w:ascii="Times New Roman" w:hAnsi="Times New Roman" w:cs="Times New Roman"/>
          <w:color w:val="000000" w:themeColor="text1"/>
        </w:rPr>
      </w:pPr>
    </w:p>
    <w:p w14:paraId="3ABF6F3C"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2AB1ED02" wp14:editId="06DE2FE9">
            <wp:extent cx="2656670" cy="202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145" cy="2037131"/>
                    </a:xfrm>
                    <a:prstGeom prst="rect">
                      <a:avLst/>
                    </a:prstGeom>
                    <a:noFill/>
                    <a:ln>
                      <a:noFill/>
                    </a:ln>
                  </pic:spPr>
                </pic:pic>
              </a:graphicData>
            </a:graphic>
          </wp:inline>
        </w:drawing>
      </w:r>
    </w:p>
    <w:p w14:paraId="5D1B1D13"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Fig. S6. Only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 can rescue Ecad KO cells on fibronectin-coated gel with multicellular clumps and gaps. </w:t>
      </w:r>
    </w:p>
    <w:p w14:paraId="7437384B"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05777FA6"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lastRenderedPageBreak/>
        <w:t xml:space="preserve">Measure of tissue integrity of different experiments with Ecad KO cells grown without fields for ~ 200 hrs, then applied with different field conditions for another ~ 100 hrs. Line is mean </w:t>
      </w:r>
      <m:oMath>
        <m:r>
          <w:rPr>
            <w:rFonts w:ascii="Cambria Math" w:hAnsi="Cambria Math" w:cs="Times New Roman"/>
            <w:color w:val="000000" w:themeColor="text1"/>
          </w:rPr>
          <m:t xml:space="preserve">± </m:t>
        </m:r>
      </m:oMath>
      <w:r w:rsidRPr="002B6D1C">
        <w:rPr>
          <w:rFonts w:ascii="Times New Roman" w:hAnsi="Times New Roman" w:cs="Times New Roman"/>
          <w:color w:val="000000" w:themeColor="text1"/>
        </w:rPr>
        <w:t>s.t.d., scatter points are independent experiments. Ctrl/</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n = 3 independent experiments in 2 biological replicates.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n = 6 independent experiments in 3 biological replicates. One-tailed, t-test. *P = 0.03. </w:t>
      </w:r>
    </w:p>
    <w:p w14:paraId="5468B415" w14:textId="77777777" w:rsidR="00CC0A37" w:rsidRPr="002B6D1C" w:rsidRDefault="00CC0A37" w:rsidP="002D0B07">
      <w:pPr>
        <w:jc w:val="center"/>
        <w:rPr>
          <w:rFonts w:ascii="Times New Roman" w:hAnsi="Times New Roman" w:cs="Times New Roman"/>
          <w:color w:val="000000" w:themeColor="text1"/>
        </w:rPr>
      </w:pPr>
    </w:p>
    <w:p w14:paraId="4FD16CFC"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14E0AA61" wp14:editId="09F50F94">
            <wp:extent cx="5731510" cy="25552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14:paraId="304ED3D8"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Fig. S7. COMSOL simulations predict that low conductivity of epithelia causes the E-fields to spread more evenly across the setup.</w:t>
      </w:r>
    </w:p>
    <w:p w14:paraId="5B21C635"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39BDB6B2"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w:t>
      </w:r>
      <w:r w:rsidRPr="002B6D1C">
        <w:rPr>
          <w:rFonts w:ascii="Times New Roman" w:hAnsi="Times New Roman" w:cs="Times New Roman"/>
          <w:color w:val="000000" w:themeColor="text1"/>
        </w:rPr>
        <w:t xml:space="preserve">2D simulation geometry. Full view (left), zoom-in at the slit, location of E-field emergence underneath the epithelia (middle), zoom-in at the sides, location where E-field arrives from the channels (right). Top and channel boundaries are set at arbitrarily chosen constant potential values to drive the DC ion current (0 and 10 V). The relative E-field distribution is unaffected by the potential input values. See Methods for details. </w:t>
      </w:r>
      <w:r w:rsidRPr="002B6D1C">
        <w:rPr>
          <w:rFonts w:ascii="Times New Roman" w:hAnsi="Times New Roman" w:cs="Times New Roman"/>
          <w:b/>
          <w:bCs/>
          <w:color w:val="000000" w:themeColor="text1"/>
        </w:rPr>
        <w:t xml:space="preserve">b, </w:t>
      </w:r>
      <w:r w:rsidRPr="002B6D1C">
        <w:rPr>
          <w:rFonts w:ascii="Times New Roman" w:hAnsi="Times New Roman" w:cs="Times New Roman"/>
          <w:color w:val="000000" w:themeColor="text1"/>
        </w:rPr>
        <w:t xml:space="preserve">E-field at the epithelia, normal to the plane of the cell layer, for bare surface (left), confluent epithelia (middle-left), epithelia with a central gap of 200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 xml:space="preserve"> (middle-right), and epithelia with gaps of 100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 xml:space="preserve"> at the far ends (right). </w:t>
      </w:r>
    </w:p>
    <w:p w14:paraId="3E16A388" w14:textId="77777777" w:rsidR="00CC0A37" w:rsidRPr="002B6D1C" w:rsidRDefault="00CC0A37" w:rsidP="002D0B07">
      <w:pPr>
        <w:jc w:val="both"/>
        <w:rPr>
          <w:rFonts w:ascii="Times New Roman" w:hAnsi="Times New Roman" w:cs="Times New Roman"/>
          <w:color w:val="000000" w:themeColor="text1"/>
        </w:rPr>
      </w:pPr>
    </w:p>
    <w:p w14:paraId="058C5C38"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1963470F" wp14:editId="10A9B6F6">
            <wp:extent cx="5731510" cy="21818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181860"/>
                    </a:xfrm>
                    <a:prstGeom prst="rect">
                      <a:avLst/>
                    </a:prstGeom>
                    <a:noFill/>
                    <a:ln>
                      <a:noFill/>
                    </a:ln>
                  </pic:spPr>
                </pic:pic>
              </a:graphicData>
            </a:graphic>
          </wp:inline>
        </w:drawing>
      </w:r>
    </w:p>
    <w:p w14:paraId="74BA9294"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lastRenderedPageBreak/>
        <w:t>Fig. S8. Charged fluorescent (</w:t>
      </w:r>
      <w:proofErr w:type="spellStart"/>
      <w:r w:rsidRPr="002B6D1C">
        <w:rPr>
          <w:rFonts w:ascii="Times New Roman" w:hAnsi="Times New Roman" w:cs="Times New Roman"/>
          <w:b/>
          <w:bCs/>
          <w:color w:val="000000" w:themeColor="text1"/>
        </w:rPr>
        <w:t>carboxylated</w:t>
      </w:r>
      <w:proofErr w:type="spellEnd"/>
      <w:r w:rsidRPr="002B6D1C">
        <w:rPr>
          <w:rFonts w:ascii="Times New Roman" w:hAnsi="Times New Roman" w:cs="Times New Roman"/>
          <w:b/>
          <w:bCs/>
          <w:color w:val="000000" w:themeColor="text1"/>
        </w:rPr>
        <w:t xml:space="preserve">) beads as fiducial markers estimate E-field distributions to be largely uniform across confluent epithelia, but are concentrated at the multicellular gap of a disrupted epithelia. </w:t>
      </w:r>
    </w:p>
    <w:p w14:paraId="3496277C"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7F75934A"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w:t>
      </w:r>
      <w:r w:rsidRPr="002B6D1C">
        <w:rPr>
          <w:rFonts w:ascii="Times New Roman" w:hAnsi="Times New Roman" w:cs="Times New Roman"/>
          <w:color w:val="000000" w:themeColor="text1"/>
        </w:rPr>
        <w:t xml:space="preserve">Top row (bottom row) Top-down view of cells (bead intensities) at 2 and 18 hrs after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 application for confluent epithelia. </w:t>
      </w:r>
      <w:r w:rsidRPr="002B6D1C">
        <w:rPr>
          <w:rFonts w:ascii="Times New Roman" w:hAnsi="Times New Roman" w:cs="Times New Roman"/>
          <w:b/>
          <w:bCs/>
          <w:color w:val="000000" w:themeColor="text1"/>
        </w:rPr>
        <w:t>b,</w:t>
      </w:r>
      <w:r w:rsidRPr="002B6D1C">
        <w:rPr>
          <w:rFonts w:ascii="Times New Roman" w:hAnsi="Times New Roman" w:cs="Times New Roman"/>
          <w:color w:val="000000" w:themeColor="text1"/>
        </w:rPr>
        <w:t xml:space="preserve"> Bead intensity for experiment in (</w:t>
      </w:r>
      <w:r w:rsidRPr="002B6D1C">
        <w:rPr>
          <w:rFonts w:ascii="Times New Roman" w:hAnsi="Times New Roman" w:cs="Times New Roman"/>
          <w:b/>
          <w:bCs/>
          <w:color w:val="000000" w:themeColor="text1"/>
        </w:rPr>
        <w:t>a</w:t>
      </w:r>
      <w:r w:rsidRPr="002B6D1C">
        <w:rPr>
          <w:rFonts w:ascii="Times New Roman" w:hAnsi="Times New Roman" w:cs="Times New Roman"/>
          <w:color w:val="000000" w:themeColor="text1"/>
        </w:rPr>
        <w:t xml:space="preserve">), as function of time at slit where E-field emerged, and at location </w:t>
      </w:r>
      <m:oMath>
        <m:r>
          <w:rPr>
            <w:rFonts w:ascii="Cambria Math" w:hAnsi="Cambria Math" w:cs="Times New Roman"/>
            <w:color w:val="000000" w:themeColor="text1"/>
          </w:rPr>
          <m:t>~ 1 mm</m:t>
        </m:r>
      </m:oMath>
      <w:r w:rsidRPr="002B6D1C">
        <w:rPr>
          <w:rFonts w:ascii="Times New Roman" w:hAnsi="Times New Roman" w:cs="Times New Roman"/>
          <w:color w:val="000000" w:themeColor="text1"/>
        </w:rPr>
        <w:t xml:space="preserve"> away from the slit. </w:t>
      </w:r>
      <w:r w:rsidRPr="002B6D1C">
        <w:rPr>
          <w:rFonts w:ascii="Times New Roman" w:hAnsi="Times New Roman" w:cs="Times New Roman"/>
          <w:b/>
          <w:bCs/>
          <w:color w:val="000000" w:themeColor="text1"/>
        </w:rPr>
        <w:t xml:space="preserve">c, d, </w:t>
      </w:r>
      <w:r w:rsidRPr="002B6D1C">
        <w:rPr>
          <w:rFonts w:ascii="Times New Roman" w:hAnsi="Times New Roman" w:cs="Times New Roman"/>
          <w:color w:val="000000" w:themeColor="text1"/>
        </w:rPr>
        <w:t xml:space="preserve">Similar images and quantification for epithelia with multicellular gap at the slit. Images are for 15 and 100 min after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 application. Scale bars, 200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w:t>
      </w:r>
    </w:p>
    <w:p w14:paraId="5CA07684" w14:textId="77777777" w:rsidR="00CC0A37" w:rsidRPr="002B6D1C" w:rsidRDefault="00CC0A37" w:rsidP="002D0B07">
      <w:pPr>
        <w:jc w:val="both"/>
        <w:rPr>
          <w:rFonts w:ascii="Times New Roman" w:hAnsi="Times New Roman" w:cs="Times New Roman"/>
          <w:color w:val="000000" w:themeColor="text1"/>
        </w:rPr>
      </w:pPr>
    </w:p>
    <w:p w14:paraId="12EF90E1"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59DCAACC" wp14:editId="01912D21">
            <wp:extent cx="2472462" cy="2171196"/>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759" cy="2179360"/>
                    </a:xfrm>
                    <a:prstGeom prst="rect">
                      <a:avLst/>
                    </a:prstGeom>
                    <a:noFill/>
                    <a:ln>
                      <a:noFill/>
                    </a:ln>
                  </pic:spPr>
                </pic:pic>
              </a:graphicData>
            </a:graphic>
          </wp:inline>
        </w:drawing>
      </w:r>
    </w:p>
    <w:p w14:paraId="0B95C2EF"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Fig. S9. Electrically induced pressures at individual cell tips show that the field decreases slowly across a confluent epithelium.</w:t>
      </w:r>
    </w:p>
    <w:p w14:paraId="0B641156"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18F9C0CC"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Lines are means and </w:t>
      </w:r>
      <w:proofErr w:type="spellStart"/>
      <w:r w:rsidRPr="002B6D1C">
        <w:rPr>
          <w:rFonts w:ascii="Times New Roman" w:hAnsi="Times New Roman" w:cs="Times New Roman"/>
          <w:color w:val="000000" w:themeColor="text1"/>
        </w:rPr>
        <w:t>s.t.d.</w:t>
      </w:r>
      <w:proofErr w:type="spellEnd"/>
      <w:r w:rsidRPr="002B6D1C">
        <w:rPr>
          <w:rFonts w:ascii="Times New Roman" w:hAnsi="Times New Roman" w:cs="Times New Roman"/>
          <w:color w:val="000000" w:themeColor="text1"/>
        </w:rPr>
        <w:t xml:space="preserve"> Scatter points are estimated pressures of individual cells. See methods for details. Line is mean </w:t>
      </w:r>
      <m:oMath>
        <m:r>
          <w:rPr>
            <w:rFonts w:ascii="Cambria Math" w:hAnsi="Cambria Math" w:cs="Times New Roman"/>
            <w:color w:val="000000" w:themeColor="text1"/>
          </w:rPr>
          <m:t xml:space="preserve">± </m:t>
        </m:r>
      </m:oMath>
      <w:r w:rsidRPr="002B6D1C">
        <w:rPr>
          <w:rFonts w:ascii="Times New Roman" w:hAnsi="Times New Roman" w:cs="Times New Roman"/>
          <w:color w:val="000000" w:themeColor="text1"/>
        </w:rPr>
        <w:t xml:space="preserve">s.t.d., scatter points are individual cells. 0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 xml:space="preserve"> (slit): n = 12. 1 </w:t>
      </w:r>
      <m:oMath>
        <m:r>
          <w:rPr>
            <w:rFonts w:ascii="Cambria Math" w:hAnsi="Cambria Math" w:cs="Times New Roman"/>
            <w:color w:val="000000" w:themeColor="text1"/>
          </w:rPr>
          <m:t>μm</m:t>
        </m:r>
      </m:oMath>
      <w:r w:rsidRPr="002B6D1C">
        <w:rPr>
          <w:rFonts w:ascii="Times New Roman" w:hAnsi="Times New Roman" w:cs="Times New Roman"/>
          <w:color w:val="000000" w:themeColor="text1"/>
        </w:rPr>
        <w:t xml:space="preserve"> from slit: n = 15. </w:t>
      </w:r>
      <m:oMath>
        <m:r>
          <w:rPr>
            <w:rFonts w:ascii="Cambria Math" w:hAnsi="Cambria Math" w:cs="Times New Roman"/>
            <w:color w:val="000000" w:themeColor="text1"/>
          </w:rPr>
          <m:t>2 μm</m:t>
        </m:r>
      </m:oMath>
      <w:r w:rsidRPr="002B6D1C">
        <w:rPr>
          <w:rFonts w:ascii="Times New Roman" w:hAnsi="Times New Roman" w:cs="Times New Roman"/>
          <w:color w:val="000000" w:themeColor="text1"/>
        </w:rPr>
        <w:t xml:space="preserve"> from slit: n = 10. Two-tailed, two-sample t-test. *P = 0.01. </w:t>
      </w:r>
    </w:p>
    <w:p w14:paraId="4066208F" w14:textId="77777777" w:rsidR="00CC0A37" w:rsidRPr="002B6D1C" w:rsidRDefault="00CC0A37" w:rsidP="002D0B07">
      <w:pPr>
        <w:jc w:val="both"/>
        <w:rPr>
          <w:rFonts w:ascii="Times New Roman" w:hAnsi="Times New Roman" w:cs="Times New Roman"/>
          <w:color w:val="000000" w:themeColor="text1"/>
        </w:rPr>
      </w:pPr>
    </w:p>
    <w:p w14:paraId="28FBEE9C" w14:textId="77777777" w:rsidR="00CC0A37" w:rsidRPr="002B6D1C" w:rsidRDefault="00CC0A37" w:rsidP="00CC1123">
      <w:pPr>
        <w:rPr>
          <w:rFonts w:ascii="Times New Roman" w:hAnsi="Times New Roman" w:cs="Times New Roman"/>
          <w:color w:val="000000" w:themeColor="text1"/>
        </w:rPr>
      </w:pPr>
    </w:p>
    <w:p w14:paraId="63FD9649" w14:textId="77777777" w:rsidR="00CC0A37" w:rsidRPr="002B6D1C" w:rsidRDefault="00CC0A37" w:rsidP="002D0B07">
      <w:pPr>
        <w:jc w:val="center"/>
        <w:rPr>
          <w:rFonts w:ascii="Times New Roman" w:hAnsi="Times New Roman" w:cs="Times New Roman"/>
          <w:color w:val="000000" w:themeColor="text1"/>
        </w:rPr>
      </w:pPr>
      <w:r w:rsidRPr="002B6D1C">
        <w:rPr>
          <w:rFonts w:ascii="Times New Roman" w:hAnsi="Times New Roman" w:cs="Times New Roman"/>
          <w:noProof/>
          <w:color w:val="000000" w:themeColor="text1"/>
        </w:rPr>
        <w:drawing>
          <wp:inline distT="0" distB="0" distL="0" distR="0" wp14:anchorId="397CF65F" wp14:editId="0A047AE0">
            <wp:extent cx="4204253" cy="1914877"/>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8407" cy="1925878"/>
                    </a:xfrm>
                    <a:prstGeom prst="rect">
                      <a:avLst/>
                    </a:prstGeom>
                    <a:noFill/>
                    <a:ln>
                      <a:noFill/>
                    </a:ln>
                  </pic:spPr>
                </pic:pic>
              </a:graphicData>
            </a:graphic>
          </wp:inline>
        </w:drawing>
      </w:r>
    </w:p>
    <w:p w14:paraId="127B5087"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Fig. S10. (Isotropic) Young-Laplace law infers electromechanical stress in weakly anisotropic cells. </w:t>
      </w:r>
    </w:p>
    <w:p w14:paraId="1FCD1500"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p>
    <w:p w14:paraId="19AB5F31"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b/>
          <w:bCs/>
          <w:color w:val="000000" w:themeColor="text1"/>
        </w:rPr>
        <w:t xml:space="preserve">a, </w:t>
      </w:r>
      <w:r w:rsidRPr="002B6D1C">
        <w:rPr>
          <w:rFonts w:ascii="Times New Roman" w:hAnsi="Times New Roman" w:cs="Times New Roman"/>
          <w:color w:val="000000" w:themeColor="text1"/>
        </w:rPr>
        <w:t xml:space="preserve">Relation between the infinitesimal element of the cell surface, </w:t>
      </w:r>
      <m:oMath>
        <m:r>
          <w:rPr>
            <w:rFonts w:ascii="Cambria Math" w:hAnsi="Cambria Math" w:cs="Times New Roman"/>
            <w:color w:val="000000" w:themeColor="text1"/>
          </w:rPr>
          <m:t>ds</m:t>
        </m:r>
      </m:oMath>
      <w:r w:rsidRPr="002B6D1C">
        <w:rPr>
          <w:rFonts w:ascii="Times New Roman" w:hAnsi="Times New Roman" w:cs="Times New Roman"/>
          <w:color w:val="000000" w:themeColor="text1"/>
        </w:rPr>
        <w:t xml:space="preserve"> and its components in the vertical and horizontal directions, </w:t>
      </w:r>
      <m:oMath>
        <m:r>
          <w:rPr>
            <w:rFonts w:ascii="Cambria Math" w:hAnsi="Cambria Math" w:cs="Times New Roman"/>
            <w:color w:val="000000" w:themeColor="text1"/>
          </w:rPr>
          <m:t>dz</m:t>
        </m:r>
      </m:oMath>
      <w:r w:rsidRPr="002B6D1C">
        <w:rPr>
          <w:rFonts w:ascii="Times New Roman" w:hAnsi="Times New Roman" w:cs="Times New Roman"/>
          <w:color w:val="000000" w:themeColor="text1"/>
        </w:rPr>
        <w:t xml:space="preserve"> and </w:t>
      </w:r>
      <m:oMath>
        <m:r>
          <w:rPr>
            <w:rFonts w:ascii="Cambria Math" w:hAnsi="Cambria Math" w:cs="Times New Roman"/>
            <w:color w:val="000000" w:themeColor="text1"/>
          </w:rPr>
          <m:t>dr</m:t>
        </m:r>
      </m:oMath>
      <w:r w:rsidRPr="002B6D1C">
        <w:rPr>
          <w:rFonts w:ascii="Times New Roman" w:hAnsi="Times New Roman" w:cs="Times New Roman"/>
          <w:color w:val="000000" w:themeColor="text1"/>
        </w:rPr>
        <w:t xml:space="preserve">. Orange arrows denote the axes. </w:t>
      </w:r>
      <w:r w:rsidRPr="002B6D1C">
        <w:rPr>
          <w:rFonts w:ascii="Times New Roman" w:hAnsi="Times New Roman" w:cs="Times New Roman"/>
          <w:b/>
          <w:bCs/>
          <w:color w:val="000000" w:themeColor="text1"/>
        </w:rPr>
        <w:t xml:space="preserve">b, </w:t>
      </w:r>
      <w:r w:rsidRPr="002B6D1C">
        <w:rPr>
          <w:rFonts w:ascii="Times New Roman" w:hAnsi="Times New Roman" w:cs="Times New Roman"/>
          <w:color w:val="000000" w:themeColor="text1"/>
        </w:rPr>
        <w:t>Measure of difference between predicted cell heights of the two different cross-sections of each cell, as a function of measure of difference between the corresponding measured heights. The measure is normalized by the mean of the two cross-sections for each cell. Straight line fit (blue) gives a slope of -0.06. Scatter points are data for individual cells.</w:t>
      </w:r>
    </w:p>
    <w:p w14:paraId="5E6FAB7F" w14:textId="77777777" w:rsidR="00CC0A37" w:rsidRPr="002B6D1C" w:rsidRDefault="00CC0A37" w:rsidP="002D0B07">
      <w:pPr>
        <w:autoSpaceDE w:val="0"/>
        <w:autoSpaceDN w:val="0"/>
        <w:adjustRightInd w:val="0"/>
        <w:jc w:val="both"/>
        <w:rPr>
          <w:rFonts w:ascii="Times New Roman" w:hAnsi="Times New Roman" w:cs="Times New Roman"/>
          <w:color w:val="000000" w:themeColor="text1"/>
        </w:rPr>
      </w:pPr>
    </w:p>
    <w:p w14:paraId="7D131906"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S1. Cell-cell junction brightness increases shortly after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 is applied.</w:t>
      </w:r>
    </w:p>
    <w:p w14:paraId="60B3FEFA"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Phase contrast imaging of a MDCK monolayer shows the cell-cell junction contrast before and after the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 is applied. The experiment is started at no-field (0 V) conditions and the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 is switched on at t = 20 min. Scale bar: </w:t>
      </w:r>
      <m:oMath>
        <m:r>
          <w:rPr>
            <w:rFonts w:ascii="Cambria Math" w:hAnsi="Cambria Math" w:cs="Times New Roman"/>
            <w:color w:val="000000" w:themeColor="text1"/>
          </w:rPr>
          <m:t>10 μm</m:t>
        </m:r>
      </m:oMath>
      <w:r w:rsidRPr="002B6D1C">
        <w:rPr>
          <w:rFonts w:ascii="Times New Roman" w:hAnsi="Times New Roman" w:cs="Times New Roman"/>
          <w:color w:val="000000" w:themeColor="text1"/>
        </w:rPr>
        <w:t>.</w:t>
      </w:r>
    </w:p>
    <w:p w14:paraId="7449AA23" w14:textId="77777777" w:rsidR="00CC0A37" w:rsidRPr="002B6D1C" w:rsidRDefault="00CC0A37" w:rsidP="002D0B07">
      <w:pPr>
        <w:jc w:val="both"/>
        <w:rPr>
          <w:rFonts w:ascii="Times New Roman" w:hAnsi="Times New Roman" w:cs="Times New Roman"/>
          <w:color w:val="000000" w:themeColor="text1"/>
        </w:rPr>
      </w:pPr>
    </w:p>
    <w:p w14:paraId="49110171"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S2. Cell-cell junction brightness remains low under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w:t>
      </w:r>
    </w:p>
    <w:p w14:paraId="2C71284A"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Phase contrast imaging of a MDCK monolayer shows the cell-cell junction contrast during 6 hrs of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 application. Scale bar: </w:t>
      </w:r>
      <m:oMath>
        <m:r>
          <w:rPr>
            <w:rFonts w:ascii="Cambria Math" w:hAnsi="Cambria Math" w:cs="Times New Roman"/>
            <w:color w:val="000000" w:themeColor="text1"/>
          </w:rPr>
          <m:t>15 μm</m:t>
        </m:r>
      </m:oMath>
      <w:r w:rsidRPr="002B6D1C">
        <w:rPr>
          <w:rFonts w:ascii="Times New Roman" w:hAnsi="Times New Roman" w:cs="Times New Roman"/>
          <w:color w:val="000000" w:themeColor="text1"/>
        </w:rPr>
        <w:t>.</w:t>
      </w:r>
    </w:p>
    <w:p w14:paraId="0C23695D" w14:textId="77777777" w:rsidR="00CC0A37" w:rsidRPr="002B6D1C" w:rsidRDefault="00CC0A37" w:rsidP="002D0B07">
      <w:pPr>
        <w:jc w:val="both"/>
        <w:rPr>
          <w:rFonts w:ascii="Times New Roman" w:hAnsi="Times New Roman" w:cs="Times New Roman"/>
          <w:color w:val="000000" w:themeColor="text1"/>
        </w:rPr>
      </w:pPr>
    </w:p>
    <w:p w14:paraId="458DDD64"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S3. Junctional actin intensity is low during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fields and becomes strong after switching to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 for few hours. </w:t>
      </w:r>
    </w:p>
    <w:p w14:paraId="6E731F8A"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Top-down and side-view of confocal imaging GFP-actin MDCK layers. The cells have been under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fields for ~ 10 hours before the imaging started at 0 min, and the field direction is switched to the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direction at t = 100 min. Scale bar: </w:t>
      </w:r>
      <m:oMath>
        <m:r>
          <w:rPr>
            <w:rFonts w:ascii="Cambria Math" w:hAnsi="Cambria Math" w:cs="Times New Roman"/>
            <w:color w:val="000000" w:themeColor="text1"/>
          </w:rPr>
          <m:t>10 μm</m:t>
        </m:r>
      </m:oMath>
      <w:r w:rsidRPr="002B6D1C">
        <w:rPr>
          <w:rFonts w:ascii="Times New Roman" w:hAnsi="Times New Roman" w:cs="Times New Roman"/>
          <w:color w:val="000000" w:themeColor="text1"/>
        </w:rPr>
        <w:t xml:space="preserve">. </w:t>
      </w:r>
    </w:p>
    <w:p w14:paraId="518DE5A5" w14:textId="77777777" w:rsidR="00CC0A37" w:rsidRPr="002B6D1C" w:rsidRDefault="00CC0A37" w:rsidP="002D0B07">
      <w:pPr>
        <w:jc w:val="both"/>
        <w:rPr>
          <w:rFonts w:ascii="Times New Roman" w:hAnsi="Times New Roman" w:cs="Times New Roman"/>
          <w:color w:val="000000" w:themeColor="text1"/>
        </w:rPr>
      </w:pPr>
    </w:p>
    <w:p w14:paraId="4BAFD62A"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S4. Collective live cell extrusions are incurred under long-term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 application.</w:t>
      </w:r>
    </w:p>
    <w:p w14:paraId="33B7E053"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Epifluorescence imaging of a H1-GFP (Histone-1) MDCK monolayer shows the evolution of nucleus/cellular distributions over days during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 application. Bright patches are collective live cell extrusions. Scale bar: </w:t>
      </w:r>
      <m:oMath>
        <m:r>
          <w:rPr>
            <w:rFonts w:ascii="Cambria Math" w:hAnsi="Cambria Math" w:cs="Times New Roman"/>
            <w:color w:val="000000" w:themeColor="text1"/>
          </w:rPr>
          <m:t>50 μm</m:t>
        </m:r>
      </m:oMath>
      <w:r w:rsidRPr="002B6D1C">
        <w:rPr>
          <w:rFonts w:ascii="Times New Roman" w:hAnsi="Times New Roman" w:cs="Times New Roman"/>
          <w:color w:val="000000" w:themeColor="text1"/>
        </w:rPr>
        <w:t>.</w:t>
      </w:r>
    </w:p>
    <w:p w14:paraId="3025AC8A" w14:textId="77777777" w:rsidR="00CC0A37" w:rsidRPr="002B6D1C" w:rsidRDefault="00CC0A37" w:rsidP="002D0B07">
      <w:pPr>
        <w:jc w:val="both"/>
        <w:rPr>
          <w:rFonts w:ascii="Times New Roman" w:hAnsi="Times New Roman" w:cs="Times New Roman"/>
          <w:color w:val="000000" w:themeColor="text1"/>
        </w:rPr>
      </w:pPr>
    </w:p>
    <w:p w14:paraId="3059028D"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S5. Three-dimensional mounds are formed in the N/TERT-1 human skin layers under long-term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 application.</w:t>
      </w:r>
    </w:p>
    <w:p w14:paraId="61C39B96"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Phase contrast and epifluorescence imaging of a FUCCI N/TERT-1 cell line under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fields over 61 hours. Basal progenitor cells are largely grey (with minimal red FUCCI signal indicative of the G1 phase). Non-terminally differentiated, supra-basal cells have clear red FUCCI signal in their nucleus. Large patches of connected red nuclei show the three-dimensional mounds (blue box).  Scale bar: </w:t>
      </w:r>
      <m:oMath>
        <m:r>
          <w:rPr>
            <w:rFonts w:ascii="Cambria Math" w:hAnsi="Cambria Math" w:cs="Times New Roman"/>
            <w:color w:val="000000" w:themeColor="text1"/>
          </w:rPr>
          <m:t>50 μm</m:t>
        </m:r>
      </m:oMath>
      <w:r w:rsidRPr="002B6D1C">
        <w:rPr>
          <w:rFonts w:ascii="Times New Roman" w:hAnsi="Times New Roman" w:cs="Times New Roman"/>
          <w:color w:val="000000" w:themeColor="text1"/>
        </w:rPr>
        <w:t>.</w:t>
      </w:r>
    </w:p>
    <w:p w14:paraId="2834A475" w14:textId="77777777" w:rsidR="00CC0A37" w:rsidRPr="002B6D1C" w:rsidRDefault="00CC0A37" w:rsidP="002D0B07">
      <w:pPr>
        <w:jc w:val="both"/>
        <w:rPr>
          <w:rFonts w:ascii="Times New Roman" w:hAnsi="Times New Roman" w:cs="Times New Roman"/>
          <w:color w:val="000000" w:themeColor="text1"/>
        </w:rPr>
      </w:pPr>
    </w:p>
    <w:p w14:paraId="0695E39D"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S6. MDCK cells stay in the monolayer and undergo high cell death rates under long-term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 application. </w:t>
      </w:r>
    </w:p>
    <w:p w14:paraId="3F49BFF9"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lastRenderedPageBreak/>
        <w:t xml:space="preserve">Epifluorescence imaging of H1-GFP (Histone-1) MDCK monolayer shows the evolution of cell fate over days during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 application. Yellow arrow heads point to fragmented/condensed nucleuses indicative of cell death events. Scale bar: </w:t>
      </w:r>
      <m:oMath>
        <m:r>
          <w:rPr>
            <w:rFonts w:ascii="Cambria Math" w:hAnsi="Cambria Math" w:cs="Times New Roman"/>
            <w:color w:val="000000" w:themeColor="text1"/>
          </w:rPr>
          <m:t>50 μm</m:t>
        </m:r>
      </m:oMath>
      <w:r w:rsidRPr="002B6D1C">
        <w:rPr>
          <w:rFonts w:ascii="Times New Roman" w:hAnsi="Times New Roman" w:cs="Times New Roman"/>
          <w:color w:val="000000" w:themeColor="text1"/>
        </w:rPr>
        <w:t>.</w:t>
      </w:r>
    </w:p>
    <w:p w14:paraId="0B56874E" w14:textId="77777777" w:rsidR="00CC0A37" w:rsidRPr="002B6D1C" w:rsidRDefault="00CC0A37" w:rsidP="002D0B07">
      <w:pPr>
        <w:jc w:val="both"/>
        <w:rPr>
          <w:rFonts w:ascii="Times New Roman" w:hAnsi="Times New Roman" w:cs="Times New Roman"/>
          <w:color w:val="000000" w:themeColor="text1"/>
        </w:rPr>
      </w:pPr>
    </w:p>
    <w:p w14:paraId="119178A1"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S7. N/TERT-1 skin cells undergo high terminal differentiation rates under long-term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 application.</w:t>
      </w:r>
    </w:p>
    <w:p w14:paraId="14CD824C"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Phase contrast and epifluorescence imaging of a FUCCI N/TERT-1 cell line under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fields over 49 hours. Basal stem cells are largely grey (with minimal red FUCCI signal indicative of the G1 phase). Non-terminally differentiated, supra-basal cells have clear red FUCCI signal in their nucleus. Events of disappearance of large, red nucleuses which are replaced by grey condensed nucleus (with bright halo) are differentiation events (verified with </w:t>
      </w:r>
      <w:proofErr w:type="spellStart"/>
      <w:r w:rsidRPr="002B6D1C">
        <w:rPr>
          <w:rFonts w:ascii="Times New Roman" w:hAnsi="Times New Roman" w:cs="Times New Roman"/>
          <w:color w:val="000000" w:themeColor="text1"/>
        </w:rPr>
        <w:t>involucrin</w:t>
      </w:r>
      <w:proofErr w:type="spellEnd"/>
      <w:r w:rsidRPr="002B6D1C">
        <w:rPr>
          <w:rFonts w:ascii="Times New Roman" w:hAnsi="Times New Roman" w:cs="Times New Roman"/>
          <w:color w:val="000000" w:themeColor="text1"/>
        </w:rPr>
        <w:t xml:space="preserve"> staining, see Fig. 4b). Scale bar: </w:t>
      </w:r>
      <m:oMath>
        <m:r>
          <w:rPr>
            <w:rFonts w:ascii="Cambria Math" w:hAnsi="Cambria Math" w:cs="Times New Roman"/>
            <w:color w:val="000000" w:themeColor="text1"/>
          </w:rPr>
          <m:t>20 μm</m:t>
        </m:r>
      </m:oMath>
      <w:r w:rsidRPr="002B6D1C">
        <w:rPr>
          <w:rFonts w:ascii="Times New Roman" w:hAnsi="Times New Roman" w:cs="Times New Roman"/>
          <w:color w:val="000000" w:themeColor="text1"/>
        </w:rPr>
        <w:t>.</w:t>
      </w:r>
    </w:p>
    <w:p w14:paraId="2B0C4DDD" w14:textId="77777777" w:rsidR="00CC0A37" w:rsidRPr="002B6D1C" w:rsidRDefault="00CC0A37" w:rsidP="002D0B07">
      <w:pPr>
        <w:jc w:val="both"/>
        <w:rPr>
          <w:rFonts w:ascii="Times New Roman" w:hAnsi="Times New Roman" w:cs="Times New Roman"/>
          <w:color w:val="000000" w:themeColor="text1"/>
        </w:rPr>
      </w:pPr>
    </w:p>
    <w:p w14:paraId="1213F03A"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S8.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 rescue heterogeneous distribution of MDCK cells on fibronectin-coated soft polyacrylamide gel. </w:t>
      </w:r>
    </w:p>
    <w:p w14:paraId="21F3ABDA" w14:textId="77777777" w:rsidR="00CC0A37" w:rsidRPr="002B6D1C" w:rsidRDefault="00CC0A37" w:rsidP="002D0B07">
      <w:pPr>
        <w:jc w:val="both"/>
        <w:rPr>
          <w:rFonts w:ascii="Times New Roman" w:hAnsi="Times New Roman" w:cs="Times New Roman"/>
          <w:color w:val="000000" w:themeColor="text1"/>
        </w:rPr>
      </w:pPr>
      <w:r w:rsidRPr="002B6D1C">
        <w:rPr>
          <w:rFonts w:ascii="Times New Roman" w:hAnsi="Times New Roman" w:cs="Times New Roman"/>
          <w:color w:val="000000" w:themeColor="text1"/>
        </w:rPr>
        <w:t xml:space="preserve">Imaging of FUCCI MDCK cells shows the evolution of the cell distribution over days on fibronectin-coated gel.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field is applied for the first ~ 100 hours before being switched to the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direction. Bright patches are dense cell regions. Scale bar: </w:t>
      </w:r>
      <m:oMath>
        <m:r>
          <w:rPr>
            <w:rFonts w:ascii="Cambria Math" w:hAnsi="Cambria Math" w:cs="Times New Roman"/>
            <w:color w:val="000000" w:themeColor="text1"/>
          </w:rPr>
          <m:t>50 μm</m:t>
        </m:r>
      </m:oMath>
      <w:r w:rsidRPr="002B6D1C">
        <w:rPr>
          <w:rFonts w:ascii="Times New Roman" w:hAnsi="Times New Roman" w:cs="Times New Roman"/>
          <w:color w:val="000000" w:themeColor="text1"/>
        </w:rPr>
        <w:t xml:space="preserve">. </w:t>
      </w:r>
    </w:p>
    <w:p w14:paraId="1C148850" w14:textId="77777777" w:rsidR="00CC0A37" w:rsidRPr="002B6D1C" w:rsidRDefault="00CC0A37" w:rsidP="002D0B07">
      <w:pPr>
        <w:jc w:val="both"/>
        <w:rPr>
          <w:rFonts w:ascii="Times New Roman" w:hAnsi="Times New Roman" w:cs="Times New Roman"/>
          <w:color w:val="000000" w:themeColor="text1"/>
        </w:rPr>
      </w:pPr>
    </w:p>
    <w:p w14:paraId="5ABE2ECA" w14:textId="77777777" w:rsidR="00CC0A37" w:rsidRPr="002B6D1C" w:rsidRDefault="00CC0A37" w:rsidP="002D0B07">
      <w:pPr>
        <w:autoSpaceDE w:val="0"/>
        <w:autoSpaceDN w:val="0"/>
        <w:adjustRightInd w:val="0"/>
        <w:jc w:val="both"/>
        <w:rPr>
          <w:rFonts w:ascii="Times New Roman" w:hAnsi="Times New Roman" w:cs="Times New Roman"/>
          <w:b/>
          <w:bCs/>
          <w:color w:val="000000" w:themeColor="text1"/>
        </w:rPr>
      </w:pPr>
      <w:r w:rsidRPr="002B6D1C">
        <w:rPr>
          <w:rFonts w:ascii="Times New Roman" w:hAnsi="Times New Roman" w:cs="Times New Roman"/>
          <w:b/>
          <w:bCs/>
          <w:color w:val="000000" w:themeColor="text1"/>
        </w:rPr>
        <w:t xml:space="preserve">Movie S9. </w:t>
      </w:r>
      <w:proofErr w:type="spellStart"/>
      <w:r w:rsidRPr="002B6D1C">
        <w:rPr>
          <w:rFonts w:ascii="Times New Roman" w:hAnsi="Times New Roman" w:cs="Times New Roman"/>
          <w:b/>
          <w:bCs/>
          <w:color w:val="000000" w:themeColor="text1"/>
        </w:rPr>
        <w:t>BtA</w:t>
      </w:r>
      <w:proofErr w:type="spellEnd"/>
      <w:r w:rsidRPr="002B6D1C">
        <w:rPr>
          <w:rFonts w:ascii="Times New Roman" w:hAnsi="Times New Roman" w:cs="Times New Roman"/>
          <w:b/>
          <w:bCs/>
          <w:color w:val="000000" w:themeColor="text1"/>
        </w:rPr>
        <w:t xml:space="preserve"> fields rescue the integrity of E-cadherin KO layers on fibronectin-coated soft polyacrylamide gel, while switching to </w:t>
      </w:r>
      <w:proofErr w:type="spellStart"/>
      <w:r w:rsidRPr="002B6D1C">
        <w:rPr>
          <w:rFonts w:ascii="Times New Roman" w:hAnsi="Times New Roman" w:cs="Times New Roman"/>
          <w:b/>
          <w:bCs/>
          <w:color w:val="000000" w:themeColor="text1"/>
        </w:rPr>
        <w:t>AtB</w:t>
      </w:r>
      <w:proofErr w:type="spellEnd"/>
      <w:r w:rsidRPr="002B6D1C">
        <w:rPr>
          <w:rFonts w:ascii="Times New Roman" w:hAnsi="Times New Roman" w:cs="Times New Roman"/>
          <w:b/>
          <w:bCs/>
          <w:color w:val="000000" w:themeColor="text1"/>
        </w:rPr>
        <w:t xml:space="preserve"> fields disrupt them in few hours.</w:t>
      </w:r>
    </w:p>
    <w:p w14:paraId="4D15F165" w14:textId="77777777" w:rsidR="00CC0A37" w:rsidRPr="002B6D1C" w:rsidRDefault="00CC0A37" w:rsidP="002D0B07">
      <w:pPr>
        <w:jc w:val="both"/>
        <w:rPr>
          <w:rFonts w:ascii="Times New Roman" w:hAnsi="Times New Roman" w:cs="Times New Roman"/>
          <w:color w:val="000000" w:themeColor="text1"/>
          <w:vertAlign w:val="subscript"/>
        </w:rPr>
      </w:pPr>
      <w:r w:rsidRPr="002B6D1C">
        <w:rPr>
          <w:rFonts w:ascii="Times New Roman" w:hAnsi="Times New Roman" w:cs="Times New Roman"/>
          <w:color w:val="000000" w:themeColor="text1"/>
        </w:rPr>
        <w:t xml:space="preserve">Phase contrast imaging of E-cadherin KO MDCK cells under </w:t>
      </w:r>
      <w:proofErr w:type="spellStart"/>
      <w:r w:rsidRPr="002B6D1C">
        <w:rPr>
          <w:rFonts w:ascii="Times New Roman" w:hAnsi="Times New Roman" w:cs="Times New Roman"/>
          <w:color w:val="000000" w:themeColor="text1"/>
        </w:rPr>
        <w:t>BtA</w:t>
      </w:r>
      <w:proofErr w:type="spellEnd"/>
      <w:r w:rsidRPr="002B6D1C">
        <w:rPr>
          <w:rFonts w:ascii="Times New Roman" w:hAnsi="Times New Roman" w:cs="Times New Roman"/>
          <w:color w:val="000000" w:themeColor="text1"/>
        </w:rPr>
        <w:t xml:space="preserve"> fields first, before the field direction is switched to </w:t>
      </w:r>
      <w:proofErr w:type="spellStart"/>
      <w:r w:rsidRPr="002B6D1C">
        <w:rPr>
          <w:rFonts w:ascii="Times New Roman" w:hAnsi="Times New Roman" w:cs="Times New Roman"/>
          <w:color w:val="000000" w:themeColor="text1"/>
        </w:rPr>
        <w:t>AtB</w:t>
      </w:r>
      <w:proofErr w:type="spellEnd"/>
      <w:r w:rsidRPr="002B6D1C">
        <w:rPr>
          <w:rFonts w:ascii="Times New Roman" w:hAnsi="Times New Roman" w:cs="Times New Roman"/>
          <w:color w:val="000000" w:themeColor="text1"/>
        </w:rPr>
        <w:t xml:space="preserve"> at t ~ 166 hr. Smooth, dark regions are gaps without cells. Scale bar: </w:t>
      </w:r>
      <m:oMath>
        <m:r>
          <w:rPr>
            <w:rFonts w:ascii="Cambria Math" w:hAnsi="Cambria Math" w:cs="Times New Roman"/>
            <w:color w:val="000000" w:themeColor="text1"/>
          </w:rPr>
          <m:t>30 μm</m:t>
        </m:r>
      </m:oMath>
      <w:r w:rsidRPr="002B6D1C">
        <w:rPr>
          <w:rFonts w:ascii="Times New Roman" w:hAnsi="Times New Roman" w:cs="Times New Roman"/>
          <w:color w:val="000000" w:themeColor="text1"/>
        </w:rPr>
        <w:t>.</w:t>
      </w:r>
    </w:p>
    <w:p w14:paraId="3B3C888F" w14:textId="044BD7FC" w:rsidR="00CC0A37" w:rsidRPr="002B6D1C" w:rsidRDefault="00CC0A37" w:rsidP="0078316A">
      <w:pPr>
        <w:jc w:val="both"/>
        <w:rPr>
          <w:rFonts w:ascii="Times New Roman" w:hAnsi="Times New Roman" w:cs="Times New Roman"/>
          <w:color w:val="000000" w:themeColor="text1"/>
        </w:rPr>
      </w:pPr>
    </w:p>
    <w:p w14:paraId="1C4FA154" w14:textId="77777777" w:rsidR="00CC0A37" w:rsidRPr="002B6D1C" w:rsidRDefault="00CC0A37" w:rsidP="00676D94">
      <w:pPr>
        <w:jc w:val="both"/>
        <w:rPr>
          <w:rFonts w:ascii="Times New Roman" w:hAnsi="Times New Roman" w:cs="Times New Roman"/>
          <w:color w:val="000000" w:themeColor="text1"/>
          <w:lang w:val="en-US"/>
        </w:rPr>
      </w:pPr>
      <w:r w:rsidRPr="002B6D1C">
        <w:rPr>
          <w:rFonts w:ascii="Times New Roman" w:hAnsi="Times New Roman" w:cs="Times New Roman"/>
          <w:color w:val="000000" w:themeColor="text1"/>
          <w:lang w:val="en-US"/>
        </w:rPr>
        <w:t xml:space="preserve"> </w:t>
      </w:r>
    </w:p>
    <w:p w14:paraId="35ECE304" w14:textId="77777777" w:rsidR="00CC0A37" w:rsidRPr="002B6D1C" w:rsidRDefault="00CC0A37" w:rsidP="00676D94">
      <w:pPr>
        <w:jc w:val="both"/>
        <w:rPr>
          <w:rFonts w:ascii="Times New Roman" w:hAnsi="Times New Roman" w:cs="Times New Roman"/>
          <w:color w:val="000000" w:themeColor="text1"/>
          <w:lang w:val="en-US"/>
        </w:rPr>
      </w:pPr>
    </w:p>
    <w:p w14:paraId="5BCDDF93" w14:textId="77777777" w:rsidR="00CC0A37" w:rsidRPr="002B6D1C" w:rsidRDefault="00CC0A37" w:rsidP="00676D94">
      <w:pPr>
        <w:jc w:val="both"/>
        <w:rPr>
          <w:rFonts w:ascii="Times New Roman" w:hAnsi="Times New Roman" w:cs="Times New Roman"/>
          <w:color w:val="000000" w:themeColor="text1"/>
          <w:lang w:val="en-US"/>
        </w:rPr>
      </w:pPr>
    </w:p>
    <w:p w14:paraId="0407036A" w14:textId="77777777" w:rsidR="00CC0A37" w:rsidRPr="002B6D1C" w:rsidRDefault="00CC0A37" w:rsidP="0078316A">
      <w:pPr>
        <w:jc w:val="both"/>
        <w:rPr>
          <w:rFonts w:ascii="Times New Roman" w:hAnsi="Times New Roman" w:cs="Times New Roman"/>
          <w:color w:val="000000" w:themeColor="text1"/>
        </w:rPr>
      </w:pPr>
    </w:p>
    <w:p w14:paraId="1C1ABA66" w14:textId="77777777" w:rsidR="00A83ECE" w:rsidRDefault="00A83ECE"/>
    <w:sectPr w:rsidR="00A83E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115F0"/>
    <w:multiLevelType w:val="hybridMultilevel"/>
    <w:tmpl w:val="C0AAB12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5E7C77CB"/>
    <w:multiLevelType w:val="hybridMultilevel"/>
    <w:tmpl w:val="F06875B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C0A37"/>
    <w:rsid w:val="0053029F"/>
    <w:rsid w:val="005B28A0"/>
    <w:rsid w:val="00895954"/>
    <w:rsid w:val="009C2D23"/>
    <w:rsid w:val="00A83ECE"/>
    <w:rsid w:val="00CC0A3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6223E"/>
  <w15:chartTrackingRefBased/>
  <w15:docId w15:val="{AA37DDA3-7644-41E5-95A8-A832EA95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37"/>
  </w:style>
  <w:style w:type="paragraph" w:styleId="Heading1">
    <w:name w:val="heading 1"/>
    <w:basedOn w:val="Normal"/>
    <w:next w:val="Normal"/>
    <w:link w:val="Heading1Char"/>
    <w:uiPriority w:val="9"/>
    <w:qFormat/>
    <w:rsid w:val="00CC0A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A3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CC0A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A37"/>
    <w:rPr>
      <w:rFonts w:ascii="Segoe UI" w:hAnsi="Segoe UI" w:cs="Segoe UI"/>
      <w:sz w:val="18"/>
      <w:szCs w:val="18"/>
    </w:rPr>
  </w:style>
  <w:style w:type="character" w:styleId="PlaceholderText">
    <w:name w:val="Placeholder Text"/>
    <w:basedOn w:val="DefaultParagraphFont"/>
    <w:uiPriority w:val="99"/>
    <w:semiHidden/>
    <w:rsid w:val="00CC0A37"/>
    <w:rPr>
      <w:color w:val="808080"/>
    </w:rPr>
  </w:style>
  <w:style w:type="paragraph" w:customStyle="1" w:styleId="EndNoteBibliographyTitle">
    <w:name w:val="EndNote Bibliography Title"/>
    <w:basedOn w:val="Normal"/>
    <w:link w:val="EndNoteBibliographyTitleChar"/>
    <w:rsid w:val="00CC0A37"/>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CC0A37"/>
    <w:rPr>
      <w:rFonts w:ascii="Times New Roman" w:hAnsi="Times New Roman" w:cs="Times New Roman"/>
      <w:noProof/>
    </w:rPr>
  </w:style>
  <w:style w:type="paragraph" w:customStyle="1" w:styleId="EndNoteBibliography">
    <w:name w:val="EndNote Bibliography"/>
    <w:basedOn w:val="Normal"/>
    <w:link w:val="EndNoteBibliographyChar"/>
    <w:rsid w:val="00CC0A37"/>
    <w:pPr>
      <w:spacing w:line="240" w:lineRule="auto"/>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CC0A37"/>
    <w:rPr>
      <w:rFonts w:ascii="Times New Roman" w:hAnsi="Times New Roman" w:cs="Times New Roman"/>
      <w:noProof/>
    </w:rPr>
  </w:style>
  <w:style w:type="paragraph" w:styleId="ListParagraph">
    <w:name w:val="List Paragraph"/>
    <w:basedOn w:val="Normal"/>
    <w:uiPriority w:val="34"/>
    <w:qFormat/>
    <w:rsid w:val="00CC0A37"/>
    <w:pPr>
      <w:ind w:left="720"/>
      <w:contextualSpacing/>
    </w:pPr>
  </w:style>
  <w:style w:type="character" w:styleId="CommentReference">
    <w:name w:val="annotation reference"/>
    <w:basedOn w:val="DefaultParagraphFont"/>
    <w:uiPriority w:val="99"/>
    <w:semiHidden/>
    <w:unhideWhenUsed/>
    <w:rsid w:val="00CC0A37"/>
    <w:rPr>
      <w:sz w:val="16"/>
      <w:szCs w:val="16"/>
    </w:rPr>
  </w:style>
  <w:style w:type="paragraph" w:styleId="CommentText">
    <w:name w:val="annotation text"/>
    <w:basedOn w:val="Normal"/>
    <w:link w:val="CommentTextChar"/>
    <w:uiPriority w:val="99"/>
    <w:unhideWhenUsed/>
    <w:rsid w:val="00CC0A37"/>
    <w:pPr>
      <w:spacing w:line="240" w:lineRule="auto"/>
    </w:pPr>
    <w:rPr>
      <w:sz w:val="20"/>
      <w:szCs w:val="20"/>
    </w:rPr>
  </w:style>
  <w:style w:type="character" w:customStyle="1" w:styleId="CommentTextChar">
    <w:name w:val="Comment Text Char"/>
    <w:basedOn w:val="DefaultParagraphFont"/>
    <w:link w:val="CommentText"/>
    <w:uiPriority w:val="99"/>
    <w:rsid w:val="00CC0A37"/>
    <w:rPr>
      <w:sz w:val="20"/>
      <w:szCs w:val="20"/>
    </w:rPr>
  </w:style>
  <w:style w:type="paragraph" w:styleId="CommentSubject">
    <w:name w:val="annotation subject"/>
    <w:basedOn w:val="CommentText"/>
    <w:next w:val="CommentText"/>
    <w:link w:val="CommentSubjectChar"/>
    <w:uiPriority w:val="99"/>
    <w:semiHidden/>
    <w:unhideWhenUsed/>
    <w:rsid w:val="00CC0A37"/>
    <w:rPr>
      <w:b/>
      <w:bCs/>
    </w:rPr>
  </w:style>
  <w:style w:type="character" w:customStyle="1" w:styleId="CommentSubjectChar">
    <w:name w:val="Comment Subject Char"/>
    <w:basedOn w:val="CommentTextChar"/>
    <w:link w:val="CommentSubject"/>
    <w:uiPriority w:val="99"/>
    <w:semiHidden/>
    <w:rsid w:val="00CC0A37"/>
    <w:rPr>
      <w:b/>
      <w:bCs/>
      <w:sz w:val="20"/>
      <w:szCs w:val="20"/>
    </w:rPr>
  </w:style>
  <w:style w:type="paragraph" w:styleId="Revision">
    <w:name w:val="Revision"/>
    <w:hidden/>
    <w:uiPriority w:val="99"/>
    <w:semiHidden/>
    <w:rsid w:val="00CC0A37"/>
    <w:pPr>
      <w:spacing w:after="0" w:line="240" w:lineRule="auto"/>
    </w:pPr>
  </w:style>
  <w:style w:type="character" w:styleId="Hyperlink">
    <w:name w:val="Hyperlink"/>
    <w:basedOn w:val="DefaultParagraphFont"/>
    <w:uiPriority w:val="99"/>
    <w:unhideWhenUsed/>
    <w:rsid w:val="00CC0A37"/>
    <w:rPr>
      <w:color w:val="0563C1" w:themeColor="hyperlink"/>
      <w:u w:val="single"/>
    </w:rPr>
  </w:style>
  <w:style w:type="character" w:customStyle="1" w:styleId="UnresolvedMention1">
    <w:name w:val="Unresolved Mention1"/>
    <w:basedOn w:val="DefaultParagraphFont"/>
    <w:uiPriority w:val="99"/>
    <w:semiHidden/>
    <w:unhideWhenUsed/>
    <w:rsid w:val="00CC0A37"/>
    <w:rPr>
      <w:color w:val="605E5C"/>
      <w:shd w:val="clear" w:color="auto" w:fill="E1DFDD"/>
    </w:rPr>
  </w:style>
  <w:style w:type="table" w:styleId="TableGrid">
    <w:name w:val="Table Grid"/>
    <w:basedOn w:val="TableNormal"/>
    <w:uiPriority w:val="39"/>
    <w:rsid w:val="00CC0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
    <w:name w:val="Legend"/>
    <w:basedOn w:val="Normal"/>
    <w:rsid w:val="00CC0A37"/>
    <w:pPr>
      <w:keepNext/>
      <w:spacing w:before="240" w:after="0" w:line="240" w:lineRule="auto"/>
      <w:outlineLvl w:val="0"/>
    </w:pPr>
    <w:rPr>
      <w:rFonts w:ascii="Times New Roman" w:eastAsia="Times New Roman" w:hAnsi="Times New Roman" w:cs="Times New Roman"/>
      <w:kern w:val="28"/>
      <w:sz w:val="24"/>
      <w:szCs w:val="24"/>
      <w:lang w:val="en-US" w:eastAsia="en-US"/>
    </w:rPr>
  </w:style>
  <w:style w:type="paragraph" w:customStyle="1" w:styleId="SMHeading">
    <w:name w:val="SM Heading"/>
    <w:basedOn w:val="Heading1"/>
    <w:qFormat/>
    <w:rsid w:val="00CC0A37"/>
    <w:pPr>
      <w:keepLines w:val="0"/>
      <w:spacing w:after="60" w:line="240" w:lineRule="auto"/>
    </w:pPr>
    <w:rPr>
      <w:rFonts w:ascii="Times New Roman" w:eastAsia="Times New Roman" w:hAnsi="Times New Roman" w:cs="Times New Roman"/>
      <w:b/>
      <w:bCs/>
      <w:color w:val="auto"/>
      <w:kern w:val="32"/>
      <w:sz w:val="24"/>
      <w:szCs w:val="24"/>
      <w:lang w:val="en-US" w:eastAsia="en-US"/>
    </w:rPr>
  </w:style>
  <w:style w:type="paragraph" w:customStyle="1" w:styleId="SMcaption">
    <w:name w:val="SM caption"/>
    <w:basedOn w:val="Normal"/>
    <w:qFormat/>
    <w:rsid w:val="00CC0A37"/>
    <w:pPr>
      <w:spacing w:after="0" w:line="240" w:lineRule="auto"/>
    </w:pPr>
    <w:rPr>
      <w:rFonts w:ascii="Times New Roman" w:eastAsia="Times New Roman" w:hAnsi="Times New Roman" w:cs="Times New Roman"/>
      <w:sz w:val="24"/>
      <w:szCs w:val="20"/>
      <w:lang w:val="en-US" w:eastAsia="en-US"/>
    </w:rPr>
  </w:style>
  <w:style w:type="character" w:styleId="UnresolvedMention">
    <w:name w:val="Unresolved Mention"/>
    <w:basedOn w:val="DefaultParagraphFont"/>
    <w:uiPriority w:val="99"/>
    <w:semiHidden/>
    <w:unhideWhenUsed/>
    <w:rsid w:val="00CC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1530</Words>
  <Characters>8724</Characters>
  <Application>Microsoft Office Word</Application>
  <DocSecurity>0</DocSecurity>
  <Lines>72</Lines>
  <Paragraphs>20</Paragraphs>
  <ScaleCrop>false</ScaleCrop>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Thuan Beng Saw</dc:creator>
  <cp:keywords/>
  <dc:description/>
  <cp:lastModifiedBy>Thuan Beng Saw</cp:lastModifiedBy>
  <cp:revision>5</cp:revision>
  <dcterms:created xsi:type="dcterms:W3CDTF">2021-07-17T09:25:00Z</dcterms:created>
  <dcterms:modified xsi:type="dcterms:W3CDTF">2021-07-17T09:31:00Z</dcterms:modified>
</cp:coreProperties>
</file>