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AC0" w:rsidRDefault="00A83AC0" w:rsidP="00A83AC0">
      <w:pPr>
        <w:widowControl/>
        <w:spacing w:after="120" w:line="480" w:lineRule="auto"/>
        <w:jc w:val="left"/>
        <w:outlineLvl w:val="0"/>
        <w:rPr>
          <w:rFonts w:ascii="Times New Roman" w:eastAsia="SimSun" w:hAnsi="Times New Roman" w:cs="Times New Roman"/>
          <w:b/>
          <w:bCs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Supplementary information</w:t>
      </w:r>
    </w:p>
    <w:p w:rsidR="00A83AC0" w:rsidRDefault="00A83AC0" w:rsidP="00A83AC0">
      <w:pPr>
        <w:widowControl/>
        <w:spacing w:after="120" w:line="480" w:lineRule="auto"/>
        <w:jc w:val="left"/>
        <w:outlineLvl w:val="0"/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 xml:space="preserve">Additional file 1: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S1. Subjects characteristics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kern w:val="0"/>
          <w:sz w:val="24"/>
          <w:szCs w:val="24"/>
          <w:shd w:val="clear" w:color="auto" w:fill="FFFFFF"/>
        </w:rPr>
        <w:t>.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S2. Log2 (fold-change) of clinical indicators after treatment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kern w:val="0"/>
          <w:sz w:val="24"/>
          <w:szCs w:val="24"/>
          <w:shd w:val="clear" w:color="auto" w:fill="FFFFFF"/>
        </w:rPr>
        <w:t>.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S3. Gut microbiome features in patients with COVID-19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kern w:val="0"/>
          <w:sz w:val="24"/>
          <w:szCs w:val="24"/>
          <w:shd w:val="clear" w:color="auto" w:fill="FFFFFF"/>
        </w:rPr>
        <w:t>.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S4. Gut transcriptional activity features in patients with COVID-19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kern w:val="0"/>
          <w:sz w:val="24"/>
          <w:szCs w:val="24"/>
          <w:shd w:val="clear" w:color="auto" w:fill="FFFFFF"/>
        </w:rPr>
        <w:t>.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S5. Gut microbiome pathways in patients with COVID-19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.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S6. Transcriptionally active virulence factors in the COVID-19 patients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.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S7. Contributing species of virulence factors in the COVID-19 patients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kern w:val="0"/>
          <w:sz w:val="24"/>
          <w:szCs w:val="24"/>
          <w:shd w:val="clear" w:color="auto" w:fill="FFFFFF"/>
        </w:rPr>
        <w:t>.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S8. Antibiotics that transcriptionally active ARGs conferring resistance to in the COVID-19 patients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kern w:val="0"/>
          <w:sz w:val="24"/>
          <w:szCs w:val="24"/>
          <w:shd w:val="clear" w:color="auto" w:fill="FFFFFF"/>
        </w:rPr>
        <w:t>.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S9.  Transcriptionally active ARGs in the COVID-19 patients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kern w:val="0"/>
          <w:sz w:val="24"/>
          <w:szCs w:val="24"/>
          <w:shd w:val="clear" w:color="auto" w:fill="FFFFFF"/>
        </w:rPr>
        <w:t>.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Table S10. Log2 (fold-change) of gut microbiome features after treatment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kern w:val="0"/>
          <w:sz w:val="24"/>
          <w:szCs w:val="24"/>
          <w:shd w:val="clear" w:color="auto" w:fill="FFFFFF"/>
        </w:rPr>
        <w:t>.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 xml:space="preserve">Table S11. Log2 (fold-change) of gut microbial transcriptional </w:t>
      </w:r>
      <w:proofErr w:type="spellStart"/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activitiy</w:t>
      </w:r>
      <w:proofErr w:type="spellEnd"/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 xml:space="preserve"> after treatment.</w:t>
      </w:r>
    </w:p>
    <w:p w:rsidR="00A83AC0" w:rsidRDefault="00A83AC0" w:rsidP="00A83AC0">
      <w:pPr>
        <w:widowControl/>
        <w:spacing w:after="120" w:line="480" w:lineRule="auto"/>
        <w:jc w:val="left"/>
        <w:outlineLvl w:val="0"/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 xml:space="preserve">Additional file 2: </w:t>
      </w:r>
      <w:r>
        <w:rPr>
          <w:rFonts w:ascii="Times New Roman" w:eastAsia="SimSun" w:hAnsi="Times New Roman" w:cs="Times New Roman"/>
          <w:color w:val="000000" w:themeColor="text1"/>
          <w:spacing w:val="3"/>
          <w:kern w:val="0"/>
          <w:sz w:val="24"/>
          <w:szCs w:val="24"/>
          <w:shd w:val="clear" w:color="auto" w:fill="FFFFFF"/>
          <w:lang w:eastAsia="en-US"/>
        </w:rPr>
        <w:t>Figure S1. Relative abundance of top 20 taxonomic genus in COVID-19, and non-COVID-19 pneumonia controls. Figure S2. Strain-level cluster tree of Escherichia coli based the BC (Bray-Curtis) distance of presence/absence gene-family profile. Figure S3. Box plots showing the top 10 most abundant antibiotic resistance targets (a) and antibiotic resistance genes (b).</w:t>
      </w:r>
    </w:p>
    <w:p w:rsidR="00737529" w:rsidRDefault="00737529">
      <w:bookmarkStart w:id="0" w:name="_GoBack"/>
      <w:bookmarkEnd w:id="0"/>
    </w:p>
    <w:sectPr w:rsidR="007375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AC0"/>
    <w:rsid w:val="00737529"/>
    <w:rsid w:val="00A8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4CB249-8043-4BC7-8950-D257A2592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3AC0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1045</Characters>
  <Application>Microsoft Office Word</Application>
  <DocSecurity>0</DocSecurity>
  <Lines>8</Lines>
  <Paragraphs>2</Paragraphs>
  <ScaleCrop>false</ScaleCrop>
  <Company>Springer Nature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2020-09-10T06:55:00Z</dcterms:created>
  <dcterms:modified xsi:type="dcterms:W3CDTF">2020-09-10T06:55:00Z</dcterms:modified>
</cp:coreProperties>
</file>