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29260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64D9B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FC2042" w14:textId="77777777" w:rsidR="00ED615F" w:rsidRDefault="00ED615F" w:rsidP="00ED615F">
      <w:pPr>
        <w:pStyle w:val="Title"/>
        <w:ind w:left="720"/>
        <w:jc w:val="center"/>
      </w:pPr>
      <w:bookmarkStart w:id="0" w:name="_5o084kd38bgr" w:colFirst="0" w:colLast="0"/>
      <w:bookmarkEnd w:id="0"/>
      <w:r>
        <w:t>Supplementary Figures</w:t>
      </w:r>
    </w:p>
    <w:p w14:paraId="056E3B81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A9F3BE4" wp14:editId="09C9722C">
            <wp:extent cx="5943600" cy="2362200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ED67D4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S1. Sea surface temperature anomalies during each HPD type, as well as their respective non-HPDs. The difference between HPDs and non-HPDs is also shown. The hatched regions are anomalies that are statistically significant at the 95 % confidence level.</w:t>
      </w:r>
    </w:p>
    <w:p w14:paraId="5EB5110C" w14:textId="77777777" w:rsidR="00ED615F" w:rsidRDefault="00ED615F" w:rsidP="00ED615F">
      <w:pPr>
        <w:spacing w:line="480" w:lineRule="auto"/>
        <w:jc w:val="both"/>
      </w:pPr>
    </w:p>
    <w:p w14:paraId="635BDBE3" w14:textId="77777777" w:rsidR="00ED615F" w:rsidRDefault="00ED615F" w:rsidP="00ED615F">
      <w:pPr>
        <w:spacing w:line="480" w:lineRule="auto"/>
        <w:jc w:val="both"/>
      </w:pPr>
    </w:p>
    <w:p w14:paraId="560F8E32" w14:textId="77777777" w:rsidR="00ED615F" w:rsidRDefault="00ED615F" w:rsidP="00ED615F">
      <w:pPr>
        <w:spacing w:line="480" w:lineRule="auto"/>
        <w:jc w:val="both"/>
      </w:pPr>
    </w:p>
    <w:p w14:paraId="2DCF023C" w14:textId="77777777" w:rsidR="00ED615F" w:rsidRDefault="00ED615F" w:rsidP="00ED615F">
      <w:pPr>
        <w:spacing w:line="480" w:lineRule="auto"/>
        <w:jc w:val="both"/>
      </w:pPr>
    </w:p>
    <w:p w14:paraId="79958B1D" w14:textId="77777777" w:rsidR="00ED615F" w:rsidRDefault="00ED615F" w:rsidP="00ED615F">
      <w:pPr>
        <w:spacing w:line="480" w:lineRule="auto"/>
        <w:jc w:val="both"/>
      </w:pPr>
    </w:p>
    <w:p w14:paraId="7906D723" w14:textId="77777777" w:rsidR="00ED615F" w:rsidRDefault="00ED615F" w:rsidP="00ED615F">
      <w:pPr>
        <w:spacing w:line="480" w:lineRule="auto"/>
        <w:jc w:val="both"/>
      </w:pPr>
    </w:p>
    <w:p w14:paraId="16784072" w14:textId="77777777" w:rsidR="00ED615F" w:rsidRDefault="00ED615F" w:rsidP="00ED615F">
      <w:pPr>
        <w:spacing w:line="480" w:lineRule="auto"/>
        <w:jc w:val="both"/>
      </w:pPr>
    </w:p>
    <w:p w14:paraId="1E4D0A17" w14:textId="77777777" w:rsidR="00ED615F" w:rsidRDefault="00ED615F" w:rsidP="00ED615F">
      <w:pPr>
        <w:spacing w:line="480" w:lineRule="auto"/>
        <w:jc w:val="both"/>
      </w:pPr>
    </w:p>
    <w:p w14:paraId="0C88E26F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102DBB62" wp14:editId="457A5753">
            <wp:extent cx="5943600" cy="31750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637A23" w14:textId="77777777" w:rsidR="00ED615F" w:rsidRDefault="00ED615F" w:rsidP="00ED615F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Figure S2. Vertically integrated specific humidity anomalies during each HPD type, as well as their respective non-HPDs. The difference between HPDs and non-HPDs is also shown. The hatched regions are anomalies that are statistically significant at the 95 % confidence level.</w:t>
      </w:r>
    </w:p>
    <w:p w14:paraId="55518B4C" w14:textId="77777777" w:rsidR="00ED615F" w:rsidRDefault="00ED615F" w:rsidP="00ED615F"/>
    <w:p w14:paraId="3459C2BE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0174D1E4" wp14:editId="79A4B6EC">
            <wp:extent cx="5943600" cy="6007100"/>
            <wp:effectExtent l="0" t="0" r="0" b="0"/>
            <wp:docPr id="12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90CE95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S3.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days preceding the first day of the HPE during direct TC HPEs (a-f) and direct TC non-HPEs (g-l). The hatched regions are anomalies that are statistically significant at the 95 % confidence level.</w:t>
      </w:r>
    </w:p>
    <w:p w14:paraId="385228FC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FB12F4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12F874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D23D81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8E3CA8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B9B4C0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57FAAC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3F0A6430" wp14:editId="0CB24C66">
            <wp:extent cx="5943600" cy="6007100"/>
            <wp:effectExtent l="0" t="0" r="0" b="0"/>
            <wp:docPr id="7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3878EB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S4.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days succeeding the first day of the HPE during direct TC HPEs (a-f) and direct TC non-HPEs (g-l). The hatched regions are anomalies that are statistically significant at the 95 % confidence level.</w:t>
      </w:r>
    </w:p>
    <w:p w14:paraId="4483A072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AEFD6D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3CE111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9311EF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23BF9C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2F29990E" wp14:editId="69E18A2C">
            <wp:extent cx="5943600" cy="6007100"/>
            <wp:effectExtent l="0" t="0" r="0" b="0"/>
            <wp:docPr id="22" name="image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7AAFF2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S5.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days preceding the first day of the HPE during indirect TC HPEs (a-f) and indirect TC non-HPEs (g-l). The hatched regions are anomalies that are statistically significant at the 95 % confidence level.</w:t>
      </w:r>
    </w:p>
    <w:p w14:paraId="06BC9C74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AB0D6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EEB90A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3D906C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DA4645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0C7E9CE5" wp14:editId="7055A7AC">
            <wp:extent cx="5943600" cy="6007100"/>
            <wp:effectExtent l="0" t="0" r="0" b="0"/>
            <wp:docPr id="19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C68009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S6.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days succeeding the first day of the HPE during indirect TC HPEs (a-f) and indirect TC non-HPEs (g-l). The hatched regions are anomalies that are statistically significant at the 95 % confidence level.</w:t>
      </w:r>
    </w:p>
    <w:p w14:paraId="792AB13B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DE2E13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9A82AA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93A606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550E19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210E7150" wp14:editId="421DDF68">
            <wp:extent cx="5943600" cy="6007100"/>
            <wp:effectExtent l="0" t="0" r="0" b="0"/>
            <wp:docPr id="23" name="image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g"/>
                    <pic:cNvPicPr preferRelativeResize="0"/>
                  </pic:nvPicPr>
                  <pic:blipFill>
                    <a:blip r:embed="rId10"/>
                    <a:srcRect t="33" b="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0A875C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S7.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 preceding the first day of the HPE during SWM HPEs (a-f) and SWM non-HPEs (g-l). The hatched regions are anomalies that are statistically significant at the 95 % confidence level.</w:t>
      </w:r>
    </w:p>
    <w:p w14:paraId="14F7A9B1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35B9E6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299B26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31DE8A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3336E4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CD8BBD" w14:textId="77777777" w:rsidR="00ED615F" w:rsidRDefault="00ED615F" w:rsidP="00ED615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F106E5A" wp14:editId="046636CF">
            <wp:extent cx="5943600" cy="6007100"/>
            <wp:effectExtent l="0" t="0" r="0" b="0"/>
            <wp:docPr id="17" name="image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/>
                    <pic:cNvPicPr preferRelativeResize="0"/>
                  </pic:nvPicPr>
                  <pic:blipFill>
                    <a:blip r:embed="rId11"/>
                    <a:srcRect t="33" b="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0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76B35F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S8. Surface latent heat flux anomalies (W 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; shaded), and 10 meter horizontal wind anomalies (10 m 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; vectors) anomalies for the day succeeding the first day of the HPE during SWM HPEs (a-f) and SWM non-HPEs (g-l). The hatched regions are anomalies that are statistically significant at the 95 % confidence level.</w:t>
      </w:r>
    </w:p>
    <w:p w14:paraId="7ACC0898" w14:textId="77777777" w:rsidR="00ED615F" w:rsidRDefault="00ED615F" w:rsidP="00ED61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729B32" w14:textId="77777777" w:rsidR="00ED615F" w:rsidRDefault="00ED615F" w:rsidP="00ED61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B876E6" w14:textId="77777777" w:rsidR="00ED615F" w:rsidRDefault="00ED615F" w:rsidP="00ED61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B63611" w14:textId="77777777" w:rsidR="00ED615F" w:rsidRDefault="00ED615F" w:rsidP="00ED61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44E752" w14:textId="77777777" w:rsidR="00ED615F" w:rsidRDefault="00ED615F" w:rsidP="00ED61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60515AF2" wp14:editId="68679B40">
            <wp:extent cx="5943600" cy="3238500"/>
            <wp:effectExtent l="0" t="0" r="0" b="0"/>
            <wp:docPr id="1" name="image9.png" descr="A graph with different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 descr="A graph with different colored lines&#10;&#10;AI-generated content may be incorrect.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6AF0A8" w14:textId="77777777" w:rsidR="00ED615F" w:rsidRDefault="00ED615F" w:rsidP="00ED61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S9. Moisture flux anomalies averaged over R1, R2, and R3 for each BSISO phase from 1981 to 2022.</w:t>
      </w:r>
    </w:p>
    <w:p w14:paraId="462C2E54" w14:textId="77777777" w:rsidR="00EB4A2D" w:rsidRDefault="00EB4A2D"/>
    <w:sectPr w:rsidR="00EB4A2D" w:rsidSect="00ED615F"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FE77A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15F"/>
    <w:rsid w:val="001C68AF"/>
    <w:rsid w:val="005C0D39"/>
    <w:rsid w:val="0070406C"/>
    <w:rsid w:val="00724754"/>
    <w:rsid w:val="00C321FA"/>
    <w:rsid w:val="00EB4A2D"/>
    <w:rsid w:val="00ED6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70A79"/>
  <w15:chartTrackingRefBased/>
  <w15:docId w15:val="{17C0016D-CFC2-4EDC-BE7A-4C8D29F64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15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1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1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1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1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1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1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1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1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1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1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1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1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1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1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1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1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1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1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6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1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6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1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61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1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61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1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1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15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D6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2025-09-01T06:49:00Z</dcterms:created>
  <dcterms:modified xsi:type="dcterms:W3CDTF">2025-09-01T06:49:00Z</dcterms:modified>
</cp:coreProperties>
</file>