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left"/>
        <w:rPr>
          <w:rFonts w:hint="default" w:ascii="Times New Roman Bold" w:hAnsi="Times New Roman Bold" w:cs="Times New Roman Bold"/>
          <w:b/>
          <w:bCs/>
          <w:sz w:val="24"/>
          <w:szCs w:val="24"/>
          <w:lang w:val="en-US" w:eastAsia="zh-CN"/>
        </w:rPr>
      </w:pPr>
      <w:r>
        <w:rPr>
          <w:rFonts w:hint="default" w:ascii="Times New Roman Bold" w:hAnsi="Times New Roman Bold" w:cs="Times New Roman Bold"/>
          <w:b/>
          <w:bCs/>
          <w:sz w:val="24"/>
          <w:szCs w:val="24"/>
          <w:lang w:val="en-US" w:eastAsia="zh-CN"/>
        </w:rPr>
        <w:t>Highlights</w:t>
      </w:r>
    </w:p>
    <w:p>
      <w:pPr>
        <w:keepNext w:val="0"/>
        <w:keepLines w:val="0"/>
        <w:widowControl/>
        <w:suppressLineNumbers w:val="0"/>
        <w:spacing w:line="360" w:lineRule="auto"/>
        <w:ind w:firstLine="480" w:firstLineChars="200"/>
        <w:jc w:val="left"/>
        <w:rPr>
          <w:rFonts w:hint="default" w:ascii="Times New Roman Regular" w:hAnsi="Times New Roman Regular" w:eastAsia="PingFang SC" w:cs="Times New Roman Regular"/>
          <w:i w:val="0"/>
          <w:iCs w:val="0"/>
          <w:caps w:val="0"/>
          <w:color w:val="000000" w:themeColor="text1"/>
          <w:spacing w:val="0"/>
          <w:kern w:val="0"/>
          <w:sz w:val="24"/>
          <w:szCs w:val="24"/>
          <w:shd w:val="clear" w:fill="FFFFFF"/>
          <w:lang w:val="en-US" w:eastAsia="zh-CN" w:bidi="ar"/>
          <w14:textFill>
            <w14:solidFill>
              <w14:schemeClr w14:val="tx1"/>
            </w14:solidFill>
          </w14:textFill>
        </w:rPr>
      </w:pPr>
      <w:r>
        <w:rPr>
          <w:rFonts w:hint="eastAsia" w:ascii="Times New Roman Regular" w:hAnsi="Times New Roman Regular" w:eastAsia="PingFang SC" w:cs="Times New Roman Regular"/>
          <w:i w:val="0"/>
          <w:iCs w:val="0"/>
          <w:caps w:val="0"/>
          <w:color w:val="000000" w:themeColor="text1"/>
          <w:spacing w:val="0"/>
          <w:kern w:val="0"/>
          <w:sz w:val="24"/>
          <w:szCs w:val="24"/>
          <w:shd w:val="clear" w:fill="FFFFFF"/>
          <w:lang w:val="en-US" w:eastAsia="zh-CN" w:bidi="ar"/>
          <w14:textFill>
            <w14:solidFill>
              <w14:schemeClr w14:val="tx1"/>
            </w14:solidFill>
          </w14:textFill>
        </w:rPr>
        <w:t>1.</w:t>
      </w:r>
      <w:r>
        <w:rPr>
          <w:rFonts w:hint="default" w:ascii="Times New Roman Regular" w:hAnsi="Times New Roman Regular" w:eastAsia="PingFang SC" w:cs="Times New Roman Regular"/>
          <w:i w:val="0"/>
          <w:iCs w:val="0"/>
          <w:caps w:val="0"/>
          <w:color w:val="000000" w:themeColor="text1"/>
          <w:spacing w:val="0"/>
          <w:kern w:val="0"/>
          <w:sz w:val="24"/>
          <w:szCs w:val="24"/>
          <w:shd w:val="clear" w:fill="FFFFFF"/>
          <w:lang w:val="en-US" w:eastAsia="zh-CN" w:bidi="ar"/>
          <w14:textFill>
            <w14:solidFill>
              <w14:schemeClr w14:val="tx1"/>
            </w14:solidFill>
          </w14:textFill>
        </w:rPr>
        <w:t>The SSS, SDS, TPD(s), and Extent(s) in the hypertension group were significantly higher than those in the non-hypertension group. Additionally, the sMBF and CFR of the LAD, LCX, and RCA coronary arteries were markedly lower in the hypertension group compared to the non-hypertension group. Subgroup analysis for hypertension revealed that patients with LVH exhibited a significant reduction in CFR across their LAD, LCX, and RCA coronary arteries too</w:t>
      </w:r>
      <w:bookmarkStart w:id="0" w:name="_GoBack"/>
      <w:bookmarkEnd w:id="0"/>
      <w:r>
        <w:rPr>
          <w:rFonts w:hint="default" w:ascii="Times New Roman Regular" w:hAnsi="Times New Roman Regular" w:eastAsia="PingFang SC" w:cs="Times New Roman Regular"/>
          <w:i w:val="0"/>
          <w:iCs w:val="0"/>
          <w:caps w:val="0"/>
          <w:color w:val="000000" w:themeColor="text1"/>
          <w:spacing w:val="0"/>
          <w:kern w:val="0"/>
          <w:sz w:val="24"/>
          <w:szCs w:val="24"/>
          <w:shd w:val="clear" w:fill="FFFFFF"/>
          <w:lang w:val="en-US" w:eastAsia="zh-CN" w:bidi="ar"/>
          <w14:textFill>
            <w14:solidFill>
              <w14:schemeClr w14:val="tx1"/>
            </w14:solidFill>
          </w14:textFill>
        </w:rPr>
        <w:t>.</w:t>
      </w:r>
    </w:p>
    <w:p>
      <w:pPr>
        <w:keepNext w:val="0"/>
        <w:keepLines w:val="0"/>
        <w:widowControl/>
        <w:suppressLineNumbers w:val="0"/>
        <w:spacing w:line="360" w:lineRule="auto"/>
        <w:ind w:firstLine="480" w:firstLineChars="200"/>
        <w:jc w:val="left"/>
        <w:rPr>
          <w:rFonts w:hint="default" w:ascii="Times New Roman Regular" w:hAnsi="Times New Roman Regular" w:eastAsia="PingFang SC" w:cs="Times New Roman Regular"/>
          <w:i w:val="0"/>
          <w:iCs w:val="0"/>
          <w:caps w:val="0"/>
          <w:color w:val="000000" w:themeColor="text1"/>
          <w:spacing w:val="0"/>
          <w:kern w:val="0"/>
          <w:sz w:val="24"/>
          <w:szCs w:val="24"/>
          <w:shd w:val="clear" w:fill="FFFFFF"/>
          <w:lang w:val="en-US" w:eastAsia="zh-CN" w:bidi="ar"/>
          <w14:textFill>
            <w14:solidFill>
              <w14:schemeClr w14:val="tx1"/>
            </w14:solidFill>
          </w14:textFill>
        </w:rPr>
      </w:pPr>
      <w:r>
        <w:rPr>
          <w:rFonts w:hint="eastAsia" w:ascii="Times New Roman Regular" w:hAnsi="Times New Roman Regular" w:eastAsia="PingFang SC" w:cs="Times New Roman Regular"/>
          <w:i w:val="0"/>
          <w:iCs w:val="0"/>
          <w:caps w:val="0"/>
          <w:color w:val="000000" w:themeColor="text1"/>
          <w:spacing w:val="0"/>
          <w:kern w:val="0"/>
          <w:sz w:val="24"/>
          <w:szCs w:val="24"/>
          <w:shd w:val="clear" w:fill="FFFFFF"/>
          <w:lang w:val="en-US" w:eastAsia="zh-CN" w:bidi="ar"/>
          <w14:textFill>
            <w14:solidFill>
              <w14:schemeClr w14:val="tx1"/>
            </w14:solidFill>
          </w14:textFill>
        </w:rPr>
        <w:t>2.</w:t>
      </w:r>
      <w:r>
        <w:rPr>
          <w:rFonts w:hint="default" w:ascii="Times New Roman Regular" w:hAnsi="Times New Roman Regular" w:eastAsia="PingFang SC" w:cs="Times New Roman Regular"/>
          <w:i w:val="0"/>
          <w:iCs w:val="0"/>
          <w:caps w:val="0"/>
          <w:color w:val="000000" w:themeColor="text1"/>
          <w:spacing w:val="0"/>
          <w:kern w:val="0"/>
          <w:sz w:val="24"/>
          <w:szCs w:val="24"/>
          <w:shd w:val="clear" w:fill="FFFFFF"/>
          <w:lang w:val="en-US" w:eastAsia="zh-CN" w:bidi="ar"/>
          <w14:textFill>
            <w14:solidFill>
              <w14:schemeClr w14:val="tx1"/>
            </w14:solidFill>
          </w14:textFill>
        </w:rPr>
        <w:t>The SBP and the IVS(D) are significant factors contributing to the reduction of CFR. Specifically, as SBP and IVS(D) increase, the CFR of the coronary vessels decreases.</w:t>
      </w:r>
    </w:p>
    <w:p>
      <w:pPr>
        <w:keepNext w:val="0"/>
        <w:keepLines w:val="0"/>
        <w:widowControl/>
        <w:suppressLineNumbers w:val="0"/>
        <w:spacing w:line="360" w:lineRule="auto"/>
        <w:ind w:firstLine="480" w:firstLineChars="200"/>
        <w:jc w:val="left"/>
        <w:rPr>
          <w:rFonts w:hint="default" w:ascii="Times New Roman Regular" w:hAnsi="Times New Roman Regular" w:eastAsia="PingFang SC" w:cs="Times New Roman Regular"/>
          <w:i w:val="0"/>
          <w:iCs w:val="0"/>
          <w:caps w:val="0"/>
          <w:color w:val="000000" w:themeColor="text1"/>
          <w:spacing w:val="0"/>
          <w:kern w:val="0"/>
          <w:sz w:val="24"/>
          <w:szCs w:val="24"/>
          <w:shd w:val="clear" w:fill="FFFFFF"/>
          <w:lang w:val="en-US" w:eastAsia="zh-CN" w:bidi="ar"/>
          <w14:textFill>
            <w14:solidFill>
              <w14:schemeClr w14:val="tx1"/>
            </w14:solidFill>
          </w14:textFill>
        </w:rPr>
      </w:pPr>
      <w:r>
        <w:rPr>
          <w:rFonts w:hint="eastAsia" w:ascii="Times New Roman Regular" w:hAnsi="Times New Roman Regular" w:eastAsia="PingFang SC" w:cs="Times New Roman Regular"/>
          <w:i w:val="0"/>
          <w:iCs w:val="0"/>
          <w:caps w:val="0"/>
          <w:color w:val="000000" w:themeColor="text1"/>
          <w:spacing w:val="0"/>
          <w:kern w:val="0"/>
          <w:sz w:val="24"/>
          <w:szCs w:val="24"/>
          <w:shd w:val="clear" w:fill="FFFFFF"/>
          <w:lang w:val="en-US" w:eastAsia="zh-CN" w:bidi="ar"/>
          <w14:textFill>
            <w14:solidFill>
              <w14:schemeClr w14:val="tx1"/>
            </w14:solidFill>
          </w14:textFill>
        </w:rPr>
        <w:t>3.</w:t>
      </w:r>
      <w:r>
        <w:rPr>
          <w:rFonts w:hint="default" w:ascii="Times New Roman Regular" w:hAnsi="Times New Roman Regular" w:eastAsia="PingFang SC" w:cs="Times New Roman Regular"/>
          <w:i w:val="0"/>
          <w:iCs w:val="0"/>
          <w:caps w:val="0"/>
          <w:color w:val="000000" w:themeColor="text1"/>
          <w:spacing w:val="0"/>
          <w:kern w:val="0"/>
          <w:sz w:val="24"/>
          <w:szCs w:val="24"/>
          <w:shd w:val="clear" w:fill="FFFFFF"/>
          <w:lang w:val="en-US" w:eastAsia="zh-CN" w:bidi="ar"/>
          <w14:textFill>
            <w14:solidFill>
              <w14:schemeClr w14:val="tx1"/>
            </w14:solidFill>
          </w14:textFill>
        </w:rPr>
        <w:t>Both sMBF and CFR demonstrate high sensitivity and specificity in disease diagnosis. The optimal cutoff values for diagnosing diseases using sMBF and CFR were determined through the maximum Youden index derived from the ROC curve, with the optimal cutoff value for sMBF being 2.18 and that for CFR being 2.71.</w:t>
      </w:r>
    </w:p>
    <w:p>
      <w:pPr>
        <w:keepNext w:val="0"/>
        <w:keepLines w:val="0"/>
        <w:widowControl/>
        <w:suppressLineNumbers w:val="0"/>
        <w:spacing w:line="360" w:lineRule="auto"/>
        <w:ind w:firstLine="480" w:firstLineChars="200"/>
        <w:jc w:val="left"/>
        <w:rPr>
          <w:rFonts w:hint="default" w:ascii="Times New Roman Regular" w:hAnsi="Times New Roman Regular" w:eastAsia="PingFang SC" w:cs="Times New Roman Regular"/>
          <w:i w:val="0"/>
          <w:iCs w:val="0"/>
          <w:caps w:val="0"/>
          <w:color w:val="000000" w:themeColor="text1"/>
          <w:spacing w:val="0"/>
          <w:kern w:val="0"/>
          <w:sz w:val="24"/>
          <w:szCs w:val="24"/>
          <w:shd w:val="clear" w:fill="FFFFFF"/>
          <w:lang w:val="en-US" w:eastAsia="zh-CN" w:bidi="ar"/>
          <w14:textFill>
            <w14:solidFill>
              <w14:schemeClr w14:val="tx1"/>
            </w14:solidFill>
          </w14:textFill>
        </w:rPr>
      </w:pPr>
      <w:r>
        <w:rPr>
          <w:rFonts w:hint="eastAsia" w:ascii="Times New Roman Regular" w:hAnsi="Times New Roman Regular" w:eastAsia="PingFang SC" w:cs="Times New Roman Regular"/>
          <w:i w:val="0"/>
          <w:iCs w:val="0"/>
          <w:caps w:val="0"/>
          <w:color w:val="000000" w:themeColor="text1"/>
          <w:spacing w:val="0"/>
          <w:kern w:val="0"/>
          <w:sz w:val="24"/>
          <w:szCs w:val="24"/>
          <w:shd w:val="clear" w:fill="FFFFFF"/>
          <w:lang w:val="en-US" w:eastAsia="zh-CN" w:bidi="ar"/>
          <w14:textFill>
            <w14:solidFill>
              <w14:schemeClr w14:val="tx1"/>
            </w14:solidFill>
          </w14:textFill>
        </w:rPr>
        <w:t>4.</w:t>
      </w:r>
      <w:r>
        <w:rPr>
          <w:rFonts w:hint="default" w:ascii="Times New Roman Regular" w:hAnsi="Times New Roman Regular" w:eastAsia="PingFang SC" w:cs="Times New Roman Regular"/>
          <w:i w:val="0"/>
          <w:iCs w:val="0"/>
          <w:caps w:val="0"/>
          <w:color w:val="000000" w:themeColor="text1"/>
          <w:spacing w:val="0"/>
          <w:kern w:val="0"/>
          <w:sz w:val="24"/>
          <w:szCs w:val="24"/>
          <w:shd w:val="clear" w:fill="FFFFFF"/>
          <w:lang w:val="en-US" w:eastAsia="zh-CN" w:bidi="ar"/>
          <w14:textFill>
            <w14:solidFill>
              <w14:schemeClr w14:val="tx1"/>
            </w14:solidFill>
          </w14:textFill>
        </w:rPr>
        <w:t>This study conducted a clinical evaluation of myocardial perfusion imaging and coronary blood flow reserve in patients with hypertension combined with INOCA using D-SPECT. The D-SPECT employs cadmium-zinc-telluride (CZT) detectors, which demonstrate significantly superior performance compared to traditional sodium iodide (NaI) crystal detectors. This advancement offers notable advantages in the field of cardiovascular medicine, providing essential clinical value for the early diagnosis, risk stratification, and prognostic assessment of patients with hypertension and INOCA.</w:t>
      </w:r>
    </w:p>
    <w:p>
      <w:pPr>
        <w:keepNext w:val="0"/>
        <w:keepLines w:val="0"/>
        <w:widowControl/>
        <w:suppressLineNumbers w:val="0"/>
        <w:spacing w:line="360" w:lineRule="auto"/>
        <w:jc w:val="left"/>
        <w:rPr>
          <w:rFonts w:hint="default" w:ascii="Times New Roman Bold" w:hAnsi="Times New Roman Bold" w:eastAsia="PingFang SC" w:cs="Times New Roman Bold"/>
          <w:b/>
          <w:bCs/>
          <w:i w:val="0"/>
          <w:iCs w:val="0"/>
          <w:caps w:val="0"/>
          <w:color w:val="000000" w:themeColor="text1"/>
          <w:spacing w:val="0"/>
          <w:kern w:val="0"/>
          <w:sz w:val="24"/>
          <w:szCs w:val="24"/>
          <w:shd w:val="clear" w:fill="FFFFFF"/>
          <w:lang w:val="en-US" w:eastAsia="zh-CN" w:bidi="ar"/>
          <w14:textFill>
            <w14:solidFill>
              <w14:schemeClr w14:val="tx1"/>
            </w14:solidFill>
          </w14:textFill>
        </w:rPr>
      </w:pPr>
    </w:p>
    <w:p>
      <w:pPr>
        <w:keepNext w:val="0"/>
        <w:keepLines w:val="0"/>
        <w:widowControl/>
        <w:suppressLineNumbers w:val="0"/>
        <w:spacing w:line="360" w:lineRule="auto"/>
        <w:jc w:val="left"/>
        <w:rPr>
          <w:rFonts w:hint="default" w:ascii="Times New Roman Bold" w:hAnsi="Times New Roman Bold" w:eastAsia="PingFang SC" w:cs="Times New Roman Bold"/>
          <w:b/>
          <w:bCs/>
          <w:i w:val="0"/>
          <w:iCs w:val="0"/>
          <w:caps w:val="0"/>
          <w:color w:val="000000" w:themeColor="text1"/>
          <w:spacing w:val="0"/>
          <w:kern w:val="0"/>
          <w:sz w:val="24"/>
          <w:szCs w:val="24"/>
          <w:shd w:val="clear" w:fill="FFFFFF"/>
          <w:lang w:val="en-US" w:eastAsia="zh-CN" w:bidi="ar"/>
          <w14:textFill>
            <w14:solidFill>
              <w14:schemeClr w14:val="tx1"/>
            </w14:solidFill>
          </w14:textFill>
        </w:rPr>
      </w:pPr>
    </w:p>
    <w:p>
      <w:pPr>
        <w:keepNext w:val="0"/>
        <w:keepLines w:val="0"/>
        <w:widowControl/>
        <w:suppressLineNumbers w:val="0"/>
        <w:spacing w:line="360" w:lineRule="auto"/>
        <w:jc w:val="left"/>
        <w:rPr>
          <w:rFonts w:ascii="PingFang SC" w:hAnsi="PingFang SC" w:eastAsia="PingFang SC" w:cs="PingFang SC"/>
          <w:i w:val="0"/>
          <w:iCs w:val="0"/>
          <w:caps w:val="0"/>
          <w:color w:val="2A2F45"/>
          <w:spacing w:val="0"/>
          <w:kern w:val="0"/>
          <w:sz w:val="32"/>
          <w:szCs w:val="32"/>
          <w:shd w:val="clear" w:fill="FFFFFF"/>
          <w:lang w:val="en-US" w:eastAsia="zh-CN" w:bidi="ar"/>
        </w:rPr>
      </w:pPr>
    </w:p>
    <w:p>
      <w:pPr>
        <w:widowControl/>
        <w:spacing w:line="360" w:lineRule="auto"/>
        <w:jc w:val="left"/>
        <w:rPr>
          <w:rFonts w:hint="default" w:ascii="Times New Roman Bold" w:hAnsi="Times New Roman Bold" w:cs="Times New Roman Bold"/>
          <w:b/>
          <w:bCs/>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SimSun-ExtB">
    <w:altName w:val="宋体-简"/>
    <w:panose1 w:val="02010609060101010101"/>
    <w:charset w:val="86"/>
    <w:family w:val="modern"/>
    <w:pitch w:val="default"/>
    <w:sig w:usb0="00000000" w:usb1="00000000" w:usb2="00000010" w:usb3="00000000" w:csb0="00040001" w:csb1="00000000"/>
  </w:font>
  <w:font w:name="Times New Roman Bold">
    <w:panose1 w:val="02020603050405020304"/>
    <w:charset w:val="00"/>
    <w:family w:val="auto"/>
    <w:pitch w:val="default"/>
    <w:sig w:usb0="00000000" w:usb1="00000000" w:usb2="00000000" w:usb3="00000000" w:csb0="00000000" w:csb1="00000000"/>
  </w:font>
  <w:font w:name="Times New Roman Regular">
    <w:panose1 w:val="02020603050405020304"/>
    <w:charset w:val="00"/>
    <w:family w:val="auto"/>
    <w:pitch w:val="default"/>
    <w:sig w:usb0="00000000" w:usb1="00000000" w:usb2="00000000" w:usb3="00000000" w:csb0="00000000" w:csb1="00000000"/>
  </w:font>
  <w:font w:name="PingFang SC">
    <w:panose1 w:val="020B0400000000000000"/>
    <w:charset w:val="86"/>
    <w:family w:val="auto"/>
    <w:pitch w:val="default"/>
    <w:sig w:usb0="00000000" w:usb1="00000000" w:usb2="00000000" w:usb3="00000000" w:csb0="00160000" w:csb1="00000000"/>
  </w:font>
  <w:font w:name="汉仪书宋二KW">
    <w:panose1 w:val="0002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 w:name="Helvetica Neue">
    <w:panose1 w:val="02000503000000020004"/>
    <w:charset w:val="00"/>
    <w:family w:val="auto"/>
    <w:pitch w:val="default"/>
    <w:sig w:usb0="00000000" w:usb1="00000000" w:usb2="00000000" w:usb3="00000000" w:csb0="00000000" w:csb1="00000000"/>
  </w:font>
  <w:font w:name="宋体-简">
    <w:panose1 w:val="02010600040101010101"/>
    <w:charset w:val="86"/>
    <w:family w:val="auto"/>
    <w:pitch w:val="default"/>
    <w:sig w:usb0="00000000" w:usb1="00000000" w:usb2="00000000" w:usb3="00000000" w:csb0="0016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pPr>
      <w:r>
        <w:separator/>
      </w:r>
    </w:p>
  </w:footnote>
  <w:footnote w:type="continuationSeparator" w:id="1">
    <w:p>
      <w:pPr>
        <w:spacing w:line="30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2"/>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57AA86"/>
    <w:rsid w:val="0CEDF40B"/>
    <w:rsid w:val="3B732D7B"/>
    <w:rsid w:val="3E7FF5D7"/>
    <w:rsid w:val="47EF94A6"/>
    <w:rsid w:val="5FBD5236"/>
    <w:rsid w:val="74F53662"/>
    <w:rsid w:val="7BE95AD0"/>
    <w:rsid w:val="7BEF102A"/>
    <w:rsid w:val="7D7F5124"/>
    <w:rsid w:val="7D7F8B8D"/>
    <w:rsid w:val="7E57AA86"/>
    <w:rsid w:val="7FEDF59A"/>
    <w:rsid w:val="7FF96400"/>
    <w:rsid w:val="9DD77A4E"/>
    <w:rsid w:val="B73FD1F2"/>
    <w:rsid w:val="BED3D384"/>
    <w:rsid w:val="BFD37902"/>
    <w:rsid w:val="CFFF7EBC"/>
    <w:rsid w:val="DF36BF3F"/>
    <w:rsid w:val="F9EF66CF"/>
    <w:rsid w:val="FEB1D120"/>
    <w:rsid w:val="FF8F8755"/>
    <w:rsid w:val="FFFC7E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00" w:lineRule="auto"/>
      <w:jc w:val="both"/>
    </w:pPr>
    <w:rPr>
      <w:rFonts w:ascii="Times New Roman" w:hAnsi="Times New Roman" w:eastAsia="SimSun-ExtB" w:cstheme="minorBidi"/>
      <w:kern w:val="2"/>
      <w:sz w:val="24"/>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Office_6.0.2.8225_F1E327BC-269C-435d-A152-05C5408002CA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2025-03-24T08:10:00Z</dcterms:created>
  <dc:creator>好好先生</dc:creator>
  <cp:lastModifiedBy>好好先生</cp:lastModifiedBy>
  <dcterms:modified xsi:type="dcterms:W3CDTF">2025-07-29T17:28:07Z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2052-6.0.2.8225</vt:lpwstr>
  </property>
  <property fmtid="{D5CDD505-2E9C-101B-9397-08002B2CF9AE}" pid="3" name="ICV">
    <vt:lpwstr>751C395C4BF818CD6170DE6765937326_41</vt:lpwstr>
  </property>
</Properties>
</file>