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355D" w14:textId="5D72F477" w:rsidR="00042B4F" w:rsidRDefault="00042B4F" w:rsidP="0096322B">
      <w:pPr>
        <w:pStyle w:val="IOPH1"/>
      </w:pPr>
      <w:r>
        <w:t xml:space="preserve">A1. </w:t>
      </w:r>
      <w:r w:rsidR="004F2834">
        <w:t>IMAGE modelling framework</w:t>
      </w:r>
    </w:p>
    <w:p w14:paraId="16204FD8" w14:textId="332D1E7D" w:rsidR="00CD740C" w:rsidRDefault="00CD740C" w:rsidP="00CD740C">
      <w:r>
        <w:t>We apply the Integrated Model to Assess the Global Environment (IMAGE) framework</w:t>
      </w:r>
      <w:sdt>
        <w:sdtPr>
          <w:rPr>
            <w:color w:val="000000"/>
          </w:rPr>
          <w:tag w:val="MENDELEY_CITATION_v3_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"/>
          <w:id w:val="1505784722"/>
          <w:placeholder>
            <w:docPart w:val="3C6CFB3372454023A23D233B233758F7"/>
          </w:placeholder>
        </w:sdtPr>
        <w:sdtContent>
          <w:r w:rsidR="00F951AB" w:rsidRPr="00F951AB">
            <w:rPr>
              <w:color w:val="000000"/>
            </w:rPr>
            <w:t>(Stehfest et al., 2014)</w:t>
          </w:r>
        </w:sdtContent>
      </w:sdt>
      <w:r>
        <w:t xml:space="preserve"> to explore the </w:t>
      </w:r>
      <w:r w:rsidRPr="00E47F17">
        <w:t>unequal impacts of a global uniform carbon price on residential energy expenditures across income groups</w:t>
      </w:r>
      <w:r>
        <w:t>. The IMAGE framework is an integrated assessment model (IAM) applied to study the long-term dynamics of global change in the energy and land system. The framework comprises various system dynamic sub-models, including the energy model TIMER and the climate policy cost-benefit model MIMOSA.</w:t>
      </w:r>
    </w:p>
    <w:p w14:paraId="70A3D8DF" w14:textId="3995ED39" w:rsidR="00CD740C" w:rsidRDefault="00CD740C" w:rsidP="00CD740C">
      <w:r>
        <w:t xml:space="preserve">The energy model TIMER describes the annual demand and supply of different energy carriers for a set of 26 world regions. Changes in energy demand within the available sectors (industry, transport, residential, services, non-energy and other) are related to structural changes, autonomous and price-induced changes in energy intensity and price-based fuel substitution. Several sub-modules of TIMER simulate the various demand sectors in more detail, such as REMG for household energy use </w:t>
      </w:r>
      <w:r w:rsidR="009D7EF9" w:rsidRPr="009D7EF9">
        <w:rPr>
          <w:color w:val="000000"/>
        </w:rPr>
        <w:t>(Daioglou et al., 2012)</w:t>
      </w:r>
      <w:r>
        <w:t xml:space="preserve"> and NEDE for the non-energy (petrochemical) sector </w:t>
      </w:r>
      <w:sdt>
        <w:sdtPr>
          <w:rPr>
            <w:color w:val="000000"/>
          </w:rPr>
          <w:tag w:val="MENDELEY_CITATION_v3_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"/>
          <w:id w:val="1818454576"/>
          <w:placeholder>
            <w:docPart w:val="3C6CFB3372454023A23D233B233758F7"/>
          </w:placeholder>
        </w:sdtPr>
        <w:sdtContent>
          <w:r w:rsidR="00F951AB" w:rsidRPr="00F951AB">
            <w:rPr>
              <w:color w:val="000000"/>
            </w:rPr>
            <w:t>(Daioglou et al., 2013)</w:t>
          </w:r>
        </w:sdtContent>
      </w:sdt>
      <w:r>
        <w:t xml:space="preserve">. TIMER </w:t>
      </w:r>
      <w:r w:rsidRPr="00941F5F">
        <w:t>projects future energy demand for each end</w:t>
      </w:r>
      <w:r>
        <w:t>-</w:t>
      </w:r>
      <w:r w:rsidRPr="00941F5F">
        <w:t>use sector based on relationships between energy services and activity, the latter related to economic growth</w:t>
      </w:r>
      <w:r>
        <w:t xml:space="preserve"> </w:t>
      </w:r>
      <w:sdt>
        <w:sdtPr>
          <w:rPr>
            <w:color w:val="000000"/>
          </w:rPr>
          <w:tag w:val="MENDELEY_CITATION_v3_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"/>
          <w:id w:val="-451483247"/>
          <w:placeholder>
            <w:docPart w:val="3C6CFB3372454023A23D233B233758F7"/>
          </w:placeholder>
        </w:sdtPr>
        <w:sdtContent>
          <w:r w:rsidR="00F951AB" w:rsidRPr="00F951AB">
            <w:rPr>
              <w:color w:val="000000"/>
            </w:rPr>
            <w:t>(Mulders et al., 2006; Rogner, 1997; van Vuuren et al., 2011)</w:t>
          </w:r>
        </w:sdtContent>
      </w:sdt>
      <w:r>
        <w:t>.</w:t>
      </w:r>
    </w:p>
    <w:p w14:paraId="58C3E72F" w14:textId="77777777" w:rsidR="00CD740C" w:rsidRDefault="00CD740C" w:rsidP="00CD740C">
      <w:pPr>
        <w:pStyle w:val="IOPH2"/>
      </w:pPr>
      <w:bookmarkStart w:id="0" w:name="_Toc197940984"/>
      <w:r w:rsidRPr="00643D11">
        <w:t>A1.1 Modelling r</w:t>
      </w:r>
      <w:r w:rsidRPr="00AC7EDB">
        <w:t>esidential energy demand</w:t>
      </w:r>
      <w:bookmarkEnd w:id="0"/>
      <w:r w:rsidRPr="00643D11">
        <w:t xml:space="preserve"> </w:t>
      </w:r>
    </w:p>
    <w:p w14:paraId="6E88DFCC" w14:textId="57D4581C" w:rsidR="00CD740C" w:rsidRDefault="00CD740C" w:rsidP="00CD740C">
      <w:r w:rsidRPr="00AC7EDB">
        <w:t>The residential energy demand sub-model in TIMER captures the different energy use characteristics of 260 represented households.</w:t>
      </w:r>
      <w:r>
        <w:t xml:space="preserve"> Energy demand for each household is disaggregated across five end-use functions: cooking, space heating, space cooling, water heating, and appliances. Demand for each end-use is driven by household characteristics such as household size, total household expenditures (proxy for income), floor space, ownership levels and energy efficiencies of end-use equipment or technology (e.g., appliances, </w:t>
      </w:r>
      <w:r w:rsidRPr="00AA3C8B">
        <w:t>stoves, heaters</w:t>
      </w:r>
      <w:r>
        <w:t xml:space="preserve">, insulation types). </w:t>
      </w:r>
    </w:p>
    <w:p w14:paraId="13FE7A44" w14:textId="4F75D16E" w:rsidR="00CD740C" w:rsidRDefault="00CD740C" w:rsidP="00CD740C">
      <w:pPr>
        <w:jc w:val="center"/>
      </w:pPr>
      <w:r w:rsidRPr="001D2B1F">
        <w:rPr>
          <w:b/>
          <w:bCs/>
        </w:rPr>
        <w:drawing>
          <wp:inline distT="0" distB="0" distL="0" distR="0" wp14:anchorId="17232574" wp14:editId="3A609501">
            <wp:extent cx="3663163" cy="181331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683379" cy="1823326"/>
                    </a:xfrm>
                    <a:prstGeom prst="rect">
                      <a:avLst/>
                    </a:prstGeom>
                  </pic:spPr>
                </pic:pic>
              </a:graphicData>
            </a:graphic>
          </wp:inline>
        </w:drawing>
      </w:r>
      <w:r>
        <w:rPr>
          <w:b/>
          <w:bCs/>
        </w:rPr>
        <w:br/>
      </w:r>
      <w:r w:rsidRPr="00292A64">
        <w:rPr>
          <w:b/>
          <w:bCs/>
          <w:i/>
          <w:iCs/>
          <w:sz w:val="18"/>
          <w:szCs w:val="18"/>
        </w:rPr>
        <w:t>Figure</w:t>
      </w:r>
      <w:r>
        <w:rPr>
          <w:b/>
          <w:bCs/>
          <w:i/>
          <w:iCs/>
          <w:sz w:val="18"/>
          <w:szCs w:val="18"/>
        </w:rPr>
        <w:t xml:space="preserve"> A1</w:t>
      </w:r>
      <w:r w:rsidRPr="00292A64">
        <w:rPr>
          <w:b/>
          <w:bCs/>
          <w:i/>
          <w:iCs/>
          <w:sz w:val="18"/>
          <w:szCs w:val="18"/>
        </w:rPr>
        <w:t xml:space="preserve">: </w:t>
      </w:r>
      <w:r>
        <w:rPr>
          <w:i/>
          <w:iCs/>
          <w:sz w:val="18"/>
          <w:szCs w:val="18"/>
        </w:rPr>
        <w:t>Relationship between key model drivers and household energy demand by end-use in the residential sector sub-model in TIMER. Figure reproduced from</w:t>
      </w:r>
      <w:r>
        <w:t xml:space="preserve"> </w:t>
      </w:r>
      <w:sdt>
        <w:sdtPr>
          <w:rPr>
            <w:color w:val="000000"/>
          </w:rPr>
          <w:tag w:val="MENDELEY_CITATION_v3_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"/>
          <w:id w:val="746769022"/>
          <w:placeholder>
            <w:docPart w:val="8078D5DCE3C04354B149B266F90D064C"/>
          </w:placeholder>
        </w:sdtPr>
        <w:sdtContent>
          <w:r w:rsidR="00F951AB" w:rsidRPr="00F951AB">
            <w:rPr>
              <w:color w:val="000000"/>
            </w:rPr>
            <w:t>(Daioglou et al., 2012)</w:t>
          </w:r>
        </w:sdtContent>
      </w:sdt>
    </w:p>
    <w:p w14:paraId="24A53E93" w14:textId="41AFDA65" w:rsidR="00CD740C" w:rsidRDefault="00C01DEA" w:rsidP="00CD740C">
      <w:r>
        <w:t>A multinomial logit function determines the</w:t>
      </w:r>
      <w:r w:rsidR="00CD740C">
        <w:t xml:space="preserve"> market share of energy carriers or technologies used, accounting for differences in relative costs and preferences per option</w:t>
      </w:r>
      <w:sdt>
        <w:sdtPr>
          <w:rPr>
            <w:color w:val="000000"/>
          </w:rPr>
          <w:tag w:val="MENDELEY_CITATION_v3_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"/>
          <w:id w:val="1558815208"/>
          <w:placeholder>
            <w:docPart w:val="F19EB7B60E2448B4AF7A6993AFDE7C44"/>
          </w:placeholder>
        </w:sdtPr>
        <w:sdtContent>
          <w:r w:rsidR="00F951AB" w:rsidRPr="00F951AB">
            <w:rPr>
              <w:color w:val="000000"/>
            </w:rPr>
            <w:t>(van Vuuren et al., 2011)</w:t>
          </w:r>
        </w:sdtContent>
      </w:sdt>
      <w:r w:rsidR="00CD740C">
        <w:t xml:space="preserve">. </w:t>
      </w:r>
      <w:r w:rsidR="00CD740C" w:rsidRPr="008F5DFE">
        <w:t xml:space="preserve">For each </w:t>
      </w:r>
      <w:r w:rsidR="00CD740C">
        <w:t>end-use function</w:t>
      </w:r>
      <w:r w:rsidR="00CD740C" w:rsidRPr="008F5DFE">
        <w:t xml:space="preserve">, energy carriers compete based on relative costs with each other to meet the useful energy demand. </w:t>
      </w:r>
      <w:r w:rsidR="00CD740C" w:rsidRPr="00C06D26">
        <w:t xml:space="preserve">This assigns market shares to different options fulfilling a service based on their relative costs, where the cheapest option gets the largest market share, the </w:t>
      </w:r>
      <w:r w:rsidR="00CD740C">
        <w:t xml:space="preserve">second </w:t>
      </w:r>
      <w:r w:rsidR="00CD740C" w:rsidRPr="00C06D26">
        <w:t xml:space="preserve">cheapest the </w:t>
      </w:r>
      <w:r w:rsidR="00CD740C">
        <w:t xml:space="preserve">second </w:t>
      </w:r>
      <w:r w:rsidR="00CD740C" w:rsidRPr="00C06D26">
        <w:t>largest market share, and so on.</w:t>
      </w:r>
      <w:r w:rsidR="00CD740C">
        <w:t xml:space="preserve"> </w:t>
      </w:r>
      <w:r w:rsidR="00CD740C" w:rsidRPr="00B80E22">
        <w:t>Energy prices are based on supply curves of energy carriers</w:t>
      </w:r>
      <w:sdt>
        <w:sdtPr>
          <w:rPr>
            <w:color w:val="000000"/>
          </w:rPr>
          <w:tag w:val="MENDELEY_CITATION_v3_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"/>
          <w:id w:val="-1591142784"/>
          <w:placeholder>
            <w:docPart w:val="F19EB7B60E2448B4AF7A6993AFDE7C44"/>
          </w:placeholder>
        </w:sdtPr>
        <w:sdtContent>
          <w:r w:rsidR="00F951AB" w:rsidRPr="00F951AB">
            <w:rPr>
              <w:color w:val="000000"/>
            </w:rPr>
            <w:t>(Mulders et al., 2006; Rogner, 1997)</w:t>
          </w:r>
        </w:sdtContent>
      </w:sdt>
      <w:r w:rsidR="00CD740C" w:rsidRPr="00B80E22">
        <w:t>.</w:t>
      </w:r>
      <w:r w:rsidR="00CD740C">
        <w:t xml:space="preserve"> </w:t>
      </w:r>
      <w:r w:rsidR="00CD740C" w:rsidRPr="00AA3C8B">
        <w:t>All households within a region face the same energy prices.</w:t>
      </w:r>
      <w:r w:rsidR="00CD740C">
        <w:t xml:space="preserve"> T</w:t>
      </w:r>
      <w:r w:rsidR="00CD740C" w:rsidRPr="002360AD">
        <w:t xml:space="preserve">o represent climate policy in the model, a ‘carbon price’ is introduced to induce a shift towards low-carbon technologies. </w:t>
      </w:r>
      <w:r w:rsidR="00CD740C" w:rsidRPr="00AA3C8B">
        <w:t xml:space="preserve">In </w:t>
      </w:r>
      <w:r w:rsidR="00CD740C">
        <w:t>these mitigation scenarios</w:t>
      </w:r>
      <w:r w:rsidR="00CD740C" w:rsidRPr="00AA3C8B">
        <w:t xml:space="preserve">, the </w:t>
      </w:r>
      <w:r w:rsidR="00CD740C">
        <w:t xml:space="preserve">household characteristics and </w:t>
      </w:r>
      <w:r w:rsidR="00CD740C" w:rsidRPr="00AA3C8B">
        <w:t>activity leve</w:t>
      </w:r>
      <w:r w:rsidR="00CD740C">
        <w:t>ls driving</w:t>
      </w:r>
      <w:r w:rsidR="00CD740C" w:rsidRPr="00AA3C8B">
        <w:t xml:space="preserve"> total energy demand remain the same, but may be met with different choices of energy carriers </w:t>
      </w:r>
      <w:r w:rsidR="00CD740C">
        <w:t>through the logit function</w:t>
      </w:r>
      <w:r w:rsidR="00CD740C" w:rsidRPr="00AA3C8B">
        <w:t>.</w:t>
      </w:r>
    </w:p>
    <w:p w14:paraId="725E45E5" w14:textId="240983AA" w:rsidR="00CD740C" w:rsidRDefault="00CD740C" w:rsidP="00CD740C">
      <w:r>
        <w:t>Additionally, households can further adopt energy-efficiency measures such as insulation to reduce demand in mitigation scenarios based on the relative costs of doing so compared to incurring additional heating costs. This dynamic is based on recent model development</w:t>
      </w:r>
      <w:r w:rsidRPr="00AA3C8B">
        <w:t xml:space="preserve"> </w:t>
      </w:r>
      <w:r>
        <w:t xml:space="preserve">reported in detail in </w:t>
      </w:r>
      <w:sdt>
        <w:sdtPr>
          <w:rPr>
            <w:color w:val="000000"/>
          </w:rPr>
          <w:tag w:val="MENDELEY_CITATION_v3_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"/>
          <w:id w:val="1427536050"/>
          <w:placeholder>
            <w:docPart w:val="8078D5DCE3C04354B149B266F90D064C"/>
          </w:placeholder>
        </w:sdtPr>
        <w:sdtContent>
          <w:r w:rsidR="00F951AB" w:rsidRPr="00F951AB">
            <w:rPr>
              <w:color w:val="000000"/>
            </w:rPr>
            <w:t>Daioglou et al., (2022)</w:t>
          </w:r>
        </w:sdtContent>
      </w:sdt>
      <w:r>
        <w:t>. In short, the model accounts for regional building stocks (construction, lifetimes, decommissioning), calculation of investments in six insulation levels, inclusion of energy</w:t>
      </w:r>
      <w:r w:rsidR="0057639D">
        <w:t>-</w:t>
      </w:r>
      <w:r>
        <w:t>efficient heat pumps as a space heating technology, and possibility for households to invest in rooftop solar PV</w:t>
      </w:r>
      <w:r w:rsidR="00976AC1">
        <w:t xml:space="preserve"> (</w:t>
      </w:r>
      <w:r w:rsidR="0077441E">
        <w:t xml:space="preserve">described in further detail in </w:t>
      </w:r>
      <w:r w:rsidR="0077441E" w:rsidRPr="0077441E">
        <w:rPr>
          <w:i/>
          <w:iCs/>
        </w:rPr>
        <w:t>Section A</w:t>
      </w:r>
      <w:r w:rsidR="0057639D">
        <w:rPr>
          <w:i/>
          <w:iCs/>
        </w:rPr>
        <w:t>1.2</w:t>
      </w:r>
      <w:r w:rsidR="0077441E" w:rsidRPr="0077441E">
        <w:rPr>
          <w:b/>
          <w:bCs/>
        </w:rPr>
        <w:t xml:space="preserve"> </w:t>
      </w:r>
      <w:r w:rsidR="0077441E">
        <w:t>below</w:t>
      </w:r>
      <w:r w:rsidR="00976AC1">
        <w:t>)</w:t>
      </w:r>
      <w:r>
        <w:t xml:space="preserve">. Additionally, the model already accounts for endogenous efficiency changes in end-use energy conversion representing </w:t>
      </w:r>
      <w:r w:rsidR="00E2685F">
        <w:t xml:space="preserve">the </w:t>
      </w:r>
      <w:r>
        <w:t xml:space="preserve">availability of more efficient appliances over time. </w:t>
      </w:r>
      <w:r w:rsidRPr="00AA3C8B">
        <w:t xml:space="preserve">Thus, although the </w:t>
      </w:r>
      <w:r>
        <w:t xml:space="preserve">socioeconomic household characteristics and </w:t>
      </w:r>
      <w:r w:rsidRPr="00AA3C8B">
        <w:t xml:space="preserve">activity level that drive the demand remain unchanged, they may be met by a slightly smaller (larger) final energy demand as </w:t>
      </w:r>
      <w:r>
        <w:t xml:space="preserve">households make choices towards </w:t>
      </w:r>
      <w:r w:rsidRPr="00AA3C8B">
        <w:t>more (less) energy</w:t>
      </w:r>
      <w:r w:rsidR="00E2685F">
        <w:t>-</w:t>
      </w:r>
      <w:r w:rsidRPr="00AA3C8B">
        <w:t>efficient</w:t>
      </w:r>
      <w:r>
        <w:t xml:space="preserve"> options available to them (see </w:t>
      </w:r>
      <w:r w:rsidRPr="00343359">
        <w:rPr>
          <w:i/>
          <w:iCs/>
        </w:rPr>
        <w:t>Fig. A11</w:t>
      </w:r>
      <w:r>
        <w:t xml:space="preserve"> below and </w:t>
      </w:r>
      <w:r w:rsidRPr="00343359">
        <w:rPr>
          <w:i/>
          <w:iCs/>
        </w:rPr>
        <w:t>Fig. 3</w:t>
      </w:r>
      <w:r>
        <w:t xml:space="preserve"> in the main article)</w:t>
      </w:r>
      <w:r w:rsidRPr="00AA3C8B">
        <w:t>.</w:t>
      </w:r>
      <w:r>
        <w:t xml:space="preserve"> </w:t>
      </w:r>
    </w:p>
    <w:p w14:paraId="25AC60BF" w14:textId="2306D108" w:rsidR="00CD740C" w:rsidRDefault="00CD740C" w:rsidP="00CD740C">
      <w:r>
        <w:lastRenderedPageBreak/>
        <w:t>Correspondingly, key mitigation options in TIMER on the energy supply side include increasing the share of nuclear power and renewables in electricity generation, equipping fossil fuel technologies with Carbon Capture and Sequestration (CCS), improving energy efficiency, and reducing non-</w:t>
      </w:r>
      <w:bookmarkStart w:id="1" w:name="_Hlk197455224"/>
      <w:r w:rsidRPr="6588F217">
        <w:t>CO</w:t>
      </w:r>
      <w:r w:rsidRPr="6588F217">
        <w:rPr>
          <w:vertAlign w:val="subscript"/>
        </w:rPr>
        <w:t>2</w:t>
      </w:r>
      <w:bookmarkEnd w:id="1"/>
      <w:r>
        <w:t xml:space="preserve"> greenhouse gas emissions</w:t>
      </w:r>
      <w:r w:rsidR="007B053F">
        <w:t xml:space="preserve"> </w:t>
      </w:r>
      <w:sdt>
        <w:sdtPr>
          <w:rPr>
            <w:color w:val="000000"/>
          </w:rPr>
          <w:tag w:val="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"/>
          <w:id w:val="-2006812318"/>
          <w:placeholder>
            <w:docPart w:val="1DDA9ABAE9B24F7799668919E55B0694"/>
          </w:placeholder>
        </w:sdtPr>
        <w:sdtContent>
          <w:r w:rsidR="00F951AB" w:rsidRPr="00F951AB">
            <w:rPr>
              <w:color w:val="000000"/>
            </w:rPr>
            <w:t>(Edelenbosch et al., 2024; van Vuuren et al., 2017)</w:t>
          </w:r>
        </w:sdtContent>
      </w:sdt>
      <w:r>
        <w:t>.</w:t>
      </w:r>
    </w:p>
    <w:p w14:paraId="61085148" w14:textId="7FD3EDA9" w:rsidR="00CD740C" w:rsidRDefault="00CD740C" w:rsidP="00CD740C">
      <w:r>
        <w:t>Previously, these model dynamics have been used to assess the contribution of the residential sector in meeting climate mitigation targets</w:t>
      </w:r>
      <w:r w:rsidR="00901B7C">
        <w:t xml:space="preserve"> </w:t>
      </w:r>
      <w:sdt>
        <w:sdtPr>
          <w:rPr>
            <w:color w:val="000000"/>
          </w:rPr>
          <w:tag w:val="MENDELEY_CITATION_v3_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"/>
          <w:id w:val="-376856799"/>
          <w:placeholder>
            <w:docPart w:val="3C6CFB3372454023A23D233B233758F7"/>
          </w:placeholder>
        </w:sdtPr>
        <w:sdtContent>
          <w:r w:rsidR="00F951AB" w:rsidRPr="00F951AB">
            <w:rPr>
              <w:color w:val="000000"/>
            </w:rPr>
            <w:t>(Daioglou et al., 2012)</w:t>
          </w:r>
        </w:sdtContent>
      </w:sdt>
      <w:r>
        <w:t xml:space="preserve">, the role of strategies such as behaviour change and technology adoption in this sector </w:t>
      </w:r>
      <w:sdt>
        <w:sdtPr>
          <w:rPr>
            <w:color w:val="000000"/>
          </w:rPr>
          <w:tag w:val="MENDELEY_CITATION_v3_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"/>
          <w:id w:val="-2132923184"/>
          <w:placeholder>
            <w:docPart w:val="D51A02D052A24DA188F62623C7A16511"/>
          </w:placeholder>
        </w:sdtPr>
        <w:sdtContent>
          <w:r w:rsidR="00F951AB" w:rsidRPr="00F951AB">
            <w:rPr>
              <w:color w:val="000000"/>
            </w:rPr>
            <w:t>(Daioglou et al., 2022; van Sluisveld et al., 2016)</w:t>
          </w:r>
        </w:sdtContent>
      </w:sdt>
      <w:r>
        <w:t>, and the interactions of the residential sector with the rest of the energy system</w:t>
      </w:r>
      <w:sdt>
        <w:sdtPr>
          <w:rPr>
            <w:color w:val="000000"/>
          </w:rPr>
          <w:tag w:val="MENDELEY_CITATION_v3_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"/>
          <w:id w:val="469552710"/>
          <w:placeholder>
            <w:docPart w:val="3C6CFB3372454023A23D233B233758F7"/>
          </w:placeholder>
        </w:sdtPr>
        <w:sdtContent>
          <w:r w:rsidR="00F951AB" w:rsidRPr="00F951AB">
            <w:rPr>
              <w:color w:val="000000"/>
            </w:rPr>
            <w:t>(Dagnachew et al., 2018; Daioglou et al., 2013)</w:t>
          </w:r>
        </w:sdtContent>
      </w:sdt>
      <w:r>
        <w:t xml:space="preserve"> in different mitigation scenarios. The model has also been used to explore pathways towards universal electricity access </w:t>
      </w:r>
      <w:sdt>
        <w:sdtPr>
          <w:rPr>
            <w:color w:val="000000"/>
          </w:rPr>
          <w:tag w:val="MENDELEY_CITATION_v3_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"/>
          <w:id w:val="156035065"/>
          <w:placeholder>
            <w:docPart w:val="6CE44C1B49534B718093D22687C202E3"/>
          </w:placeholder>
        </w:sdtPr>
        <w:sdtContent>
          <w:r w:rsidR="00F951AB" w:rsidRPr="00F951AB">
            <w:rPr>
              <w:color w:val="000000"/>
            </w:rPr>
            <w:t>(Dagnachew et al., 2017; Lucas et al., 2017)</w:t>
          </w:r>
        </w:sdtContent>
      </w:sdt>
      <w:r>
        <w:rPr>
          <w:color w:val="000000"/>
        </w:rPr>
        <w:t>and u</w:t>
      </w:r>
      <w:r>
        <w:t>niversal access to clean cooking</w:t>
      </w:r>
      <w:sdt>
        <w:sdtPr>
          <w:rPr>
            <w:color w:val="000000"/>
          </w:rPr>
          <w:tag w:val="MENDELEY_CITATION_v3_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"/>
          <w:id w:val="-1315793295"/>
          <w:placeholder>
            <w:docPart w:val="3C6CFB3372454023A23D233B233758F7"/>
          </w:placeholder>
        </w:sdtPr>
        <w:sdtContent>
          <w:r w:rsidR="00F951AB" w:rsidRPr="00F951AB">
            <w:rPr>
              <w:color w:val="000000"/>
            </w:rPr>
            <w:t>(Hof et al., 2018)</w:t>
          </w:r>
        </w:sdtContent>
      </w:sdt>
      <w:r>
        <w:t xml:space="preserve"> in Sub-Saharan Africa. The present work analyses the distribution of resulting energy expenditures across the modelled households, specifically the disproportionality of additional energy expenditure burdens across increasing income levels in mitigation scenarios.</w:t>
      </w:r>
    </w:p>
    <w:p w14:paraId="46E1E671" w14:textId="77777777" w:rsidR="00887B2C" w:rsidRDefault="00887B2C" w:rsidP="00CD740C"/>
    <w:p w14:paraId="58EF92E8" w14:textId="6F36F13A" w:rsidR="00676029" w:rsidRDefault="004F58BC" w:rsidP="00676029">
      <w:pPr>
        <w:pStyle w:val="IOPH3"/>
      </w:pPr>
      <w:r>
        <w:t xml:space="preserve">A1.2 </w:t>
      </w:r>
      <w:r w:rsidR="00892EE3">
        <w:t xml:space="preserve">Implementation of </w:t>
      </w:r>
      <w:r w:rsidR="00CF2AE2">
        <w:t xml:space="preserve">incentivised </w:t>
      </w:r>
      <w:r w:rsidR="00E47C18">
        <w:t>rooftop P</w:t>
      </w:r>
      <w:r w:rsidR="0057639D">
        <w:t>V</w:t>
      </w:r>
    </w:p>
    <w:p w14:paraId="1213ED4C" w14:textId="7C2064CC" w:rsidR="00B74002" w:rsidRDefault="00892EE3" w:rsidP="00676029">
      <w:pPr>
        <w:rPr>
          <w:color w:val="000000"/>
        </w:rPr>
      </w:pPr>
      <w:r>
        <w:t xml:space="preserve">The IMAGE model is </w:t>
      </w:r>
      <w:r w:rsidR="004C16D4">
        <w:t xml:space="preserve">unique among IAMs in </w:t>
      </w:r>
      <w:r w:rsidR="00B10585">
        <w:t>representing</w:t>
      </w:r>
      <w:r w:rsidR="004C16D4">
        <w:t xml:space="preserve"> </w:t>
      </w:r>
      <w:r w:rsidR="00F475AC">
        <w:t xml:space="preserve">decentralised electricity generation through rooftop photovoltaic </w:t>
      </w:r>
      <w:r w:rsidR="009962F8">
        <w:t>technology</w:t>
      </w:r>
      <w:r w:rsidR="00B75AE9">
        <w:t xml:space="preserve">, exploring its role in long-term energy and </w:t>
      </w:r>
      <w:r w:rsidR="00C07A3D">
        <w:t xml:space="preserve">climate scenarios. A detailed account of the </w:t>
      </w:r>
      <w:r w:rsidR="00346A86">
        <w:t xml:space="preserve">methods, data, and </w:t>
      </w:r>
      <w:r w:rsidR="00DB6245">
        <w:t xml:space="preserve">overall energy system implications can be seen in </w:t>
      </w:r>
      <w:sdt>
        <w:sdtPr>
          <w:rPr>
            <w:color w:val="000000"/>
          </w:rPr>
          <w:tag w:val="MENDELEY_CITATION_v3_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"/>
          <w:id w:val="244999276"/>
          <w:placeholder>
            <w:docPart w:val="DefaultPlaceholder_-1854013440"/>
          </w:placeholder>
        </w:sdtPr>
        <w:sdtContent>
          <w:r w:rsidR="00F951AB" w:rsidRPr="00F951AB">
            <w:rPr>
              <w:color w:val="000000"/>
            </w:rPr>
            <w:t>(Gernaat et al., 2020)</w:t>
          </w:r>
        </w:sdtContent>
      </w:sdt>
      <w:r w:rsidR="009652C3">
        <w:rPr>
          <w:color w:val="000000"/>
        </w:rPr>
        <w:t>. In this section</w:t>
      </w:r>
      <w:r w:rsidR="00B10585">
        <w:rPr>
          <w:color w:val="000000"/>
        </w:rPr>
        <w:t>,</w:t>
      </w:r>
      <w:r w:rsidR="009652C3">
        <w:rPr>
          <w:color w:val="000000"/>
        </w:rPr>
        <w:t xml:space="preserve"> we give a brief overview</w:t>
      </w:r>
      <w:r w:rsidR="00B10585">
        <w:rPr>
          <w:color w:val="000000"/>
        </w:rPr>
        <w:t>,</w:t>
      </w:r>
      <w:r w:rsidR="009652C3">
        <w:rPr>
          <w:color w:val="000000"/>
        </w:rPr>
        <w:t xml:space="preserve"> </w:t>
      </w:r>
      <w:r w:rsidR="00B56A2B">
        <w:rPr>
          <w:color w:val="000000"/>
        </w:rPr>
        <w:t xml:space="preserve">particularly focusing on the implementation of </w:t>
      </w:r>
      <w:r w:rsidR="00925DAA">
        <w:rPr>
          <w:color w:val="000000"/>
        </w:rPr>
        <w:t>incentivised rooftop PV scenarios in the present study.</w:t>
      </w:r>
    </w:p>
    <w:p w14:paraId="57683022" w14:textId="2202AD27" w:rsidR="00AE5E17" w:rsidRPr="001826BF" w:rsidRDefault="008C5F48" w:rsidP="001826BF">
      <w:pPr>
        <w:rPr>
          <w:color w:val="000000"/>
        </w:rPr>
      </w:pPr>
      <w:r>
        <w:rPr>
          <w:color w:val="000000"/>
        </w:rPr>
        <w:t xml:space="preserve">The implementation </w:t>
      </w:r>
      <w:r w:rsidR="00731391">
        <w:rPr>
          <w:color w:val="000000"/>
        </w:rPr>
        <w:t xml:space="preserve">in IMAGE follows two main steps. First, </w:t>
      </w:r>
      <w:r w:rsidR="00E60829">
        <w:rPr>
          <w:color w:val="000000"/>
        </w:rPr>
        <w:t xml:space="preserve">regional </w:t>
      </w:r>
      <w:r w:rsidR="00CB285A">
        <w:rPr>
          <w:color w:val="000000"/>
        </w:rPr>
        <w:t>supply cost</w:t>
      </w:r>
      <w:r w:rsidR="00B10585">
        <w:rPr>
          <w:color w:val="000000"/>
        </w:rPr>
        <w:t xml:space="preserve"> </w:t>
      </w:r>
      <w:r w:rsidR="00CB285A">
        <w:rPr>
          <w:color w:val="000000"/>
        </w:rPr>
        <w:t>curves</w:t>
      </w:r>
      <w:r w:rsidR="006A5A8C">
        <w:rPr>
          <w:color w:val="000000"/>
        </w:rPr>
        <w:t xml:space="preserve"> of rooftop PV</w:t>
      </w:r>
      <w:r w:rsidR="00CB285A">
        <w:rPr>
          <w:color w:val="000000"/>
        </w:rPr>
        <w:t xml:space="preserve"> are derived </w:t>
      </w:r>
      <w:r w:rsidR="006A5A8C">
        <w:rPr>
          <w:color w:val="000000"/>
        </w:rPr>
        <w:t>based on global technical and economic potential</w:t>
      </w:r>
      <w:r w:rsidR="00356E04">
        <w:rPr>
          <w:color w:val="000000"/>
        </w:rPr>
        <w:t xml:space="preserve">. </w:t>
      </w:r>
      <w:r w:rsidR="007605EE">
        <w:rPr>
          <w:color w:val="000000"/>
        </w:rPr>
        <w:t>Second</w:t>
      </w:r>
      <w:r w:rsidR="00A21D77">
        <w:rPr>
          <w:color w:val="000000"/>
        </w:rPr>
        <w:t xml:space="preserve">, </w:t>
      </w:r>
      <w:r w:rsidR="00587A52">
        <w:rPr>
          <w:color w:val="000000"/>
        </w:rPr>
        <w:t xml:space="preserve">household investment in rooftop PV </w:t>
      </w:r>
      <w:r w:rsidR="00ED3821">
        <w:rPr>
          <w:color w:val="000000"/>
        </w:rPr>
        <w:t xml:space="preserve">is determined through a logit choice function based on </w:t>
      </w:r>
      <w:r w:rsidR="00783C05">
        <w:rPr>
          <w:color w:val="000000"/>
        </w:rPr>
        <w:t>comparing</w:t>
      </w:r>
      <w:r w:rsidR="00633AEB">
        <w:rPr>
          <w:color w:val="000000"/>
        </w:rPr>
        <w:t xml:space="preserve"> </w:t>
      </w:r>
      <w:r w:rsidR="00BA6FC3">
        <w:rPr>
          <w:color w:val="000000"/>
        </w:rPr>
        <w:t xml:space="preserve">electricity prices from </w:t>
      </w:r>
      <w:r w:rsidR="00633AEB">
        <w:rPr>
          <w:color w:val="000000"/>
        </w:rPr>
        <w:t>utility</w:t>
      </w:r>
      <w:r w:rsidR="00444CAA">
        <w:rPr>
          <w:color w:val="000000"/>
        </w:rPr>
        <w:t xml:space="preserve">-scale </w:t>
      </w:r>
      <w:r w:rsidR="00BA6FC3">
        <w:rPr>
          <w:color w:val="000000"/>
        </w:rPr>
        <w:t xml:space="preserve">electricity </w:t>
      </w:r>
      <w:r w:rsidR="00444CAA">
        <w:rPr>
          <w:color w:val="000000"/>
        </w:rPr>
        <w:t>grid (</w:t>
      </w:r>
      <w:r w:rsidR="00DA1A85">
        <w:rPr>
          <w:color w:val="000000"/>
        </w:rPr>
        <w:t xml:space="preserve">hereforth, </w:t>
      </w:r>
      <w:r w:rsidR="00444CAA">
        <w:rPr>
          <w:color w:val="000000"/>
        </w:rPr>
        <w:t xml:space="preserve">grid electricity) and </w:t>
      </w:r>
      <w:r w:rsidR="00126116">
        <w:rPr>
          <w:color w:val="000000"/>
        </w:rPr>
        <w:t>self</w:t>
      </w:r>
      <w:r w:rsidR="00783C05">
        <w:rPr>
          <w:color w:val="000000"/>
        </w:rPr>
        <w:t>-</w:t>
      </w:r>
      <w:r w:rsidR="00126116">
        <w:rPr>
          <w:color w:val="000000"/>
        </w:rPr>
        <w:t>generated rooftop</w:t>
      </w:r>
      <w:r w:rsidR="00CC1DD6">
        <w:rPr>
          <w:color w:val="000000"/>
        </w:rPr>
        <w:t xml:space="preserve"> electricity. </w:t>
      </w:r>
      <w:r w:rsidR="00677359">
        <w:rPr>
          <w:color w:val="000000"/>
        </w:rPr>
        <w:t xml:space="preserve">This is similar to </w:t>
      </w:r>
      <w:r w:rsidR="00AF7753">
        <w:rPr>
          <w:color w:val="000000"/>
        </w:rPr>
        <w:t xml:space="preserve">modelling </w:t>
      </w:r>
      <w:r w:rsidR="00280624">
        <w:rPr>
          <w:color w:val="000000"/>
        </w:rPr>
        <w:t xml:space="preserve">the choice between increased heating costs and </w:t>
      </w:r>
      <w:r w:rsidR="00B758C4">
        <w:rPr>
          <w:color w:val="000000"/>
        </w:rPr>
        <w:t>adopting</w:t>
      </w:r>
      <w:r w:rsidR="00280624">
        <w:rPr>
          <w:color w:val="000000"/>
        </w:rPr>
        <w:t xml:space="preserve"> </w:t>
      </w:r>
      <w:r w:rsidR="006837CA">
        <w:rPr>
          <w:color w:val="000000"/>
        </w:rPr>
        <w:t>more energy</w:t>
      </w:r>
      <w:r w:rsidR="00B758C4">
        <w:rPr>
          <w:color w:val="000000"/>
        </w:rPr>
        <w:t>-</w:t>
      </w:r>
      <w:r w:rsidR="006837CA">
        <w:rPr>
          <w:color w:val="000000"/>
        </w:rPr>
        <w:t>efficient insulation.</w:t>
      </w:r>
      <w:r w:rsidR="00EA636E">
        <w:rPr>
          <w:color w:val="000000"/>
        </w:rPr>
        <w:t xml:space="preserve"> </w:t>
      </w:r>
      <w:r w:rsidR="00FF01EE">
        <w:rPr>
          <w:color w:val="000000"/>
        </w:rPr>
        <w:t xml:space="preserve">The technical </w:t>
      </w:r>
      <w:r w:rsidR="007D4E31">
        <w:rPr>
          <w:color w:val="000000"/>
        </w:rPr>
        <w:t xml:space="preserve">annual </w:t>
      </w:r>
      <w:r w:rsidR="00FF01EE">
        <w:rPr>
          <w:color w:val="000000"/>
        </w:rPr>
        <w:t xml:space="preserve">potential of </w:t>
      </w:r>
      <w:r w:rsidR="007D4E31">
        <w:rPr>
          <w:color w:val="000000"/>
        </w:rPr>
        <w:t xml:space="preserve">electricity generated through </w:t>
      </w:r>
      <w:r w:rsidR="00FF01EE">
        <w:rPr>
          <w:color w:val="000000"/>
        </w:rPr>
        <w:t>rooftop PV</w:t>
      </w:r>
      <w:r w:rsidR="00112CBA">
        <w:rPr>
          <w:color w:val="000000"/>
        </w:rPr>
        <w:t xml:space="preserve"> is calculated by combining </w:t>
      </w:r>
      <w:r w:rsidR="00397413">
        <w:rPr>
          <w:color w:val="000000"/>
        </w:rPr>
        <w:t xml:space="preserve">estimates on solar irradiation </w:t>
      </w:r>
      <w:r w:rsidR="00A16EFD">
        <w:rPr>
          <w:color w:val="000000"/>
        </w:rPr>
        <w:t xml:space="preserve">with </w:t>
      </w:r>
      <w:r w:rsidR="007D7BAE">
        <w:rPr>
          <w:color w:val="000000"/>
        </w:rPr>
        <w:t xml:space="preserve">available </w:t>
      </w:r>
      <w:r w:rsidR="006B49C8">
        <w:rPr>
          <w:color w:val="000000"/>
        </w:rPr>
        <w:t xml:space="preserve">rooftop area and present technical capacity of solar PV in </w:t>
      </w:r>
      <w:r w:rsidR="00FB6F67">
        <w:rPr>
          <w:color w:val="000000"/>
        </w:rPr>
        <w:t>energy conversion as follows: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1"/>
        <w:gridCol w:w="5482"/>
        <w:gridCol w:w="733"/>
      </w:tblGrid>
      <w:tr w:rsidR="00545F21" w14:paraId="62CEBCF8" w14:textId="77777777" w:rsidTr="008E50F2">
        <w:tc>
          <w:tcPr>
            <w:tcW w:w="2031" w:type="pct"/>
          </w:tcPr>
          <w:p w14:paraId="31938759" w14:textId="77777777" w:rsidR="00545F21" w:rsidRDefault="00545F21"/>
        </w:tc>
        <w:tc>
          <w:tcPr>
            <w:tcW w:w="2619" w:type="pct"/>
          </w:tcPr>
          <w:p w14:paraId="66DADCCB" w14:textId="22B47C54" w:rsidR="00545F21" w:rsidRPr="008A4827" w:rsidRDefault="00000000">
            <w:pPr>
              <w:rPr>
                <w:lang w:val="nl-NL"/>
              </w:rPr>
            </w:pPr>
            <m:oMath>
              <m:sSub>
                <m:sSubPr>
                  <m:ctrlPr>
                    <w:rPr>
                      <w:rFonts w:ascii="Cambria Math" w:eastAsiaTheme="minorHAnsi" w:hAnsi="Cambria Math"/>
                      <w:color w:val="000000"/>
                    </w:rPr>
                  </m:ctrlPr>
                </m:sSubPr>
                <m:e>
                  <m:r>
                    <w:rPr>
                      <w:rFonts w:ascii="Cambria Math" w:hAnsi="Cambria Math"/>
                      <w:color w:val="000000"/>
                    </w:rPr>
                    <m:t>E</m:t>
                  </m:r>
                </m:e>
                <m:sub>
                  <m:r>
                    <w:rPr>
                      <w:rFonts w:ascii="Cambria Math" w:hAnsi="Cambria Math"/>
                      <w:color w:val="000000"/>
                    </w:rPr>
                    <m:t>rt</m:t>
                  </m:r>
                </m:sub>
              </m:sSub>
            </m:oMath>
            <w:r w:rsidR="00545F21" w:rsidRPr="008A4827">
              <w:rPr>
                <w:rFonts w:eastAsiaTheme="minorEastAsia"/>
                <w:color w:val="000000"/>
                <w:lang w:val="nl-NL"/>
              </w:rPr>
              <w:t xml:space="preserve"> = </w:t>
            </w:r>
            <w:r w:rsidR="00545F21" w:rsidRPr="008A4827">
              <w:rPr>
                <w:rFonts w:eastAsiaTheme="minorEastAsia"/>
                <w:i/>
                <w:iCs/>
                <w:color w:val="000000"/>
                <w:lang w:val="nl-NL"/>
              </w:rPr>
              <w:t xml:space="preserve">G. </w:t>
            </w:r>
            <w:r w:rsidR="00545F21">
              <w:rPr>
                <w:rFonts w:eastAsiaTheme="minorEastAsia" w:cstheme="minorHAnsi"/>
                <w:i/>
                <w:iCs/>
                <w:color w:val="000000"/>
              </w:rPr>
              <w:t>η</w:t>
            </w:r>
            <w:r w:rsidR="00545F21" w:rsidRPr="008A4827">
              <w:rPr>
                <w:rFonts w:eastAsiaTheme="minorEastAsia" w:cstheme="minorHAnsi"/>
                <w:i/>
                <w:iCs/>
                <w:color w:val="000000"/>
                <w:lang w:val="nl-NL"/>
              </w:rPr>
              <w:t>. PR .SRA</w:t>
            </w:r>
          </w:p>
        </w:tc>
        <w:tc>
          <w:tcPr>
            <w:tcW w:w="350" w:type="pct"/>
          </w:tcPr>
          <w:p w14:paraId="755541EB" w14:textId="5548138F" w:rsidR="00545F21" w:rsidRDefault="00545F21">
            <w:r>
              <w:t>(</w:t>
            </w:r>
            <w:r>
              <w:fldChar w:fldCharType="begin"/>
            </w:r>
            <w:r>
              <w:instrText>SEQ Equation \* ARABIC</w:instrText>
            </w:r>
            <w:r>
              <w:fldChar w:fldCharType="separate"/>
            </w:r>
            <w:r w:rsidR="009D31E4">
              <w:t>1</w:t>
            </w:r>
            <w:r>
              <w:fldChar w:fldCharType="end"/>
            </w:r>
            <w:r>
              <w:t>)</w:t>
            </w:r>
          </w:p>
        </w:tc>
      </w:tr>
    </w:tbl>
    <w:p w14:paraId="34C97C04" w14:textId="77777777" w:rsidR="00C86DD6" w:rsidRDefault="00C86DD6" w:rsidP="008748BA"/>
    <w:p w14:paraId="1601E170" w14:textId="0DA628EB" w:rsidR="0054564B" w:rsidRDefault="00407286" w:rsidP="008748BA">
      <w:r w:rsidRPr="00407286">
        <w:t xml:space="preserve">where </w:t>
      </w:r>
      <w:r w:rsidRPr="00F87A60">
        <w:rPr>
          <w:i/>
          <w:iCs/>
        </w:rPr>
        <w:t>G</w:t>
      </w:r>
      <w:r w:rsidRPr="00407286">
        <w:t xml:space="preserve"> is the solar irradiation based on the NASA SSE6 Global Horizontal Radiation dataset available in 0.5◦ × 0.5◦ (kWh </w:t>
      </w:r>
      <m:oMath>
        <m:sSup>
          <m:sSupPr>
            <m:ctrlPr>
              <w:rPr>
                <w:rFonts w:ascii="Cambria Math" w:hAnsi="Cambria Math"/>
              </w:rPr>
            </m:ctrlPr>
          </m:sSupPr>
          <m:e>
            <m:r>
              <w:rPr>
                <w:rFonts w:ascii="Cambria Math" w:hAnsi="Cambria Math"/>
              </w:rPr>
              <m:t>m</m:t>
            </m:r>
          </m:e>
          <m:sup>
            <m:r>
              <w:rPr>
                <w:rFonts w:ascii="Cambria Math" w:hAnsi="Cambria Math"/>
              </w:rPr>
              <m:t>-2</m:t>
            </m:r>
          </m:sup>
        </m:sSup>
      </m:oMath>
      <w:r w:rsidRPr="00407286">
        <w:t>)</w:t>
      </w:r>
      <w:r w:rsidR="00554409">
        <w:t xml:space="preserve"> resolution </w:t>
      </w:r>
      <w:sdt>
        <w:sdtPr>
          <w:rPr>
            <w:color w:val="000000"/>
          </w:rPr>
          <w:tag w:val="MENDELEY_CITATION_v3_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"/>
          <w:id w:val="1539861972"/>
          <w:placeholder>
            <w:docPart w:val="DefaultPlaceholder_-1854013440"/>
          </w:placeholder>
        </w:sdtPr>
        <w:sdtContent>
          <w:r w:rsidR="00F951AB" w:rsidRPr="00F951AB">
            <w:rPr>
              <w:color w:val="000000"/>
            </w:rPr>
            <w:t>(Zhang et al., 2008)</w:t>
          </w:r>
        </w:sdtContent>
      </w:sdt>
      <w:r w:rsidRPr="00407286">
        <w:t xml:space="preserve">, </w:t>
      </w:r>
      <w:r w:rsidRPr="00F87A60">
        <w:rPr>
          <w:i/>
          <w:iCs/>
        </w:rPr>
        <w:t>ƞ</w:t>
      </w:r>
      <w:r w:rsidRPr="00407286">
        <w:t xml:space="preserve"> is the panel efficiency, </w:t>
      </w:r>
      <w:r w:rsidRPr="00F87A60">
        <w:rPr>
          <w:i/>
          <w:iCs/>
        </w:rPr>
        <w:t>PR</w:t>
      </w:r>
      <w:r w:rsidRPr="00407286">
        <w:t xml:space="preserve"> is the performance ratio expressing the difference between performance under standard test conditions </w:t>
      </w:r>
      <w:r w:rsidR="00F96008">
        <w:t xml:space="preserve">and </w:t>
      </w:r>
      <w:r w:rsidRPr="00407286">
        <w:t xml:space="preserve">the actual output of the system due to losses from sub-optimal angles and cable or inverter losses, and SRA </w:t>
      </w:r>
      <w:r w:rsidR="00F96008">
        <w:t xml:space="preserve">is </w:t>
      </w:r>
      <w:r w:rsidRPr="00407286">
        <w:t>the suitable roof area</w:t>
      </w:r>
      <w:r w:rsidR="009E4087">
        <w:t xml:space="preserve">. </w:t>
      </w:r>
      <w:r w:rsidR="00AF43C9">
        <w:t>Due to the lack of global rooftop data, suitable roof area (SRA) is estimated indirectly by mode</w:t>
      </w:r>
      <w:r w:rsidR="00F96008">
        <w:t>l</w:t>
      </w:r>
      <w:r w:rsidR="00AF43C9">
        <w:t>ling residential floorspace based on household expenditure and population data</w:t>
      </w:r>
      <w:r w:rsidR="00C574CE">
        <w:t xml:space="preserve"> (</w:t>
      </w:r>
      <w:r w:rsidR="00555348">
        <w:t xml:space="preserve">see </w:t>
      </w:r>
      <w:r w:rsidR="00555348" w:rsidRPr="00555348">
        <w:rPr>
          <w:i/>
          <w:iCs/>
        </w:rPr>
        <w:t>Fig</w:t>
      </w:r>
      <w:r w:rsidR="00A039DF">
        <w:rPr>
          <w:i/>
          <w:iCs/>
        </w:rPr>
        <w:t>.</w:t>
      </w:r>
      <w:r w:rsidR="00555348" w:rsidRPr="00555348">
        <w:rPr>
          <w:i/>
          <w:iCs/>
        </w:rPr>
        <w:t xml:space="preserve"> </w:t>
      </w:r>
      <w:r w:rsidR="00555348" w:rsidRPr="005774C3">
        <w:rPr>
          <w:i/>
          <w:iCs/>
        </w:rPr>
        <w:t>A1</w:t>
      </w:r>
      <w:r w:rsidR="00C574CE">
        <w:t>)</w:t>
      </w:r>
      <w:r w:rsidR="00AF43C9">
        <w:t>. This is calibrated using census</w:t>
      </w:r>
      <w:r w:rsidR="00892F96">
        <w:t xml:space="preserve"> data</w:t>
      </w:r>
      <w:r w:rsidR="00A039DF">
        <w:t>-</w:t>
      </w:r>
      <w:r w:rsidR="00AF43C9">
        <w:t>derived floor-to-roof ratios</w:t>
      </w:r>
      <w:r w:rsidR="006C1243">
        <w:t>,</w:t>
      </w:r>
      <w:r w:rsidR="00AF43C9">
        <w:t xml:space="preserve"> and adjusted with a suitability factor </w:t>
      </w:r>
      <w:r w:rsidR="00A7324A">
        <w:t xml:space="preserve">accounting for </w:t>
      </w:r>
      <w:r w:rsidR="006C1243">
        <w:t>roof types, shading, orientation</w:t>
      </w:r>
      <w:r w:rsidR="00AF43C9">
        <w:t xml:space="preserve"> </w:t>
      </w:r>
      <w:r w:rsidR="00BF78C0">
        <w:t xml:space="preserve">and architectural obtrusions </w:t>
      </w:r>
      <w:r w:rsidR="00AF43C9">
        <w:t>to approximate realistic rooftop availability for PV deployment</w:t>
      </w:r>
      <w:r w:rsidR="00ED00EA">
        <w:t>.</w:t>
      </w:r>
    </w:p>
    <w:p w14:paraId="5DCF2807" w14:textId="319A57D0" w:rsidR="00405223" w:rsidRDefault="0054564B" w:rsidP="008748BA">
      <w:r>
        <w:t>The levelized cost of electricity (LCOE) for rooftop PV is calculated as the total lifetime cost of installation (including capital, maintenance, and financing) divided by expected lifetime electricity generation</w:t>
      </w:r>
      <w:r w:rsidR="00551F1A">
        <w:t xml:space="preserve"> capacity</w:t>
      </w:r>
      <w:r>
        <w:t>.</w:t>
      </w:r>
      <w:r w:rsidR="00087FD5">
        <w:t xml:space="preserve"> </w:t>
      </w:r>
      <w:r w:rsidR="0031095C">
        <w:t>Through the logit choice modelling, h</w:t>
      </w:r>
      <w:r w:rsidR="00F23841">
        <w:t xml:space="preserve">ouseholds </w:t>
      </w:r>
      <w:r w:rsidR="009A6F55">
        <w:t xml:space="preserve">compare the LCOE of rooftop PV with </w:t>
      </w:r>
      <w:r w:rsidR="00D942F2">
        <w:t>the local</w:t>
      </w:r>
      <w:r w:rsidR="00B044BF">
        <w:t xml:space="preserve"> grid electricity prices</w:t>
      </w:r>
      <w:r w:rsidR="003426E0">
        <w:t xml:space="preserve">. Rooftop PV is adopted when it becomes the least-cost option for meeting </w:t>
      </w:r>
      <w:r w:rsidR="00507566">
        <w:t xml:space="preserve">the household electricity demand. This investment decision </w:t>
      </w:r>
      <w:r w:rsidR="00FC2512">
        <w:t>accounts for consumer discount rates</w:t>
      </w:r>
      <w:r w:rsidR="00F93EB8">
        <w:t xml:space="preserve"> which reflect the</w:t>
      </w:r>
      <w:r w:rsidR="00257C08">
        <w:t>ir investment preference (willingness to pay</w:t>
      </w:r>
      <w:r w:rsidR="005E1C07">
        <w:t xml:space="preserve"> upfront costs</w:t>
      </w:r>
      <w:r w:rsidR="00257C08">
        <w:t>)</w:t>
      </w:r>
      <w:r w:rsidR="007F6D1E">
        <w:t>.</w:t>
      </w:r>
    </w:p>
    <w:p w14:paraId="25C41766" w14:textId="50FF57C1" w:rsidR="0054564B" w:rsidRDefault="000B10C9" w:rsidP="008748BA">
      <w:r>
        <w:t>Literature on applicable consumer discount rates (CDRs) suggest</w:t>
      </w:r>
      <w:r w:rsidR="00D942F2">
        <w:t>s</w:t>
      </w:r>
      <w:r>
        <w:t xml:space="preserve"> that </w:t>
      </w:r>
      <w:r w:rsidR="00B55C30">
        <w:t xml:space="preserve">income is consistently the primary driver, </w:t>
      </w:r>
      <w:r>
        <w:t xml:space="preserve">while </w:t>
      </w:r>
      <w:r w:rsidR="00B55C30">
        <w:t xml:space="preserve">their </w:t>
      </w:r>
      <w:r>
        <w:t>values show highly context-driven variation</w:t>
      </w:r>
      <w:sdt>
        <w:sdtPr>
          <w:rPr>
            <w:color w:val="000000"/>
          </w:rPr>
          <w:tag w:val="MENDELEY_CITATION_v3_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"/>
          <w:id w:val="-1015382154"/>
          <w:placeholder>
            <w:docPart w:val="DefaultPlaceholder_-1854013440"/>
          </w:placeholder>
        </w:sdtPr>
        <w:sdtContent>
          <w:r w:rsidR="00F951AB" w:rsidRPr="00F951AB">
            <w:rPr>
              <w:color w:val="000000"/>
            </w:rPr>
            <w:t>(Reddy, 1996)</w:t>
          </w:r>
        </w:sdtContent>
      </w:sdt>
      <w:r>
        <w:t xml:space="preserve">. </w:t>
      </w:r>
      <w:r w:rsidR="00F301A4">
        <w:t xml:space="preserve">Consumer discount rates are </w:t>
      </w:r>
      <w:r w:rsidR="00932942">
        <w:t xml:space="preserve">accordingly </w:t>
      </w:r>
      <w:r w:rsidR="00F301A4">
        <w:t>modelled inversely proportional to income with a converging behaviour</w:t>
      </w:r>
      <w:r w:rsidR="000122A9">
        <w:t xml:space="preserve"> over time</w:t>
      </w:r>
      <w:r w:rsidR="00D6709D">
        <w:t>. They</w:t>
      </w:r>
      <w:r w:rsidR="00B4118E">
        <w:t xml:space="preserve"> are </w:t>
      </w:r>
      <w:r w:rsidR="007F64A7">
        <w:t xml:space="preserve">also </w:t>
      </w:r>
      <w:r w:rsidR="00B4118E">
        <w:t xml:space="preserve">used </w:t>
      </w:r>
      <w:r w:rsidR="007F64A7">
        <w:t>elsewhere in the model</w:t>
      </w:r>
      <w:r w:rsidR="000F0A70">
        <w:t xml:space="preserve"> such as </w:t>
      </w:r>
      <w:r w:rsidR="009F0640">
        <w:t xml:space="preserve">in estimating appliance diffusion </w:t>
      </w:r>
      <w:r w:rsidR="002F00F0">
        <w:t xml:space="preserve">or </w:t>
      </w:r>
      <w:r w:rsidR="00FD685E">
        <w:t xml:space="preserve">improved </w:t>
      </w:r>
      <w:r w:rsidR="002F00F0">
        <w:t xml:space="preserve">insulation </w:t>
      </w:r>
      <w:r w:rsidR="005049DB">
        <w:t xml:space="preserve">adoption </w:t>
      </w:r>
      <w:sdt>
        <w:sdtPr>
          <w:rPr>
            <w:color w:val="000000"/>
          </w:rPr>
          <w:tag w:val="MENDELEY_CITATION_v3_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"/>
          <w:id w:val="1842124367"/>
          <w:placeholder>
            <w:docPart w:val="DefaultPlaceholder_-1854013440"/>
          </w:placeholder>
        </w:sdtPr>
        <w:sdtContent>
          <w:r w:rsidR="00F951AB" w:rsidRPr="00F951AB">
            <w:rPr>
              <w:color w:val="000000"/>
            </w:rPr>
            <w:t>(Daioglou et al., 2022)</w:t>
          </w:r>
        </w:sdtContent>
      </w:sdt>
      <w:r w:rsidR="000122A9">
        <w:t xml:space="preserve">. </w:t>
      </w:r>
      <w:r w:rsidR="002246C4">
        <w:t>A higher discount rate</w:t>
      </w:r>
      <w:r w:rsidR="003A6655">
        <w:t xml:space="preserve"> characteristic of </w:t>
      </w:r>
      <w:r w:rsidR="008D3B63">
        <w:t>lower income levels</w:t>
      </w:r>
      <w:r w:rsidR="002246C4">
        <w:t xml:space="preserve"> leads to a higher annuity factor</w:t>
      </w:r>
      <w:r w:rsidR="00114F80">
        <w:t>, increasing the perceived annualised investment costs</w:t>
      </w:r>
      <w:r w:rsidR="00490D64">
        <w:t xml:space="preserve"> and thus total lifetime costs</w:t>
      </w:r>
      <w:r w:rsidR="008D3B63">
        <w:t xml:space="preserve">. Conversely, </w:t>
      </w:r>
      <w:r w:rsidR="00E7326D">
        <w:t xml:space="preserve">lower discount rates reduce these annualised costs, making rooftop PV a more affordable choice. </w:t>
      </w:r>
      <w:r w:rsidR="008A065D">
        <w:t xml:space="preserve">In contrast to </w:t>
      </w:r>
      <w:r w:rsidR="00B1799E">
        <w:t>household investment decision</w:t>
      </w:r>
      <w:r w:rsidR="001B7229">
        <w:t>s, utility</w:t>
      </w:r>
      <w:r w:rsidR="00017FEC">
        <w:t>-</w:t>
      </w:r>
      <w:r w:rsidR="001B7229">
        <w:t>scale electricity producers</w:t>
      </w:r>
      <w:r w:rsidR="00FB617C">
        <w:t xml:space="preserve"> in IMAGE</w:t>
      </w:r>
      <w:r w:rsidR="001B7229">
        <w:t xml:space="preserve"> are modelled with </w:t>
      </w:r>
      <w:r w:rsidR="009F48B1">
        <w:t xml:space="preserve">a </w:t>
      </w:r>
      <w:r w:rsidR="00415591">
        <w:t xml:space="preserve">constant, </w:t>
      </w:r>
      <w:r w:rsidR="001B7229">
        <w:t>lower discount rate</w:t>
      </w:r>
      <w:r w:rsidR="002850FE">
        <w:t xml:space="preserve"> (assumed 10%)</w:t>
      </w:r>
      <w:r w:rsidR="00BF5A6B">
        <w:t>, reflecting their better access to financing, lower investment risk</w:t>
      </w:r>
      <w:r w:rsidR="006A539B">
        <w:t xml:space="preserve"> preferences</w:t>
      </w:r>
      <w:r w:rsidR="00BF5A6B">
        <w:t>, and longer plan</w:t>
      </w:r>
      <w:r w:rsidR="00405223">
        <w:t>n</w:t>
      </w:r>
      <w:r w:rsidR="00BF5A6B">
        <w:t>ing horizons</w:t>
      </w:r>
      <w:r w:rsidR="006A539B">
        <w:t>.</w:t>
      </w:r>
      <w:r w:rsidR="008D4767">
        <w:t xml:space="preserve"> The assumed value is not regionally differentiated, but </w:t>
      </w:r>
      <w:r w:rsidR="00685FE9">
        <w:t xml:space="preserve">is </w:t>
      </w:r>
      <w:r w:rsidR="001A6E35">
        <w:t xml:space="preserve">consistent with </w:t>
      </w:r>
      <w:r w:rsidR="00685FE9">
        <w:t xml:space="preserve">literature </w:t>
      </w:r>
      <w:r w:rsidR="00B121A0">
        <w:t>as a re</w:t>
      </w:r>
      <w:r w:rsidR="00017FEC">
        <w:t>a</w:t>
      </w:r>
      <w:r w:rsidR="00B121A0">
        <w:t xml:space="preserve">sonable </w:t>
      </w:r>
      <w:r w:rsidR="00597F04">
        <w:t xml:space="preserve">mean value </w:t>
      </w:r>
      <w:r w:rsidR="009B57ED">
        <w:t xml:space="preserve">for </w:t>
      </w:r>
      <w:r w:rsidR="00B539E6">
        <w:t>long</w:t>
      </w:r>
      <w:r w:rsidR="00017FEC">
        <w:t>-</w:t>
      </w:r>
      <w:r w:rsidR="00B539E6">
        <w:t>term investment</w:t>
      </w:r>
      <w:r w:rsidR="00E8307E">
        <w:t xml:space="preserve"> costs</w:t>
      </w:r>
      <w:r w:rsidR="003213FB">
        <w:t xml:space="preserve"> in LCOE</w:t>
      </w:r>
      <w:r w:rsidR="00B539E6">
        <w:t xml:space="preserve"> calculations</w:t>
      </w:r>
      <w:r w:rsidR="004A1E65">
        <w:t xml:space="preserve"> </w:t>
      </w:r>
      <w:sdt>
        <w:sdtPr>
          <w:rPr>
            <w:color w:val="000000"/>
          </w:rPr>
          <w:tag w:val="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"/>
          <w:id w:val="1378977301"/>
          <w:placeholder>
            <w:docPart w:val="DefaultPlaceholder_-1854013440"/>
          </w:placeholder>
        </w:sdtPr>
        <w:sdtContent>
          <w:r w:rsidR="00F951AB" w:rsidRPr="00F951AB">
            <w:rPr>
              <w:rFonts w:eastAsia="Times New Roman"/>
              <w:color w:val="000000"/>
            </w:rPr>
            <w:t>(Hassett &amp; Metcalf, 1993; Howarth &amp; Sanstad, 1995; Kozlovas et al., 2023; Sigrin, 2013)</w:t>
          </w:r>
        </w:sdtContent>
      </w:sdt>
      <w:r w:rsidR="00B121A0">
        <w:t>.</w:t>
      </w:r>
    </w:p>
    <w:p w14:paraId="4FF79212" w14:textId="58491F43" w:rsidR="00B627ED" w:rsidRDefault="002D508D" w:rsidP="008748BA">
      <w:r>
        <w:t>S</w:t>
      </w:r>
      <w:r w:rsidR="00B067B1">
        <w:t>cenario</w:t>
      </w:r>
      <w:r>
        <w:t xml:space="preserve">s </w:t>
      </w:r>
      <w:r w:rsidR="008C4604">
        <w:t>representing incentivised adoption of rooftop PV</w:t>
      </w:r>
      <w:r w:rsidR="00B067B1">
        <w:t xml:space="preserve"> </w:t>
      </w:r>
      <w:r w:rsidR="00017FEC">
        <w:t>are</w:t>
      </w:r>
      <w:r w:rsidR="006851C0">
        <w:t xml:space="preserve"> implemented by reducing </w:t>
      </w:r>
      <w:r w:rsidR="008C4604">
        <w:t>its</w:t>
      </w:r>
      <w:r w:rsidR="006851C0">
        <w:t xml:space="preserve"> perceived </w:t>
      </w:r>
      <w:r w:rsidR="00F45469">
        <w:t>costs for targeted disadvantaged groups</w:t>
      </w:r>
      <w:r w:rsidR="008145AD">
        <w:t xml:space="preserve">, </w:t>
      </w:r>
      <w:r w:rsidR="0087595A">
        <w:t xml:space="preserve">achieved by </w:t>
      </w:r>
      <w:r w:rsidR="008145AD">
        <w:t xml:space="preserve">reducing </w:t>
      </w:r>
      <w:r w:rsidR="00996114">
        <w:t>the consumer</w:t>
      </w:r>
      <w:r w:rsidR="008145AD">
        <w:t xml:space="preserve"> </w:t>
      </w:r>
      <w:r w:rsidR="0087595A">
        <w:t>discount rate</w:t>
      </w:r>
      <w:r w:rsidR="000763D5">
        <w:t>.</w:t>
      </w:r>
      <w:r w:rsidR="00AC4A81">
        <w:t xml:space="preserve"> </w:t>
      </w:r>
      <w:r w:rsidR="00FC5AFE">
        <w:t xml:space="preserve">We assign the targeted households </w:t>
      </w:r>
      <w:r w:rsidR="00621D56">
        <w:t xml:space="preserve">the </w:t>
      </w:r>
      <w:r w:rsidR="00C10E16">
        <w:t xml:space="preserve">lower </w:t>
      </w:r>
      <w:r w:rsidR="00621D56">
        <w:t>CDR used for utility-scale electricity producers</w:t>
      </w:r>
      <w:r w:rsidR="009F43C1">
        <w:t xml:space="preserve"> (10%)</w:t>
      </w:r>
      <w:r w:rsidR="004830F7">
        <w:t>. This is a conservative choice, as studies on distributed rooftop PV suggest even lower rates (4–8%) may be appropriate</w:t>
      </w:r>
      <w:r w:rsidR="00BA08DA">
        <w:t xml:space="preserve"> </w:t>
      </w:r>
      <w:sdt>
        <w:sdtPr>
          <w:rPr>
            <w:color w:val="000000"/>
          </w:rPr>
          <w:tag w:val="MENDELEY_CITATION_v3_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"/>
          <w:id w:val="651413697"/>
          <w:placeholder>
            <w:docPart w:val="DefaultPlaceholder_-1854013440"/>
          </w:placeholder>
        </w:sdtPr>
        <w:sdtContent>
          <w:r w:rsidR="00F951AB" w:rsidRPr="00F951AB">
            <w:rPr>
              <w:color w:val="000000"/>
            </w:rPr>
            <w:t>(Tarigan, 2023)</w:t>
          </w:r>
        </w:sdtContent>
      </w:sdt>
      <w:r w:rsidR="005C419B">
        <w:t>.</w:t>
      </w:r>
      <w:r w:rsidR="00791B49">
        <w:t xml:space="preserve"> </w:t>
      </w:r>
      <w:r w:rsidR="00DC259A">
        <w:t xml:space="preserve">The reduced discount rate </w:t>
      </w:r>
      <w:r w:rsidR="002B5B07">
        <w:t xml:space="preserve">reflects </w:t>
      </w:r>
      <w:r w:rsidR="00AF4907">
        <w:t>polic</w:t>
      </w:r>
      <w:r w:rsidR="002C7573">
        <w:t>ies</w:t>
      </w:r>
      <w:r w:rsidR="009B37E6">
        <w:t xml:space="preserve"> aimed at</w:t>
      </w:r>
      <w:r w:rsidR="002C7573">
        <w:t xml:space="preserve"> </w:t>
      </w:r>
      <w:r w:rsidR="00B52A08">
        <w:t>incentivis</w:t>
      </w:r>
      <w:r w:rsidR="009B37E6">
        <w:t>ing</w:t>
      </w:r>
      <w:r w:rsidR="00B52A08">
        <w:t xml:space="preserve"> the </w:t>
      </w:r>
      <w:r w:rsidR="004223F6">
        <w:t>uptake</w:t>
      </w:r>
      <w:r w:rsidR="00060630">
        <w:t xml:space="preserve"> of rooftop PV among the disadvantaged </w:t>
      </w:r>
      <w:r w:rsidR="00455CE0">
        <w:t>income groups by lowering the financial barriers.</w:t>
      </w:r>
      <w:r w:rsidR="003D3A1D">
        <w:t xml:space="preserve"> </w:t>
      </w:r>
      <w:r w:rsidR="00661DC9">
        <w:t xml:space="preserve">Additionally, </w:t>
      </w:r>
      <w:r w:rsidR="001F7F8A">
        <w:t xml:space="preserve">a </w:t>
      </w:r>
      <w:r w:rsidR="004A7535">
        <w:t xml:space="preserve">net-metering policy </w:t>
      </w:r>
      <w:r w:rsidR="001F7F8A">
        <w:t xml:space="preserve">is </w:t>
      </w:r>
      <w:r w:rsidR="00617FB2">
        <w:t>simultaneously applied</w:t>
      </w:r>
      <w:r w:rsidR="001F7F8A">
        <w:t xml:space="preserve"> </w:t>
      </w:r>
      <w:r w:rsidR="00C937D4">
        <w:t>in scenarios incentivis</w:t>
      </w:r>
      <w:r w:rsidR="001937E9">
        <w:t>ing</w:t>
      </w:r>
      <w:r w:rsidR="00C937D4">
        <w:t xml:space="preserve"> roof PV</w:t>
      </w:r>
      <w:r w:rsidR="001937E9">
        <w:t xml:space="preserve"> uptake. Net-metering</w:t>
      </w:r>
      <w:r w:rsidR="0096754B">
        <w:t xml:space="preserve"> is a form of </w:t>
      </w:r>
      <w:r w:rsidR="001F6651">
        <w:t xml:space="preserve">energy policy </w:t>
      </w:r>
      <w:r w:rsidR="0093421E">
        <w:t xml:space="preserve">where excess </w:t>
      </w:r>
      <w:r w:rsidR="00D51DF4">
        <w:t xml:space="preserve">electricity </w:t>
      </w:r>
      <w:r w:rsidR="00D51DF4">
        <w:lastRenderedPageBreak/>
        <w:t xml:space="preserve">generated by rooftop PV </w:t>
      </w:r>
      <w:r w:rsidR="004B63C6">
        <w:t xml:space="preserve">can be sold </w:t>
      </w:r>
      <w:r w:rsidR="005364EF">
        <w:t>to the grid at retail prices</w:t>
      </w:r>
      <w:r w:rsidR="00154C9A">
        <w:t>.</w:t>
      </w:r>
      <w:r w:rsidR="001937E9">
        <w:t xml:space="preserve"> </w:t>
      </w:r>
      <w:r w:rsidR="00017FEC">
        <w:t>This implies</w:t>
      </w:r>
      <w:r w:rsidR="00125CA4">
        <w:t xml:space="preserve"> that </w:t>
      </w:r>
      <w:r w:rsidR="00017FEC">
        <w:t>households</w:t>
      </w:r>
      <w:r w:rsidR="00125CA4">
        <w:t xml:space="preserve"> only pay </w:t>
      </w:r>
      <w:r w:rsidR="00E274E8">
        <w:t xml:space="preserve">grid electricity prices for </w:t>
      </w:r>
      <w:r w:rsidR="008A62E1">
        <w:t xml:space="preserve">the </w:t>
      </w:r>
      <w:r w:rsidR="000A376F">
        <w:t xml:space="preserve">part of </w:t>
      </w:r>
      <w:r w:rsidR="00017FEC">
        <w:t xml:space="preserve">the </w:t>
      </w:r>
      <w:r w:rsidR="000A376F">
        <w:t xml:space="preserve">electricity demand in excess of rooftop PV production. </w:t>
      </w:r>
      <w:r w:rsidR="003173C9">
        <w:t xml:space="preserve">In the model, </w:t>
      </w:r>
      <w:r w:rsidR="003B74B1">
        <w:t xml:space="preserve">net-metering </w:t>
      </w:r>
      <w:r w:rsidR="00287737">
        <w:t xml:space="preserve">is represented in two ways: a) </w:t>
      </w:r>
      <w:r w:rsidR="00467D12">
        <w:t xml:space="preserve">full utilisation of </w:t>
      </w:r>
      <w:r w:rsidR="00DB3435">
        <w:t xml:space="preserve">installed </w:t>
      </w:r>
      <w:r w:rsidR="00E7321C">
        <w:t xml:space="preserve">generation </w:t>
      </w:r>
      <w:r w:rsidR="00DB3435">
        <w:t>capacity</w:t>
      </w:r>
      <w:r w:rsidR="00664028">
        <w:t xml:space="preserve"> (i.e., </w:t>
      </w:r>
      <w:r w:rsidR="00960361">
        <w:t xml:space="preserve">production </w:t>
      </w:r>
      <w:r w:rsidR="00664028">
        <w:t xml:space="preserve">not </w:t>
      </w:r>
      <w:r w:rsidR="00F40B85">
        <w:t>regulated</w:t>
      </w:r>
      <w:r w:rsidR="00664028">
        <w:t xml:space="preserve"> by </w:t>
      </w:r>
      <w:r w:rsidR="002101F3">
        <w:t>own residential demand</w:t>
      </w:r>
      <w:r w:rsidR="00960361">
        <w:t>, but</w:t>
      </w:r>
      <w:r w:rsidR="00F40B85">
        <w:t xml:space="preserve"> driven by</w:t>
      </w:r>
      <w:r w:rsidR="00960361">
        <w:t xml:space="preserve"> technical </w:t>
      </w:r>
      <w:r w:rsidR="00EC1300">
        <w:t>annual capacity</w:t>
      </w:r>
      <w:r w:rsidR="00664028">
        <w:t>)</w:t>
      </w:r>
      <w:r w:rsidR="00F40384">
        <w:t xml:space="preserve">, and b) </w:t>
      </w:r>
      <w:r w:rsidR="00DA0B40">
        <w:t xml:space="preserve">annual electricity demand is first met by rooftop </w:t>
      </w:r>
      <w:r w:rsidR="00B96FE0">
        <w:t>generated electricity</w:t>
      </w:r>
      <w:r w:rsidR="00FB11B4">
        <w:t xml:space="preserve"> priced at </w:t>
      </w:r>
      <w:r w:rsidR="00F32667">
        <w:t xml:space="preserve">calculated </w:t>
      </w:r>
      <w:r w:rsidR="00FB11B4">
        <w:t>operational costs</w:t>
      </w:r>
      <w:r w:rsidR="00B96FE0">
        <w:t xml:space="preserve">, and </w:t>
      </w:r>
      <w:r w:rsidR="004D2711">
        <w:t xml:space="preserve">only the </w:t>
      </w:r>
      <w:r w:rsidR="008C4C88">
        <w:t xml:space="preserve">remained of </w:t>
      </w:r>
      <w:r w:rsidR="00A87A8A">
        <w:t xml:space="preserve">electricity </w:t>
      </w:r>
      <w:r w:rsidR="004D2711">
        <w:t>demand</w:t>
      </w:r>
      <w:r w:rsidR="008C4C88">
        <w:t xml:space="preserve">, if any, </w:t>
      </w:r>
      <w:r w:rsidR="00A87A8A">
        <w:t xml:space="preserve">is </w:t>
      </w:r>
      <w:r w:rsidR="00420308">
        <w:t xml:space="preserve">priced at </w:t>
      </w:r>
      <w:r w:rsidR="005B16E7">
        <w:t xml:space="preserve">incident </w:t>
      </w:r>
      <w:r w:rsidR="00420308">
        <w:t>grid or utility prices.</w:t>
      </w:r>
    </w:p>
    <w:p w14:paraId="56CD88FC" w14:textId="5E6E8AE3" w:rsidR="006D6459" w:rsidRDefault="00A804EC" w:rsidP="00811805">
      <w:r w:rsidRPr="00A804EC">
        <w:t xml:space="preserve">The results show that residential rooftop PV can supply up to </w:t>
      </w:r>
      <w:r w:rsidR="0078653B">
        <w:t>21</w:t>
      </w:r>
      <w:r w:rsidR="001D7530">
        <w:t>%</w:t>
      </w:r>
      <w:r w:rsidRPr="00A804EC">
        <w:t xml:space="preserve"> of global electricity demand by 2100</w:t>
      </w:r>
      <w:r w:rsidR="00B61119">
        <w:t xml:space="preserve"> without additional incentives</w:t>
      </w:r>
      <w:r w:rsidRPr="00A804EC">
        <w:t xml:space="preserve">, </w:t>
      </w:r>
      <w:r w:rsidR="00B04A33">
        <w:t>contingent</w:t>
      </w:r>
      <w:r w:rsidRPr="00A804EC">
        <w:t xml:space="preserve"> on scenario assumptions.</w:t>
      </w:r>
      <w:r w:rsidR="00B1100D">
        <w:t xml:space="preserve"> </w:t>
      </w:r>
      <w:r w:rsidR="00C643C7">
        <w:t xml:space="preserve">Adoption is highest in regions </w:t>
      </w:r>
      <w:r w:rsidR="001644DD">
        <w:t>with high solar irradiation</w:t>
      </w:r>
      <w:r w:rsidR="00B61119">
        <w:t>,</w:t>
      </w:r>
      <w:r w:rsidR="001644DD">
        <w:t xml:space="preserve"> such as </w:t>
      </w:r>
      <w:r w:rsidR="005B5A00">
        <w:t xml:space="preserve">southern Africa and </w:t>
      </w:r>
      <w:r w:rsidR="0076078E">
        <w:t>Asia</w:t>
      </w:r>
      <w:r w:rsidR="007A78B8">
        <w:t xml:space="preserve">. Adoption </w:t>
      </w:r>
      <w:r w:rsidR="0076078E">
        <w:t>increase</w:t>
      </w:r>
      <w:r w:rsidR="00D424F3">
        <w:t>s</w:t>
      </w:r>
      <w:r w:rsidR="0076078E">
        <w:t xml:space="preserve"> over time as </w:t>
      </w:r>
      <w:r w:rsidR="009F0561">
        <w:t xml:space="preserve">income levels </w:t>
      </w:r>
      <w:r w:rsidR="00702B7B">
        <w:t>ri</w:t>
      </w:r>
      <w:r w:rsidR="00F83CC3">
        <w:t>se</w:t>
      </w:r>
      <w:r w:rsidR="006C6F42">
        <w:t xml:space="preserve"> and technology costs fall</w:t>
      </w:r>
      <w:r w:rsidR="00F83CC3">
        <w:t>.</w:t>
      </w:r>
      <w:r w:rsidR="006C6F42">
        <w:t xml:space="preserve"> </w:t>
      </w:r>
      <w:r w:rsidR="00FD12EE">
        <w:t xml:space="preserve">In </w:t>
      </w:r>
      <w:r w:rsidR="00083897">
        <w:t xml:space="preserve">the </w:t>
      </w:r>
      <w:r w:rsidR="00083897" w:rsidRPr="00083897">
        <w:rPr>
          <w:i/>
          <w:iCs/>
        </w:rPr>
        <w:t>PVIncentivise</w:t>
      </w:r>
      <w:r w:rsidR="00083897">
        <w:t xml:space="preserve"> scenario, </w:t>
      </w:r>
      <w:r w:rsidR="00C835AD">
        <w:t xml:space="preserve">generated </w:t>
      </w:r>
      <w:r w:rsidR="00B97E03">
        <w:t xml:space="preserve">rooftop PV electricity in </w:t>
      </w:r>
      <w:r w:rsidR="00083897">
        <w:t xml:space="preserve">targeted </w:t>
      </w:r>
      <w:r w:rsidR="00D9226D">
        <w:t xml:space="preserve">poor </w:t>
      </w:r>
      <w:r w:rsidR="00083897">
        <w:t xml:space="preserve">households </w:t>
      </w:r>
      <w:r w:rsidR="00725F39">
        <w:t>see</w:t>
      </w:r>
      <w:r w:rsidR="00702B7B">
        <w:t>s</w:t>
      </w:r>
      <w:r w:rsidR="00725F39">
        <w:t xml:space="preserve"> a corresponding increase</w:t>
      </w:r>
      <w:r w:rsidR="00702B7B">
        <w:t>,</w:t>
      </w:r>
      <w:r w:rsidR="00E40FA2">
        <w:t xml:space="preserve"> helping them bridge the gap to</w:t>
      </w:r>
      <w:r w:rsidR="00F5784C">
        <w:t xml:space="preserve"> richer households</w:t>
      </w:r>
      <w:r w:rsidR="00F14932">
        <w:t xml:space="preserve"> in terms of</w:t>
      </w:r>
      <w:r w:rsidR="00E40FA2">
        <w:t xml:space="preserve"> the shares of total electricity demand </w:t>
      </w:r>
      <w:r w:rsidR="00F5784C">
        <w:t>generated</w:t>
      </w:r>
      <w:r w:rsidR="00F14932">
        <w:t xml:space="preserve"> (</w:t>
      </w:r>
      <w:r w:rsidR="00F14932" w:rsidRPr="00F14932">
        <w:rPr>
          <w:i/>
          <w:iCs/>
        </w:rPr>
        <w:t>Fig</w:t>
      </w:r>
      <w:r w:rsidR="00001A4B">
        <w:rPr>
          <w:i/>
          <w:iCs/>
        </w:rPr>
        <w:t>s.</w:t>
      </w:r>
      <w:r w:rsidR="00F14932" w:rsidRPr="00F14932">
        <w:rPr>
          <w:i/>
          <w:iCs/>
        </w:rPr>
        <w:t xml:space="preserve"> A</w:t>
      </w:r>
      <w:r w:rsidR="00001A4B">
        <w:rPr>
          <w:i/>
          <w:iCs/>
        </w:rPr>
        <w:t xml:space="preserve">6-A8, Fig. </w:t>
      </w:r>
      <w:r w:rsidR="00963835">
        <w:rPr>
          <w:i/>
          <w:iCs/>
        </w:rPr>
        <w:t xml:space="preserve">2 </w:t>
      </w:r>
      <w:r w:rsidR="00963835" w:rsidRPr="00F16B94">
        <w:t>in main article text</w:t>
      </w:r>
      <w:r w:rsidR="00F14932">
        <w:t xml:space="preserve">). </w:t>
      </w:r>
    </w:p>
    <w:p w14:paraId="7FD86D4C" w14:textId="17DE6D7F" w:rsidR="00660C25" w:rsidRDefault="00660C25" w:rsidP="00660C25">
      <w:pPr>
        <w:pStyle w:val="IOPH2"/>
      </w:pPr>
      <w:r w:rsidRPr="00643D11">
        <w:t>A1.</w:t>
      </w:r>
      <w:r>
        <w:t>3</w:t>
      </w:r>
      <w:r w:rsidRPr="00643D11">
        <w:t xml:space="preserve"> </w:t>
      </w:r>
      <w:r>
        <w:t>Global regions in IMAGE</w:t>
      </w:r>
    </w:p>
    <w:p w14:paraId="2F7D8ED3" w14:textId="77777777" w:rsidR="007F0B3D" w:rsidRDefault="007F0B3D" w:rsidP="007F0B3D">
      <w:pPr>
        <w:pStyle w:val="Heading2"/>
      </w:pPr>
    </w:p>
    <w:tbl>
      <w:tblPr>
        <w:tblStyle w:val="GridTable1Light"/>
        <w:tblW w:w="1076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20" w:firstRow="1" w:lastRow="0" w:firstColumn="0" w:lastColumn="0" w:noHBand="0" w:noVBand="1"/>
      </w:tblPr>
      <w:tblGrid>
        <w:gridCol w:w="2122"/>
        <w:gridCol w:w="8646"/>
      </w:tblGrid>
      <w:tr w:rsidR="005A61A4" w:rsidRPr="00A30DE3" w14:paraId="6CFDE4F3" w14:textId="77777777" w:rsidTr="00EE65D1">
        <w:trPr>
          <w:cnfStyle w:val="100000000000" w:firstRow="1" w:lastRow="0" w:firstColumn="0" w:lastColumn="0" w:oddVBand="0" w:evenVBand="0" w:oddHBand="0" w:evenHBand="0" w:firstRowFirstColumn="0" w:firstRowLastColumn="0" w:lastRowFirstColumn="0" w:lastRowLastColumn="0"/>
          <w:trHeight w:val="300"/>
          <w:jc w:val="center"/>
        </w:trPr>
        <w:tc>
          <w:tcPr>
            <w:tcW w:w="2122" w:type="dxa"/>
            <w:tcBorders>
              <w:bottom w:val="single" w:sz="4" w:space="0" w:color="auto"/>
            </w:tcBorders>
            <w:hideMark/>
          </w:tcPr>
          <w:p w14:paraId="7970804A" w14:textId="10750FE8" w:rsidR="005A61A4" w:rsidRPr="00A30DE3" w:rsidRDefault="005A61A4" w:rsidP="00C6051F">
            <w:r>
              <w:t>Region</w:t>
            </w:r>
          </w:p>
        </w:tc>
        <w:tc>
          <w:tcPr>
            <w:tcW w:w="8646" w:type="dxa"/>
            <w:tcBorders>
              <w:bottom w:val="single" w:sz="4" w:space="0" w:color="auto"/>
            </w:tcBorders>
            <w:hideMark/>
          </w:tcPr>
          <w:p w14:paraId="6BF68FF7" w14:textId="5C963328" w:rsidR="005A61A4" w:rsidRPr="00A30DE3" w:rsidRDefault="005A61A4" w:rsidP="00C6051F">
            <w:r>
              <w:t>Countries</w:t>
            </w:r>
          </w:p>
        </w:tc>
      </w:tr>
      <w:tr w:rsidR="005A61A4" w:rsidRPr="00D86F04" w14:paraId="03F1E073" w14:textId="77777777" w:rsidTr="00EE65D1">
        <w:trPr>
          <w:trHeight w:val="300"/>
          <w:jc w:val="center"/>
        </w:trPr>
        <w:tc>
          <w:tcPr>
            <w:tcW w:w="2122" w:type="dxa"/>
            <w:tcBorders>
              <w:top w:val="single" w:sz="4" w:space="0" w:color="auto"/>
            </w:tcBorders>
          </w:tcPr>
          <w:p w14:paraId="1FF39D48" w14:textId="3727E5AF" w:rsidR="005A61A4" w:rsidRPr="006A491E" w:rsidRDefault="005A61A4" w:rsidP="007F0B3D">
            <w:pPr>
              <w:rPr>
                <w:u w:val="single"/>
              </w:rPr>
            </w:pPr>
            <w:r w:rsidRPr="006A491E">
              <w:rPr>
                <w:u w:val="single"/>
              </w:rPr>
              <w:t>Canada</w:t>
            </w:r>
          </w:p>
        </w:tc>
        <w:tc>
          <w:tcPr>
            <w:tcW w:w="8646" w:type="dxa"/>
            <w:tcBorders>
              <w:top w:val="single" w:sz="4" w:space="0" w:color="auto"/>
            </w:tcBorders>
          </w:tcPr>
          <w:p w14:paraId="5FE58A27" w14:textId="4C9902C9" w:rsidR="005A61A4" w:rsidRPr="00557126" w:rsidRDefault="005A61A4" w:rsidP="007F0B3D">
            <w:r w:rsidRPr="00A47BF6">
              <w:t>Canada</w:t>
            </w:r>
          </w:p>
        </w:tc>
      </w:tr>
      <w:tr w:rsidR="005A61A4" w:rsidRPr="00D86F04" w14:paraId="52FE282C" w14:textId="77777777" w:rsidTr="00EE65D1">
        <w:trPr>
          <w:trHeight w:val="300"/>
          <w:jc w:val="center"/>
        </w:trPr>
        <w:tc>
          <w:tcPr>
            <w:tcW w:w="2122" w:type="dxa"/>
          </w:tcPr>
          <w:p w14:paraId="17E07F38" w14:textId="45B72DAA" w:rsidR="005A61A4" w:rsidRPr="006A491E" w:rsidRDefault="005A61A4" w:rsidP="007F0B3D">
            <w:pPr>
              <w:rPr>
                <w:u w:val="single"/>
              </w:rPr>
            </w:pPr>
            <w:r w:rsidRPr="006A491E">
              <w:rPr>
                <w:u w:val="single"/>
              </w:rPr>
              <w:t>USA</w:t>
            </w:r>
          </w:p>
        </w:tc>
        <w:tc>
          <w:tcPr>
            <w:tcW w:w="8646" w:type="dxa"/>
          </w:tcPr>
          <w:p w14:paraId="1A7D4649" w14:textId="493B86D2" w:rsidR="005A61A4" w:rsidRPr="00557126" w:rsidRDefault="005A61A4" w:rsidP="007F0B3D">
            <w:r w:rsidRPr="00A47BF6">
              <w:t>St. Pierre and Miquelon, United States</w:t>
            </w:r>
          </w:p>
        </w:tc>
      </w:tr>
      <w:tr w:rsidR="005A61A4" w:rsidRPr="00D86F04" w14:paraId="3AE27123" w14:textId="77777777" w:rsidTr="00EE65D1">
        <w:trPr>
          <w:trHeight w:val="300"/>
          <w:jc w:val="center"/>
        </w:trPr>
        <w:tc>
          <w:tcPr>
            <w:tcW w:w="2122" w:type="dxa"/>
          </w:tcPr>
          <w:p w14:paraId="66A28825" w14:textId="36652EC4" w:rsidR="005A61A4" w:rsidRPr="006A491E" w:rsidRDefault="005A61A4" w:rsidP="007F0B3D">
            <w:pPr>
              <w:rPr>
                <w:u w:val="single"/>
              </w:rPr>
            </w:pPr>
            <w:r w:rsidRPr="006A491E">
              <w:rPr>
                <w:u w:val="single"/>
              </w:rPr>
              <w:t>Mexico</w:t>
            </w:r>
          </w:p>
        </w:tc>
        <w:tc>
          <w:tcPr>
            <w:tcW w:w="8646" w:type="dxa"/>
          </w:tcPr>
          <w:p w14:paraId="044DE1F7" w14:textId="48FEABB5" w:rsidR="005A61A4" w:rsidRPr="00557126" w:rsidRDefault="005A61A4" w:rsidP="007F0B3D">
            <w:r w:rsidRPr="00A47BF6">
              <w:t>Mexico</w:t>
            </w:r>
          </w:p>
        </w:tc>
      </w:tr>
      <w:tr w:rsidR="005A61A4" w:rsidRPr="00D86F04" w14:paraId="225D5EE9" w14:textId="77777777" w:rsidTr="00EE65D1">
        <w:trPr>
          <w:trHeight w:val="300"/>
          <w:jc w:val="center"/>
        </w:trPr>
        <w:tc>
          <w:tcPr>
            <w:tcW w:w="2122" w:type="dxa"/>
          </w:tcPr>
          <w:p w14:paraId="06FDBEE9" w14:textId="26BFD248" w:rsidR="005A61A4" w:rsidRPr="006A491E" w:rsidRDefault="005A61A4" w:rsidP="007F0B3D">
            <w:pPr>
              <w:rPr>
                <w:u w:val="single"/>
              </w:rPr>
            </w:pPr>
            <w:r w:rsidRPr="006A491E">
              <w:rPr>
                <w:u w:val="single"/>
              </w:rPr>
              <w:t>Central America</w:t>
            </w:r>
          </w:p>
        </w:tc>
        <w:tc>
          <w:tcPr>
            <w:tcW w:w="8646" w:type="dxa"/>
          </w:tcPr>
          <w:p w14:paraId="4F91AB17" w14:textId="57519C88" w:rsidR="005A61A4" w:rsidRPr="00557126" w:rsidRDefault="005A61A4" w:rsidP="007F0B3D">
            <w:r w:rsidRPr="00A47BF6">
              <w:t>Anguilla, Aruba, Bahamas, The, Barbados, Belize, Bermuda, Cayman Islands, Costa Rica, Dominica, Dominican Republic, El Salvador, Grenada, Guadeloupe, Guatemala, Haiti, Honduras, Jamaica, Martinique, Montserrat, Netherlands Antilles, Nicaragua, Panama, Puerto Rico, St. Kitts and Nevis, St. Lucia, St. Vincent and the Grenadines, Trinidad and Tobago, Turks and Caicos Isl., Virgin Isl. (Br.), Virgin Islands (U.S.)</w:t>
            </w:r>
          </w:p>
        </w:tc>
      </w:tr>
      <w:tr w:rsidR="005A61A4" w:rsidRPr="00D86F04" w14:paraId="0B44767E" w14:textId="77777777" w:rsidTr="00EE65D1">
        <w:trPr>
          <w:trHeight w:val="300"/>
          <w:jc w:val="center"/>
        </w:trPr>
        <w:tc>
          <w:tcPr>
            <w:tcW w:w="2122" w:type="dxa"/>
          </w:tcPr>
          <w:p w14:paraId="63507787" w14:textId="0051A3D6" w:rsidR="005A61A4" w:rsidRPr="006A491E" w:rsidRDefault="005A61A4" w:rsidP="007F0B3D">
            <w:pPr>
              <w:rPr>
                <w:u w:val="single"/>
              </w:rPr>
            </w:pPr>
            <w:r w:rsidRPr="006A491E">
              <w:rPr>
                <w:u w:val="single"/>
              </w:rPr>
              <w:t>Brazil</w:t>
            </w:r>
          </w:p>
        </w:tc>
        <w:tc>
          <w:tcPr>
            <w:tcW w:w="8646" w:type="dxa"/>
          </w:tcPr>
          <w:p w14:paraId="21065701" w14:textId="6F284853" w:rsidR="005A61A4" w:rsidRPr="00557126" w:rsidRDefault="005A61A4" w:rsidP="007F0B3D">
            <w:r w:rsidRPr="00A47BF6">
              <w:t>Brazil</w:t>
            </w:r>
          </w:p>
        </w:tc>
      </w:tr>
      <w:tr w:rsidR="005A61A4" w:rsidRPr="00D86F04" w14:paraId="3474F85A" w14:textId="77777777" w:rsidTr="00EE65D1">
        <w:trPr>
          <w:trHeight w:val="300"/>
          <w:jc w:val="center"/>
        </w:trPr>
        <w:tc>
          <w:tcPr>
            <w:tcW w:w="2122" w:type="dxa"/>
          </w:tcPr>
          <w:p w14:paraId="4B75C3FD" w14:textId="6F453FEC" w:rsidR="005A61A4" w:rsidRPr="006A491E" w:rsidRDefault="005A61A4" w:rsidP="007F0B3D">
            <w:pPr>
              <w:rPr>
                <w:u w:val="single"/>
              </w:rPr>
            </w:pPr>
            <w:r w:rsidRPr="006A491E">
              <w:rPr>
                <w:u w:val="single"/>
              </w:rPr>
              <w:t>Rest of South America</w:t>
            </w:r>
          </w:p>
        </w:tc>
        <w:tc>
          <w:tcPr>
            <w:tcW w:w="8646" w:type="dxa"/>
          </w:tcPr>
          <w:p w14:paraId="7FECA4A3" w14:textId="08CAD60F" w:rsidR="005A61A4" w:rsidRPr="00557126" w:rsidRDefault="005A61A4" w:rsidP="007F0B3D">
            <w:r w:rsidRPr="00A47BF6">
              <w:t>Argentina, Bolivia, Chile, Colombia, Ecuador, Falklands Isl., French Guyana, Guyana, Paraguay, Peru, Suriname, Uruguay, Venezuela, RB</w:t>
            </w:r>
          </w:p>
        </w:tc>
      </w:tr>
      <w:tr w:rsidR="005A61A4" w:rsidRPr="00D86F04" w14:paraId="5090022B" w14:textId="77777777" w:rsidTr="00EE65D1">
        <w:trPr>
          <w:trHeight w:val="300"/>
          <w:jc w:val="center"/>
        </w:trPr>
        <w:tc>
          <w:tcPr>
            <w:tcW w:w="2122" w:type="dxa"/>
          </w:tcPr>
          <w:p w14:paraId="191F5936" w14:textId="530CEAA6" w:rsidR="005A61A4" w:rsidRPr="006A491E" w:rsidRDefault="005A61A4" w:rsidP="007F0B3D">
            <w:pPr>
              <w:rPr>
                <w:u w:val="single"/>
              </w:rPr>
            </w:pPr>
            <w:r w:rsidRPr="006A491E">
              <w:rPr>
                <w:u w:val="single"/>
              </w:rPr>
              <w:t>Northern Africa</w:t>
            </w:r>
          </w:p>
        </w:tc>
        <w:tc>
          <w:tcPr>
            <w:tcW w:w="8646" w:type="dxa"/>
          </w:tcPr>
          <w:p w14:paraId="62AE3765" w14:textId="38B6CA03" w:rsidR="005A61A4" w:rsidRPr="00557126" w:rsidRDefault="005A61A4" w:rsidP="007F0B3D">
            <w:r w:rsidRPr="00A47BF6">
              <w:t>Algeria, Egypt, Arab Rep., Libya, Morocco, Tunisia, Western Sahara</w:t>
            </w:r>
          </w:p>
        </w:tc>
      </w:tr>
      <w:tr w:rsidR="005A61A4" w:rsidRPr="00D86F04" w14:paraId="6DB17796" w14:textId="77777777" w:rsidTr="00EE65D1">
        <w:trPr>
          <w:trHeight w:val="300"/>
          <w:jc w:val="center"/>
        </w:trPr>
        <w:tc>
          <w:tcPr>
            <w:tcW w:w="2122" w:type="dxa"/>
          </w:tcPr>
          <w:p w14:paraId="6F1544DB" w14:textId="15DA193E" w:rsidR="005A61A4" w:rsidRPr="006A491E" w:rsidRDefault="005A61A4" w:rsidP="007F0B3D">
            <w:pPr>
              <w:rPr>
                <w:u w:val="single"/>
              </w:rPr>
            </w:pPr>
            <w:r w:rsidRPr="006A491E">
              <w:rPr>
                <w:u w:val="single"/>
              </w:rPr>
              <w:t>Western Africa</w:t>
            </w:r>
          </w:p>
        </w:tc>
        <w:tc>
          <w:tcPr>
            <w:tcW w:w="8646" w:type="dxa"/>
          </w:tcPr>
          <w:p w14:paraId="1DFF7ED5" w14:textId="12E6BBCE" w:rsidR="005A61A4" w:rsidRPr="00557126" w:rsidRDefault="005A61A4" w:rsidP="007F0B3D">
            <w:r w:rsidRPr="00A47BF6">
              <w:t>Benin, Burkina Faso, Cameroon, Cape Verde, Central African Republic, Chad, Congo, Dem. Rep., Congo, Rep., Cote d</w:t>
            </w:r>
            <w:r w:rsidR="00786DD1">
              <w:t>’</w:t>
            </w:r>
            <w:r w:rsidRPr="00A47BF6">
              <w:t>Ivoire, Equatorial Guinea, Gabon, Gambia, The, Ghana, Guinea, Guinea-Bissau, Liberia, Mali, Mauritania, Niger, Nigeria, Sao Tome and Principe, Senegal, Sierra Leone, St. Helena, Togo</w:t>
            </w:r>
          </w:p>
        </w:tc>
      </w:tr>
      <w:tr w:rsidR="005A61A4" w:rsidRPr="00D86F04" w14:paraId="14489E5F" w14:textId="77777777" w:rsidTr="00EE65D1">
        <w:trPr>
          <w:trHeight w:val="300"/>
          <w:jc w:val="center"/>
        </w:trPr>
        <w:tc>
          <w:tcPr>
            <w:tcW w:w="2122" w:type="dxa"/>
          </w:tcPr>
          <w:p w14:paraId="421733CE" w14:textId="7F4AE677" w:rsidR="005A61A4" w:rsidRPr="006A491E" w:rsidRDefault="005A61A4" w:rsidP="007F0B3D">
            <w:pPr>
              <w:rPr>
                <w:u w:val="single"/>
              </w:rPr>
            </w:pPr>
            <w:r w:rsidRPr="006A491E">
              <w:rPr>
                <w:u w:val="single"/>
              </w:rPr>
              <w:t>Eastern Africa</w:t>
            </w:r>
          </w:p>
        </w:tc>
        <w:tc>
          <w:tcPr>
            <w:tcW w:w="8646" w:type="dxa"/>
          </w:tcPr>
          <w:p w14:paraId="065F623E" w14:textId="37F2EBCC" w:rsidR="005A61A4" w:rsidRPr="00557126" w:rsidRDefault="005A61A4" w:rsidP="007F0B3D">
            <w:r w:rsidRPr="00A47BF6">
              <w:t>Burundi, Comoros, Djibouti, Eritrea, Ethiopia, Kenya, Madagascar, Mauritius, Reunion, Rwanda, Seychelles, Somalia, Sudan, Uganda</w:t>
            </w:r>
          </w:p>
        </w:tc>
      </w:tr>
      <w:tr w:rsidR="005A61A4" w:rsidRPr="00D86F04" w14:paraId="69D6FFC8" w14:textId="77777777" w:rsidTr="00EE65D1">
        <w:trPr>
          <w:trHeight w:val="300"/>
          <w:jc w:val="center"/>
        </w:trPr>
        <w:tc>
          <w:tcPr>
            <w:tcW w:w="2122" w:type="dxa"/>
          </w:tcPr>
          <w:p w14:paraId="19887E93" w14:textId="44200D33" w:rsidR="005A61A4" w:rsidRPr="006A491E" w:rsidRDefault="005A61A4" w:rsidP="007F0B3D">
            <w:pPr>
              <w:rPr>
                <w:u w:val="single"/>
              </w:rPr>
            </w:pPr>
            <w:r w:rsidRPr="006A491E">
              <w:rPr>
                <w:u w:val="single"/>
              </w:rPr>
              <w:t>South Africa</w:t>
            </w:r>
          </w:p>
        </w:tc>
        <w:tc>
          <w:tcPr>
            <w:tcW w:w="8646" w:type="dxa"/>
          </w:tcPr>
          <w:p w14:paraId="710F0F9D" w14:textId="17EC894C" w:rsidR="005A61A4" w:rsidRPr="00557126" w:rsidRDefault="005A61A4" w:rsidP="007F0B3D">
            <w:r w:rsidRPr="00A47BF6">
              <w:t>South Africa</w:t>
            </w:r>
          </w:p>
        </w:tc>
      </w:tr>
      <w:tr w:rsidR="005A61A4" w:rsidRPr="00D86F04" w14:paraId="557B2677" w14:textId="77777777" w:rsidTr="00EE65D1">
        <w:trPr>
          <w:trHeight w:val="300"/>
          <w:jc w:val="center"/>
        </w:trPr>
        <w:tc>
          <w:tcPr>
            <w:tcW w:w="2122" w:type="dxa"/>
          </w:tcPr>
          <w:p w14:paraId="20218E1F" w14:textId="5A42B74A" w:rsidR="005A61A4" w:rsidRPr="006A491E" w:rsidRDefault="005A61A4" w:rsidP="007F0B3D">
            <w:pPr>
              <w:rPr>
                <w:u w:val="single"/>
              </w:rPr>
            </w:pPr>
            <w:r w:rsidRPr="006A491E">
              <w:rPr>
                <w:u w:val="single"/>
              </w:rPr>
              <w:t>Western Europe</w:t>
            </w:r>
          </w:p>
        </w:tc>
        <w:tc>
          <w:tcPr>
            <w:tcW w:w="8646" w:type="dxa"/>
          </w:tcPr>
          <w:p w14:paraId="785AFBCF" w14:textId="0BCC1DCB" w:rsidR="005A61A4" w:rsidRPr="00557126" w:rsidRDefault="005A61A4" w:rsidP="007F0B3D">
            <w:r w:rsidRPr="00A47BF6">
              <w:t>Andorra, Austria, Belgium, Denmark, Faeroe Islands, Finland, France, Germany, Gibraltar, Greece, Iceland, Ireland, Italy, Liechtenstein, Luxembourg, Malta, Monaco, Netherlands, Norway, Portugal, San Marino, Spain, Sweden, Switzerland, United Kingdom, Vatican City State</w:t>
            </w:r>
          </w:p>
        </w:tc>
      </w:tr>
      <w:tr w:rsidR="005A61A4" w:rsidRPr="00D86F04" w14:paraId="73BF3F19" w14:textId="77777777" w:rsidTr="00EE65D1">
        <w:trPr>
          <w:trHeight w:val="300"/>
          <w:jc w:val="center"/>
        </w:trPr>
        <w:tc>
          <w:tcPr>
            <w:tcW w:w="2122" w:type="dxa"/>
          </w:tcPr>
          <w:p w14:paraId="6D1D57BA" w14:textId="0EAA1325" w:rsidR="005A61A4" w:rsidRPr="006A491E" w:rsidRDefault="005A61A4" w:rsidP="007F0B3D">
            <w:pPr>
              <w:rPr>
                <w:u w:val="single"/>
              </w:rPr>
            </w:pPr>
            <w:r w:rsidRPr="006A491E">
              <w:rPr>
                <w:u w:val="single"/>
              </w:rPr>
              <w:t>Central Europe</w:t>
            </w:r>
          </w:p>
        </w:tc>
        <w:tc>
          <w:tcPr>
            <w:tcW w:w="8646" w:type="dxa"/>
          </w:tcPr>
          <w:p w14:paraId="459EAF7E" w14:textId="4DA7BEFF" w:rsidR="005A61A4" w:rsidRPr="00557126" w:rsidRDefault="005A61A4" w:rsidP="007F0B3D">
            <w:r w:rsidRPr="00A47BF6">
              <w:t>Albania, Bosnia and Herzegovina, Bulgaria, Croatia, Cyprus, Czech Republic, Estonia, Hungary, Latvia, Lithuania, Macedonia, FYR, Poland, Romania, Serbia and Montenegro, Slovak Republic, Slovenia</w:t>
            </w:r>
          </w:p>
        </w:tc>
      </w:tr>
      <w:tr w:rsidR="005A61A4" w:rsidRPr="00D86F04" w14:paraId="0C31B5FB" w14:textId="77777777" w:rsidTr="00EE65D1">
        <w:trPr>
          <w:trHeight w:val="300"/>
          <w:jc w:val="center"/>
        </w:trPr>
        <w:tc>
          <w:tcPr>
            <w:tcW w:w="2122" w:type="dxa"/>
          </w:tcPr>
          <w:p w14:paraId="7D7F2439" w14:textId="36132D56" w:rsidR="005A61A4" w:rsidRPr="006A491E" w:rsidRDefault="005A61A4" w:rsidP="007F0B3D">
            <w:pPr>
              <w:rPr>
                <w:u w:val="single"/>
              </w:rPr>
            </w:pPr>
            <w:r w:rsidRPr="006A491E">
              <w:rPr>
                <w:u w:val="single"/>
              </w:rPr>
              <w:t>Turkey</w:t>
            </w:r>
          </w:p>
        </w:tc>
        <w:tc>
          <w:tcPr>
            <w:tcW w:w="8646" w:type="dxa"/>
          </w:tcPr>
          <w:p w14:paraId="66C0C425" w14:textId="5F4548FC" w:rsidR="005A61A4" w:rsidRPr="00557126" w:rsidRDefault="005A61A4" w:rsidP="007F0B3D">
            <w:r w:rsidRPr="00A47BF6">
              <w:t>Turkey</w:t>
            </w:r>
          </w:p>
        </w:tc>
      </w:tr>
      <w:tr w:rsidR="005A61A4" w:rsidRPr="00D86F04" w14:paraId="6591BCCC" w14:textId="77777777" w:rsidTr="00EE65D1">
        <w:trPr>
          <w:trHeight w:val="300"/>
          <w:jc w:val="center"/>
        </w:trPr>
        <w:tc>
          <w:tcPr>
            <w:tcW w:w="2122" w:type="dxa"/>
          </w:tcPr>
          <w:p w14:paraId="6FE523E4" w14:textId="02E0DB15" w:rsidR="005A61A4" w:rsidRPr="006A491E" w:rsidRDefault="005A61A4" w:rsidP="007F0B3D">
            <w:pPr>
              <w:rPr>
                <w:u w:val="single"/>
              </w:rPr>
            </w:pPr>
            <w:r w:rsidRPr="006A491E">
              <w:rPr>
                <w:u w:val="single"/>
              </w:rPr>
              <w:t>Ukraine region</w:t>
            </w:r>
          </w:p>
        </w:tc>
        <w:tc>
          <w:tcPr>
            <w:tcW w:w="8646" w:type="dxa"/>
          </w:tcPr>
          <w:p w14:paraId="1B77FF81" w14:textId="4553B056" w:rsidR="005A61A4" w:rsidRPr="00557126" w:rsidRDefault="005A61A4" w:rsidP="007F0B3D">
            <w:r w:rsidRPr="00A47BF6">
              <w:t>Belarus, Moldova, Ukraine</w:t>
            </w:r>
          </w:p>
        </w:tc>
      </w:tr>
      <w:tr w:rsidR="005A61A4" w:rsidRPr="00D86F04" w14:paraId="7D1821C0" w14:textId="77777777" w:rsidTr="00EE65D1">
        <w:trPr>
          <w:trHeight w:val="300"/>
          <w:jc w:val="center"/>
        </w:trPr>
        <w:tc>
          <w:tcPr>
            <w:tcW w:w="2122" w:type="dxa"/>
          </w:tcPr>
          <w:p w14:paraId="6C4B7EEC" w14:textId="28E1B680" w:rsidR="005A61A4" w:rsidRPr="006A491E" w:rsidRDefault="005A61A4" w:rsidP="007F0B3D">
            <w:pPr>
              <w:rPr>
                <w:u w:val="single"/>
              </w:rPr>
            </w:pPr>
            <w:r w:rsidRPr="006A491E">
              <w:rPr>
                <w:u w:val="single"/>
              </w:rPr>
              <w:t>Central Asia</w:t>
            </w:r>
          </w:p>
        </w:tc>
        <w:tc>
          <w:tcPr>
            <w:tcW w:w="8646" w:type="dxa"/>
          </w:tcPr>
          <w:p w14:paraId="6C0B0051" w14:textId="1FEA0A5B" w:rsidR="005A61A4" w:rsidRPr="00557126" w:rsidRDefault="005A61A4" w:rsidP="007F0B3D">
            <w:r w:rsidRPr="00A47BF6">
              <w:t>Kazakhstan, Kyrgyz Republic, Tajikistan, Turkmenistan, Uzbekistan</w:t>
            </w:r>
          </w:p>
        </w:tc>
      </w:tr>
      <w:tr w:rsidR="005A61A4" w:rsidRPr="00D86F04" w14:paraId="2F95018C" w14:textId="77777777" w:rsidTr="00EE65D1">
        <w:trPr>
          <w:trHeight w:val="300"/>
          <w:jc w:val="center"/>
        </w:trPr>
        <w:tc>
          <w:tcPr>
            <w:tcW w:w="2122" w:type="dxa"/>
          </w:tcPr>
          <w:p w14:paraId="0A668D9B" w14:textId="3D49BAA6" w:rsidR="005A61A4" w:rsidRPr="006A491E" w:rsidRDefault="005A61A4" w:rsidP="007F0B3D">
            <w:pPr>
              <w:rPr>
                <w:u w:val="single"/>
              </w:rPr>
            </w:pPr>
            <w:r w:rsidRPr="006A491E">
              <w:rPr>
                <w:u w:val="single"/>
              </w:rPr>
              <w:t>Russia region</w:t>
            </w:r>
          </w:p>
        </w:tc>
        <w:tc>
          <w:tcPr>
            <w:tcW w:w="8646" w:type="dxa"/>
          </w:tcPr>
          <w:p w14:paraId="6350D8AB" w14:textId="7DEC2011" w:rsidR="005A61A4" w:rsidRPr="00557126" w:rsidRDefault="005A61A4" w:rsidP="007F0B3D">
            <w:r w:rsidRPr="00A47BF6">
              <w:t>Armenia, Azerbaijan, Georgia, Russian Federation</w:t>
            </w:r>
          </w:p>
        </w:tc>
      </w:tr>
      <w:tr w:rsidR="005A61A4" w:rsidRPr="00D86F04" w14:paraId="63D465A8" w14:textId="77777777" w:rsidTr="00EE65D1">
        <w:trPr>
          <w:trHeight w:val="300"/>
          <w:jc w:val="center"/>
        </w:trPr>
        <w:tc>
          <w:tcPr>
            <w:tcW w:w="2122" w:type="dxa"/>
          </w:tcPr>
          <w:p w14:paraId="3AB1B285" w14:textId="46EA1079" w:rsidR="005A61A4" w:rsidRPr="006A491E" w:rsidRDefault="005A61A4" w:rsidP="00D350FE">
            <w:pPr>
              <w:rPr>
                <w:u w:val="single"/>
              </w:rPr>
            </w:pPr>
            <w:r w:rsidRPr="006A491E">
              <w:rPr>
                <w:u w:val="single"/>
              </w:rPr>
              <w:t>Middle East</w:t>
            </w:r>
          </w:p>
        </w:tc>
        <w:tc>
          <w:tcPr>
            <w:tcW w:w="8646" w:type="dxa"/>
          </w:tcPr>
          <w:p w14:paraId="4E1A58FB" w14:textId="6F404C7D" w:rsidR="005A61A4" w:rsidRPr="00A47BF6" w:rsidRDefault="005A61A4" w:rsidP="00D350FE">
            <w:r w:rsidRPr="00194664">
              <w:t>Bahrain, Iran, Islamic Rep., Iraq, Israel, Jordan, Kuwait, Lebanon, Oman, Qatar, Saudi Arabia, Syrian Arab Republic, United Arab Emirates, Yemen, Rep.</w:t>
            </w:r>
          </w:p>
        </w:tc>
      </w:tr>
      <w:tr w:rsidR="005A61A4" w:rsidRPr="00D86F04" w14:paraId="145E1DAD" w14:textId="77777777" w:rsidTr="00EE65D1">
        <w:trPr>
          <w:trHeight w:val="300"/>
          <w:jc w:val="center"/>
        </w:trPr>
        <w:tc>
          <w:tcPr>
            <w:tcW w:w="2122" w:type="dxa"/>
          </w:tcPr>
          <w:p w14:paraId="2BE32B9C" w14:textId="729B218F" w:rsidR="005A61A4" w:rsidRPr="006A491E" w:rsidRDefault="005A61A4" w:rsidP="00D350FE">
            <w:pPr>
              <w:rPr>
                <w:u w:val="single"/>
              </w:rPr>
            </w:pPr>
            <w:r w:rsidRPr="006A491E">
              <w:rPr>
                <w:u w:val="single"/>
              </w:rPr>
              <w:t>India</w:t>
            </w:r>
          </w:p>
        </w:tc>
        <w:tc>
          <w:tcPr>
            <w:tcW w:w="8646" w:type="dxa"/>
          </w:tcPr>
          <w:p w14:paraId="450CBA91" w14:textId="3F8FF38C" w:rsidR="005A61A4" w:rsidRPr="00A47BF6" w:rsidRDefault="005A61A4" w:rsidP="00D350FE">
            <w:r w:rsidRPr="00194664">
              <w:t>India</w:t>
            </w:r>
          </w:p>
        </w:tc>
      </w:tr>
      <w:tr w:rsidR="005A61A4" w:rsidRPr="00D86F04" w14:paraId="4C866B0F" w14:textId="77777777" w:rsidTr="00EE65D1">
        <w:trPr>
          <w:trHeight w:val="300"/>
          <w:jc w:val="center"/>
        </w:trPr>
        <w:tc>
          <w:tcPr>
            <w:tcW w:w="2122" w:type="dxa"/>
          </w:tcPr>
          <w:p w14:paraId="358DDACA" w14:textId="0968DBAF" w:rsidR="005A61A4" w:rsidRPr="006A491E" w:rsidRDefault="005A61A4" w:rsidP="00D350FE">
            <w:pPr>
              <w:rPr>
                <w:u w:val="single"/>
              </w:rPr>
            </w:pPr>
            <w:r w:rsidRPr="006A491E">
              <w:rPr>
                <w:u w:val="single"/>
              </w:rPr>
              <w:t>Korea region</w:t>
            </w:r>
          </w:p>
        </w:tc>
        <w:tc>
          <w:tcPr>
            <w:tcW w:w="8646" w:type="dxa"/>
          </w:tcPr>
          <w:p w14:paraId="1E0F5040" w14:textId="145D4C57" w:rsidR="005A61A4" w:rsidRPr="00A47BF6" w:rsidRDefault="005A61A4" w:rsidP="00D350FE">
            <w:r w:rsidRPr="00194664">
              <w:t>Korea, Dem. Rep., Korea, Rep.</w:t>
            </w:r>
          </w:p>
        </w:tc>
      </w:tr>
      <w:tr w:rsidR="005A61A4" w:rsidRPr="00D86F04" w14:paraId="7B44173E" w14:textId="77777777" w:rsidTr="00EE65D1">
        <w:trPr>
          <w:trHeight w:val="300"/>
          <w:jc w:val="center"/>
        </w:trPr>
        <w:tc>
          <w:tcPr>
            <w:tcW w:w="2122" w:type="dxa"/>
          </w:tcPr>
          <w:p w14:paraId="11655E56" w14:textId="192555B4" w:rsidR="005A61A4" w:rsidRPr="006A491E" w:rsidRDefault="005A61A4" w:rsidP="008A24A5">
            <w:pPr>
              <w:rPr>
                <w:u w:val="single"/>
              </w:rPr>
            </w:pPr>
            <w:r w:rsidRPr="006A491E">
              <w:rPr>
                <w:u w:val="single"/>
              </w:rPr>
              <w:t>China region</w:t>
            </w:r>
          </w:p>
        </w:tc>
        <w:tc>
          <w:tcPr>
            <w:tcW w:w="8646" w:type="dxa"/>
          </w:tcPr>
          <w:p w14:paraId="6050150A" w14:textId="09B692DF" w:rsidR="005A61A4" w:rsidRPr="00A47BF6" w:rsidRDefault="005A61A4" w:rsidP="008A24A5">
            <w:r w:rsidRPr="00411503">
              <w:t>China, Hong Kong</w:t>
            </w:r>
            <w:r w:rsidR="00FC1648">
              <w:t>,</w:t>
            </w:r>
            <w:r w:rsidRPr="00411503">
              <w:t xml:space="preserve"> China, Macao, China, Mongolia, Taiwan</w:t>
            </w:r>
          </w:p>
        </w:tc>
      </w:tr>
      <w:tr w:rsidR="005A61A4" w:rsidRPr="00D86F04" w14:paraId="2D0D96D1" w14:textId="77777777" w:rsidTr="00EE65D1">
        <w:trPr>
          <w:trHeight w:val="300"/>
          <w:jc w:val="center"/>
        </w:trPr>
        <w:tc>
          <w:tcPr>
            <w:tcW w:w="2122" w:type="dxa"/>
          </w:tcPr>
          <w:p w14:paraId="256A144F" w14:textId="59D98F31" w:rsidR="005A61A4" w:rsidRPr="006A491E" w:rsidRDefault="005A61A4" w:rsidP="008A24A5">
            <w:pPr>
              <w:rPr>
                <w:u w:val="single"/>
              </w:rPr>
            </w:pPr>
            <w:r w:rsidRPr="006A491E">
              <w:rPr>
                <w:u w:val="single"/>
              </w:rPr>
              <w:t>Southeastern Asia</w:t>
            </w:r>
          </w:p>
        </w:tc>
        <w:tc>
          <w:tcPr>
            <w:tcW w:w="8646" w:type="dxa"/>
          </w:tcPr>
          <w:p w14:paraId="39167184" w14:textId="25C680CE" w:rsidR="005A61A4" w:rsidRPr="00A47BF6" w:rsidRDefault="005A61A4" w:rsidP="008A24A5">
            <w:r w:rsidRPr="00411503">
              <w:t>Brunei, Cambodia, Lao PDR, Malaysia, Myanmar, Philippines, Singapore, Thailand, Vietnam</w:t>
            </w:r>
          </w:p>
        </w:tc>
      </w:tr>
      <w:tr w:rsidR="005A61A4" w:rsidRPr="00D86F04" w14:paraId="2C2DE4B9" w14:textId="77777777" w:rsidTr="00EE65D1">
        <w:trPr>
          <w:trHeight w:val="300"/>
          <w:jc w:val="center"/>
        </w:trPr>
        <w:tc>
          <w:tcPr>
            <w:tcW w:w="2122" w:type="dxa"/>
          </w:tcPr>
          <w:p w14:paraId="485518C9" w14:textId="7F3BADAF" w:rsidR="005A61A4" w:rsidRPr="006A491E" w:rsidRDefault="005A61A4" w:rsidP="008A24A5">
            <w:pPr>
              <w:rPr>
                <w:u w:val="single"/>
              </w:rPr>
            </w:pPr>
            <w:r w:rsidRPr="006A491E">
              <w:rPr>
                <w:u w:val="single"/>
              </w:rPr>
              <w:t>Indonesia region</w:t>
            </w:r>
          </w:p>
        </w:tc>
        <w:tc>
          <w:tcPr>
            <w:tcW w:w="8646" w:type="dxa"/>
          </w:tcPr>
          <w:p w14:paraId="60D6D172" w14:textId="197E298C" w:rsidR="005A61A4" w:rsidRPr="00A47BF6" w:rsidRDefault="005A61A4" w:rsidP="008A24A5">
            <w:r w:rsidRPr="00411503">
              <w:t>East Timor, Indonesia, Papua New Guinea</w:t>
            </w:r>
          </w:p>
        </w:tc>
      </w:tr>
      <w:tr w:rsidR="005A61A4" w:rsidRPr="00D86F04" w14:paraId="0142B4B1" w14:textId="77777777" w:rsidTr="00EE65D1">
        <w:trPr>
          <w:trHeight w:val="300"/>
          <w:jc w:val="center"/>
        </w:trPr>
        <w:tc>
          <w:tcPr>
            <w:tcW w:w="2122" w:type="dxa"/>
          </w:tcPr>
          <w:p w14:paraId="5602A55B" w14:textId="2B0420F7" w:rsidR="005A61A4" w:rsidRPr="006A491E" w:rsidRDefault="005A61A4" w:rsidP="008A24A5">
            <w:pPr>
              <w:rPr>
                <w:u w:val="single"/>
              </w:rPr>
            </w:pPr>
            <w:r w:rsidRPr="006A491E">
              <w:rPr>
                <w:u w:val="single"/>
              </w:rPr>
              <w:t>Japan</w:t>
            </w:r>
          </w:p>
        </w:tc>
        <w:tc>
          <w:tcPr>
            <w:tcW w:w="8646" w:type="dxa"/>
          </w:tcPr>
          <w:p w14:paraId="7BF50160" w14:textId="09D0C0F3" w:rsidR="005A61A4" w:rsidRPr="00A47BF6" w:rsidRDefault="005A61A4" w:rsidP="008A24A5">
            <w:r w:rsidRPr="00411503">
              <w:t>Japan</w:t>
            </w:r>
          </w:p>
        </w:tc>
      </w:tr>
      <w:tr w:rsidR="005A61A4" w:rsidRPr="00D86F04" w14:paraId="5D552793" w14:textId="77777777" w:rsidTr="00EE65D1">
        <w:trPr>
          <w:trHeight w:val="300"/>
          <w:jc w:val="center"/>
        </w:trPr>
        <w:tc>
          <w:tcPr>
            <w:tcW w:w="2122" w:type="dxa"/>
          </w:tcPr>
          <w:p w14:paraId="2FE36362" w14:textId="5DE9B907" w:rsidR="005A61A4" w:rsidRPr="006A491E" w:rsidRDefault="005A61A4" w:rsidP="008A24A5">
            <w:pPr>
              <w:rPr>
                <w:u w:val="single"/>
              </w:rPr>
            </w:pPr>
            <w:r w:rsidRPr="006A491E">
              <w:rPr>
                <w:u w:val="single"/>
              </w:rPr>
              <w:t>Oceania</w:t>
            </w:r>
          </w:p>
        </w:tc>
        <w:tc>
          <w:tcPr>
            <w:tcW w:w="8646" w:type="dxa"/>
          </w:tcPr>
          <w:p w14:paraId="5F8A7270" w14:textId="01A057A0" w:rsidR="005A61A4" w:rsidRPr="00A47BF6" w:rsidRDefault="005A61A4" w:rsidP="008A24A5">
            <w:r w:rsidRPr="00411503">
              <w:t>American Samoa, Australia, Cook Isl., Fiji, French Polynesia, Kiribati, Marshall Islands, Micronesia, Fed. Sts., Nauru, New Caledonia, New Zealand, Niue, Northern Mariana Islands, Palau, Pitcairn, Samoa, Solomon Islands, Tokelau, Tonga, Tuvalu, Vanuatu, Wallis ans Futuna Island</w:t>
            </w:r>
          </w:p>
        </w:tc>
      </w:tr>
      <w:tr w:rsidR="005A61A4" w:rsidRPr="00D86F04" w14:paraId="4FF6A073" w14:textId="77777777" w:rsidTr="00EE65D1">
        <w:trPr>
          <w:trHeight w:val="300"/>
          <w:jc w:val="center"/>
        </w:trPr>
        <w:tc>
          <w:tcPr>
            <w:tcW w:w="2122" w:type="dxa"/>
          </w:tcPr>
          <w:p w14:paraId="2E8CB788" w14:textId="1DC3364B" w:rsidR="005A61A4" w:rsidRPr="006A491E" w:rsidRDefault="005A61A4" w:rsidP="005A61A4">
            <w:pPr>
              <w:rPr>
                <w:u w:val="single"/>
              </w:rPr>
            </w:pPr>
            <w:r w:rsidRPr="006A491E">
              <w:rPr>
                <w:u w:val="single"/>
              </w:rPr>
              <w:t>Rest of South Asia</w:t>
            </w:r>
          </w:p>
        </w:tc>
        <w:tc>
          <w:tcPr>
            <w:tcW w:w="8646" w:type="dxa"/>
          </w:tcPr>
          <w:p w14:paraId="5948912F" w14:textId="05099B3D" w:rsidR="005A61A4" w:rsidRPr="00411503" w:rsidRDefault="005A61A4" w:rsidP="005A61A4">
            <w:r w:rsidRPr="00B850BA">
              <w:t>Afghanistan, Bangladesh, Bhutan, Maldives, Nepal, Pakistan, Sri Lanka</w:t>
            </w:r>
          </w:p>
        </w:tc>
      </w:tr>
      <w:tr w:rsidR="005A61A4" w:rsidRPr="00D86F04" w14:paraId="09109F18" w14:textId="77777777" w:rsidTr="00EE65D1">
        <w:trPr>
          <w:trHeight w:val="300"/>
          <w:jc w:val="center"/>
        </w:trPr>
        <w:tc>
          <w:tcPr>
            <w:tcW w:w="2122" w:type="dxa"/>
          </w:tcPr>
          <w:p w14:paraId="49FCFD3D" w14:textId="2B8436E0" w:rsidR="005A61A4" w:rsidRPr="006A491E" w:rsidRDefault="005A61A4" w:rsidP="005A61A4">
            <w:pPr>
              <w:rPr>
                <w:u w:val="single"/>
              </w:rPr>
            </w:pPr>
            <w:r w:rsidRPr="006A491E">
              <w:rPr>
                <w:u w:val="single"/>
              </w:rPr>
              <w:t>Rest of Southern Africa</w:t>
            </w:r>
          </w:p>
        </w:tc>
        <w:tc>
          <w:tcPr>
            <w:tcW w:w="8646" w:type="dxa"/>
          </w:tcPr>
          <w:p w14:paraId="566C0535" w14:textId="196BB4AE" w:rsidR="005A61A4" w:rsidRPr="00411503" w:rsidRDefault="005A61A4" w:rsidP="005A61A4">
            <w:r w:rsidRPr="00B850BA">
              <w:t>Angola</w:t>
            </w:r>
            <w:r w:rsidR="008F0306">
              <w:t>,</w:t>
            </w:r>
            <w:r w:rsidRPr="00B850BA">
              <w:t xml:space="preserve"> Botswana, Lesotho, Malawi, Mozambique, Namibia, Swaziland, Tanzania, Zambia, Zimbabwe</w:t>
            </w:r>
          </w:p>
        </w:tc>
      </w:tr>
    </w:tbl>
    <w:p w14:paraId="40B8B4BF" w14:textId="77777777" w:rsidR="00332B35" w:rsidRDefault="00332B35" w:rsidP="008748BA"/>
    <w:p w14:paraId="021C9D9A" w14:textId="4247E773" w:rsidR="0096322B" w:rsidRDefault="0096322B" w:rsidP="0096322B">
      <w:pPr>
        <w:pStyle w:val="IOPH1"/>
      </w:pPr>
      <w:r>
        <w:lastRenderedPageBreak/>
        <w:t>A</w:t>
      </w:r>
      <w:r w:rsidR="007429BE">
        <w:t>2</w:t>
      </w:r>
      <w:r>
        <w:t>. Extra Figures</w:t>
      </w:r>
    </w:p>
    <w:p w14:paraId="3FD7EC7E" w14:textId="70765631" w:rsidR="003E167C" w:rsidRDefault="007E3A3F" w:rsidP="007E3A3F">
      <w:pPr>
        <w:pStyle w:val="IOPH2"/>
      </w:pPr>
      <w:r>
        <w:t xml:space="preserve">A2.1. </w:t>
      </w:r>
      <w:r w:rsidR="009B57CC">
        <w:t>Scenario setup</w:t>
      </w:r>
    </w:p>
    <w:p w14:paraId="7A63C838" w14:textId="77777777" w:rsidR="000F47DA" w:rsidRDefault="000F47DA" w:rsidP="000F47DA">
      <w:pPr>
        <w:pStyle w:val="Heading2"/>
      </w:pPr>
    </w:p>
    <w:p w14:paraId="03940D65" w14:textId="40BEAFB1" w:rsidR="00941E8C" w:rsidRDefault="00581D28" w:rsidP="00941E8C">
      <w:pPr>
        <w:jc w:val="center"/>
      </w:pPr>
      <w:r w:rsidRPr="00581D28">
        <w:drawing>
          <wp:inline distT="0" distB="0" distL="0" distR="0" wp14:anchorId="3F251E53" wp14:editId="34727504">
            <wp:extent cx="2674800" cy="2206800"/>
            <wp:effectExtent l="0" t="0" r="0" b="3175"/>
            <wp:docPr id="1275530905" name="Picture 1275530905" descr="Graph of a graph showing the price of a uniform pr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530905" name="Picture 1" descr="Graph of a graph showing the price of a uniform price&#10;&#10;AI-generated content may be incorrect."/>
                    <pic:cNvPicPr/>
                  </pic:nvPicPr>
                  <pic:blipFill>
                    <a:blip r:embed="rId7"/>
                    <a:stretch>
                      <a:fillRect/>
                    </a:stretch>
                  </pic:blipFill>
                  <pic:spPr>
                    <a:xfrm>
                      <a:off x="0" y="0"/>
                      <a:ext cx="2674800" cy="2206800"/>
                    </a:xfrm>
                    <a:prstGeom prst="rect">
                      <a:avLst/>
                    </a:prstGeom>
                  </pic:spPr>
                </pic:pic>
              </a:graphicData>
            </a:graphic>
          </wp:inline>
        </w:drawing>
      </w:r>
      <w:r w:rsidR="007C43E9" w:rsidRPr="007C43E9">
        <w:drawing>
          <wp:inline distT="0" distB="0" distL="0" distR="0" wp14:anchorId="6E66F011" wp14:editId="5EB0DFF0">
            <wp:extent cx="2556000" cy="2217600"/>
            <wp:effectExtent l="0" t="0" r="0" b="0"/>
            <wp:docPr id="1268659111" name="Picture 1268659111" descr="A graph showing the growth of the emission of the ear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659111" name="Picture 1" descr="A graph showing the growth of the emission of the earth&#10;&#10;AI-generated content may be incorrect."/>
                    <pic:cNvPicPr/>
                  </pic:nvPicPr>
                  <pic:blipFill>
                    <a:blip r:embed="rId8"/>
                    <a:stretch>
                      <a:fillRect/>
                    </a:stretch>
                  </pic:blipFill>
                  <pic:spPr>
                    <a:xfrm>
                      <a:off x="0" y="0"/>
                      <a:ext cx="2556000" cy="2217600"/>
                    </a:xfrm>
                    <a:prstGeom prst="rect">
                      <a:avLst/>
                    </a:prstGeom>
                  </pic:spPr>
                </pic:pic>
              </a:graphicData>
            </a:graphic>
          </wp:inline>
        </w:drawing>
      </w:r>
    </w:p>
    <w:p w14:paraId="61D293F6" w14:textId="620568C3" w:rsidR="00941E8C" w:rsidRPr="007D5F24" w:rsidRDefault="004A1F2C" w:rsidP="00941E8C">
      <w:pPr>
        <w:jc w:val="center"/>
        <w:rPr>
          <w:rFonts w:ascii="Segoe UI" w:hAnsi="Segoe UI" w:cs="Segoe UI"/>
        </w:rPr>
      </w:pPr>
      <w:r w:rsidRPr="004A1F2C">
        <w:rPr>
          <w:rFonts w:ascii="Segoe UI" w:hAnsi="Segoe UI" w:cs="Segoe UI"/>
        </w:rPr>
        <w:drawing>
          <wp:inline distT="0" distB="0" distL="0" distR="0" wp14:anchorId="0490D969" wp14:editId="71226E8B">
            <wp:extent cx="3276000" cy="691200"/>
            <wp:effectExtent l="0" t="0" r="635" b="0"/>
            <wp:docPr id="905290586" name="Picture 905290586"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290586" name="Picture 1" descr="A white background with black text&#10;&#10;AI-generated content may be incorrect."/>
                    <pic:cNvPicPr/>
                  </pic:nvPicPr>
                  <pic:blipFill>
                    <a:blip r:embed="rId9"/>
                    <a:stretch>
                      <a:fillRect/>
                    </a:stretch>
                  </pic:blipFill>
                  <pic:spPr>
                    <a:xfrm>
                      <a:off x="0" y="0"/>
                      <a:ext cx="3276000" cy="691200"/>
                    </a:xfrm>
                    <a:prstGeom prst="rect">
                      <a:avLst/>
                    </a:prstGeom>
                  </pic:spPr>
                </pic:pic>
              </a:graphicData>
            </a:graphic>
          </wp:inline>
        </w:drawing>
      </w:r>
    </w:p>
    <w:p w14:paraId="4141D827" w14:textId="58CECCD4" w:rsidR="009B57CC" w:rsidRPr="009B57CC" w:rsidRDefault="00941E8C" w:rsidP="009B57CC">
      <w:pPr>
        <w:jc w:val="center"/>
        <w:rPr>
          <w:bCs/>
          <w:i/>
          <w:iCs/>
          <w:sz w:val="18"/>
          <w:szCs w:val="18"/>
        </w:rPr>
      </w:pPr>
      <w:r w:rsidRPr="00292A64">
        <w:rPr>
          <w:b/>
          <w:bCs/>
          <w:i/>
          <w:iCs/>
          <w:sz w:val="18"/>
          <w:szCs w:val="18"/>
        </w:rPr>
        <w:t>Figure</w:t>
      </w:r>
      <w:r>
        <w:rPr>
          <w:b/>
          <w:bCs/>
          <w:i/>
          <w:iCs/>
          <w:sz w:val="18"/>
          <w:szCs w:val="18"/>
        </w:rPr>
        <w:t xml:space="preserve"> A</w:t>
      </w:r>
      <w:r w:rsidR="00331D23">
        <w:rPr>
          <w:b/>
          <w:bCs/>
          <w:i/>
          <w:iCs/>
          <w:sz w:val="18"/>
          <w:szCs w:val="18"/>
        </w:rPr>
        <w:t>2</w:t>
      </w:r>
      <w:r w:rsidRPr="00292A64">
        <w:rPr>
          <w:b/>
          <w:bCs/>
          <w:i/>
          <w:iCs/>
          <w:sz w:val="18"/>
          <w:szCs w:val="18"/>
        </w:rPr>
        <w:t>:</w:t>
      </w:r>
      <w:r w:rsidR="009B57CC" w:rsidRPr="009B57CC">
        <w:rPr>
          <w:rFonts w:asciiTheme="majorHAnsi" w:eastAsiaTheme="majorEastAsia" w:hAnsiTheme="majorHAnsi" w:cstheme="majorBidi"/>
          <w:bCs/>
          <w:i/>
          <w:noProof w:val="0"/>
          <w:sz w:val="22"/>
          <w:szCs w:val="26"/>
        </w:rPr>
        <w:t xml:space="preserve"> </w:t>
      </w:r>
      <w:r w:rsidR="009B57CC" w:rsidRPr="009B57CC">
        <w:rPr>
          <w:bCs/>
          <w:i/>
          <w:iCs/>
          <w:sz w:val="18"/>
          <w:szCs w:val="18"/>
        </w:rPr>
        <w:t>Global uniform carbon price trajectory in mitigation scenarios and corresponding emission pathways</w:t>
      </w:r>
    </w:p>
    <w:p w14:paraId="2DB238AD" w14:textId="77777777" w:rsidR="003E167C" w:rsidRPr="003E167C" w:rsidRDefault="003E167C" w:rsidP="003E167C"/>
    <w:p w14:paraId="6F15C9C0" w14:textId="076948F6" w:rsidR="00BE6DE8" w:rsidRDefault="00D83E78" w:rsidP="00192E08">
      <w:pPr>
        <w:pStyle w:val="IOPH2"/>
      </w:pPr>
      <w:r>
        <w:t>A</w:t>
      </w:r>
      <w:r w:rsidR="005074D4">
        <w:t>2</w:t>
      </w:r>
      <w:r>
        <w:t>.</w:t>
      </w:r>
      <w:r w:rsidR="005074D4">
        <w:t>2</w:t>
      </w:r>
      <w:r>
        <w:t xml:space="preserve"> </w:t>
      </w:r>
      <w:r w:rsidR="00900D77">
        <w:t>Energy carrier shares of r</w:t>
      </w:r>
      <w:r w:rsidR="006C3561">
        <w:t>esidential energy demand</w:t>
      </w:r>
    </w:p>
    <w:p w14:paraId="2B9E8251" w14:textId="77777777" w:rsidR="00192E08" w:rsidRPr="00192E08" w:rsidRDefault="00192E08" w:rsidP="00866875"/>
    <w:p w14:paraId="48234472" w14:textId="22A933A5" w:rsidR="00AC16AD" w:rsidRDefault="007C636F" w:rsidP="00AC16AD">
      <w:pPr>
        <w:tabs>
          <w:tab w:val="right" w:pos="9026"/>
        </w:tabs>
        <w:jc w:val="center"/>
      </w:pPr>
      <w:r>
        <w:lastRenderedPageBreak/>
        <w:drawing>
          <wp:inline distT="0" distB="0" distL="0" distR="0" wp14:anchorId="3F8BB2E8" wp14:editId="291F9F91">
            <wp:extent cx="6706800" cy="5655600"/>
            <wp:effectExtent l="0" t="0" r="0" b="2540"/>
            <wp:docPr id="1820362884" name="Picture 1820362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706800" cy="5655600"/>
                    </a:xfrm>
                    <a:prstGeom prst="rect">
                      <a:avLst/>
                    </a:prstGeom>
                    <a:noFill/>
                  </pic:spPr>
                </pic:pic>
              </a:graphicData>
            </a:graphic>
          </wp:inline>
        </w:drawing>
      </w:r>
    </w:p>
    <w:p w14:paraId="626D8923" w14:textId="77766C6C" w:rsidR="00043FD6" w:rsidRPr="00C25597" w:rsidRDefault="00043FD6" w:rsidP="00043FD6">
      <w:pPr>
        <w:jc w:val="center"/>
      </w:pPr>
      <w:r w:rsidRPr="00E73478">
        <w:rPr>
          <w:b/>
          <w:i/>
          <w:sz w:val="18"/>
          <w:szCs w:val="18"/>
        </w:rPr>
        <w:t xml:space="preserve">Figure </w:t>
      </w:r>
      <w:r w:rsidR="00723F68">
        <w:rPr>
          <w:b/>
          <w:i/>
          <w:sz w:val="18"/>
          <w:szCs w:val="18"/>
        </w:rPr>
        <w:t>A3</w:t>
      </w:r>
      <w:r w:rsidRPr="622D9B31">
        <w:rPr>
          <w:b/>
          <w:bCs/>
          <w:sz w:val="18"/>
          <w:szCs w:val="18"/>
        </w:rPr>
        <w:t xml:space="preserve">: </w:t>
      </w:r>
      <w:r w:rsidRPr="009E0FAB">
        <w:rPr>
          <w:lang w:val="en-US"/>
        </w:rPr>
        <w:t xml:space="preserve">Energy carrier shares of residential energy demand across </w:t>
      </w:r>
      <w:r>
        <w:rPr>
          <w:lang w:val="en-US"/>
        </w:rPr>
        <w:t xml:space="preserve">scenarios for the </w:t>
      </w:r>
      <w:r w:rsidR="005465F0">
        <w:rPr>
          <w:lang w:val="en-US"/>
        </w:rPr>
        <w:t>richest</w:t>
      </w:r>
      <w:r w:rsidRPr="009E0FAB">
        <w:rPr>
          <w:lang w:val="en-US"/>
        </w:rPr>
        <w:t xml:space="preserve"> rural quintiles</w:t>
      </w:r>
    </w:p>
    <w:p w14:paraId="612DEEF8" w14:textId="77777777" w:rsidR="009A4071" w:rsidRDefault="009A4071" w:rsidP="004379F5"/>
    <w:p w14:paraId="0EBFE132" w14:textId="502F1649" w:rsidR="00590956" w:rsidRDefault="001017D8" w:rsidP="007C4B63">
      <w:pPr>
        <w:jc w:val="center"/>
      </w:pPr>
      <w:r>
        <w:lastRenderedPageBreak/>
        <w:drawing>
          <wp:inline distT="0" distB="0" distL="0" distR="0" wp14:anchorId="70B534C1" wp14:editId="27520166">
            <wp:extent cx="6706800" cy="5655600"/>
            <wp:effectExtent l="0" t="0" r="0" b="2540"/>
            <wp:docPr id="1383068606" name="Picture 1383068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06800" cy="5655600"/>
                    </a:xfrm>
                    <a:prstGeom prst="rect">
                      <a:avLst/>
                    </a:prstGeom>
                    <a:noFill/>
                  </pic:spPr>
                </pic:pic>
              </a:graphicData>
            </a:graphic>
          </wp:inline>
        </w:drawing>
      </w:r>
    </w:p>
    <w:p w14:paraId="298D4703" w14:textId="23ED436F" w:rsidR="00367971" w:rsidRDefault="00367971" w:rsidP="00367971">
      <w:pPr>
        <w:jc w:val="center"/>
        <w:rPr>
          <w:lang w:val="en-US"/>
        </w:rPr>
      </w:pPr>
      <w:r w:rsidRPr="00E73478">
        <w:rPr>
          <w:b/>
          <w:i/>
          <w:sz w:val="18"/>
          <w:szCs w:val="18"/>
        </w:rPr>
        <w:t xml:space="preserve">Figure </w:t>
      </w:r>
      <w:r w:rsidR="00F80DF9">
        <w:rPr>
          <w:b/>
          <w:i/>
          <w:sz w:val="18"/>
          <w:szCs w:val="18"/>
        </w:rPr>
        <w:t>A4</w:t>
      </w:r>
      <w:r w:rsidRPr="622D9B31">
        <w:rPr>
          <w:b/>
          <w:bCs/>
          <w:sz w:val="18"/>
          <w:szCs w:val="18"/>
        </w:rPr>
        <w:t xml:space="preserve">: </w:t>
      </w:r>
      <w:r w:rsidRPr="009E0FAB">
        <w:rPr>
          <w:lang w:val="en-US"/>
        </w:rPr>
        <w:t xml:space="preserve">Energy carrier shares of residential energy demand across </w:t>
      </w:r>
      <w:r>
        <w:rPr>
          <w:lang w:val="en-US"/>
        </w:rPr>
        <w:t xml:space="preserve">scenarios for the poorest urban </w:t>
      </w:r>
      <w:r w:rsidRPr="009E0FAB">
        <w:rPr>
          <w:lang w:val="en-US"/>
        </w:rPr>
        <w:t>quintiles</w:t>
      </w:r>
    </w:p>
    <w:p w14:paraId="2358448F" w14:textId="77777777" w:rsidR="00367971" w:rsidRDefault="00367971" w:rsidP="00367971">
      <w:pPr>
        <w:jc w:val="center"/>
        <w:rPr>
          <w:lang w:val="en-US"/>
        </w:rPr>
      </w:pPr>
    </w:p>
    <w:p w14:paraId="0A252BD9" w14:textId="3976C417" w:rsidR="00367971" w:rsidRDefault="0003158F" w:rsidP="00367971">
      <w:pPr>
        <w:jc w:val="center"/>
        <w:rPr>
          <w:lang w:val="en-US"/>
        </w:rPr>
      </w:pPr>
      <w:r w:rsidRPr="0003158F">
        <w:lastRenderedPageBreak/>
        <w:t xml:space="preserve"> </w:t>
      </w:r>
      <w:r w:rsidR="008B022F">
        <w:drawing>
          <wp:inline distT="0" distB="0" distL="0" distR="0" wp14:anchorId="08ABA686" wp14:editId="71CC1096">
            <wp:extent cx="6706800" cy="5655600"/>
            <wp:effectExtent l="0" t="0" r="0" b="2540"/>
            <wp:docPr id="1731278149" name="Picture 1731278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706800" cy="5655600"/>
                    </a:xfrm>
                    <a:prstGeom prst="rect">
                      <a:avLst/>
                    </a:prstGeom>
                    <a:noFill/>
                  </pic:spPr>
                </pic:pic>
              </a:graphicData>
            </a:graphic>
          </wp:inline>
        </w:drawing>
      </w:r>
    </w:p>
    <w:p w14:paraId="1129AB26" w14:textId="137F40DE" w:rsidR="00DF5E22" w:rsidRPr="00C25597" w:rsidRDefault="00DF5E22" w:rsidP="00DF5E22">
      <w:pPr>
        <w:jc w:val="center"/>
      </w:pPr>
      <w:r w:rsidRPr="00E73478">
        <w:rPr>
          <w:b/>
          <w:i/>
          <w:sz w:val="18"/>
          <w:szCs w:val="18"/>
        </w:rPr>
        <w:t xml:space="preserve">Figure </w:t>
      </w:r>
      <w:r w:rsidR="00F80DF9">
        <w:rPr>
          <w:b/>
          <w:i/>
          <w:sz w:val="18"/>
          <w:szCs w:val="18"/>
        </w:rPr>
        <w:t>A5</w:t>
      </w:r>
      <w:r w:rsidRPr="622D9B31">
        <w:rPr>
          <w:b/>
          <w:bCs/>
          <w:sz w:val="18"/>
          <w:szCs w:val="18"/>
        </w:rPr>
        <w:t xml:space="preserve">: </w:t>
      </w:r>
      <w:r w:rsidRPr="009E0FAB">
        <w:rPr>
          <w:lang w:val="en-US"/>
        </w:rPr>
        <w:t xml:space="preserve">Energy carrier shares of residential energy demand across </w:t>
      </w:r>
      <w:r>
        <w:rPr>
          <w:lang w:val="en-US"/>
        </w:rPr>
        <w:t xml:space="preserve">scenarios for the richest urban </w:t>
      </w:r>
      <w:r w:rsidRPr="009E0FAB">
        <w:rPr>
          <w:lang w:val="en-US"/>
        </w:rPr>
        <w:t>quintiles</w:t>
      </w:r>
    </w:p>
    <w:p w14:paraId="6DC7B671" w14:textId="77777777" w:rsidR="00DF5E22" w:rsidRPr="00C25597" w:rsidRDefault="00DF5E22" w:rsidP="00367971">
      <w:pPr>
        <w:jc w:val="center"/>
      </w:pPr>
    </w:p>
    <w:p w14:paraId="52C76910" w14:textId="131BD56E" w:rsidR="00F87E04" w:rsidRPr="009809D2" w:rsidRDefault="00506433" w:rsidP="00FA095B">
      <w:pPr>
        <w:pStyle w:val="IOPH3"/>
      </w:pPr>
      <w:r>
        <w:t>A</w:t>
      </w:r>
      <w:r w:rsidR="005074D4">
        <w:t>2</w:t>
      </w:r>
      <w:r>
        <w:t>.</w:t>
      </w:r>
      <w:r w:rsidR="005074D4">
        <w:t>3</w:t>
      </w:r>
      <w:r>
        <w:t xml:space="preserve"> </w:t>
      </w:r>
      <w:proofErr w:type="spellStart"/>
      <w:r w:rsidR="0092619B">
        <w:t>ResElecGen</w:t>
      </w:r>
      <w:proofErr w:type="spellEnd"/>
      <w:r w:rsidR="0092619B">
        <w:t xml:space="preserve"> as share of </w:t>
      </w:r>
      <w:r w:rsidR="007A4174">
        <w:t xml:space="preserve">total </w:t>
      </w:r>
      <w:r w:rsidR="00BC52CB">
        <w:t xml:space="preserve">demanded energy for </w:t>
      </w:r>
      <w:r w:rsidR="00BE2BDD">
        <w:t>re</w:t>
      </w:r>
      <w:r w:rsidR="00447CF6">
        <w:t xml:space="preserve">sidential </w:t>
      </w:r>
      <w:r w:rsidR="00BC52CB">
        <w:t>services</w:t>
      </w:r>
    </w:p>
    <w:p w14:paraId="0F46300F" w14:textId="77777777" w:rsidR="00F87E04" w:rsidRDefault="00F87E04"/>
    <w:p w14:paraId="54707A07" w14:textId="5C82A09D" w:rsidR="00310492" w:rsidRDefault="001D7ED9" w:rsidP="004379F5">
      <w:pPr>
        <w:jc w:val="center"/>
      </w:pPr>
      <w:r>
        <w:lastRenderedPageBreak/>
        <w:drawing>
          <wp:inline distT="0" distB="0" distL="0" distR="0" wp14:anchorId="4D61314F" wp14:editId="43406D4A">
            <wp:extent cx="6703200" cy="4824000"/>
            <wp:effectExtent l="0" t="0" r="2540" b="0"/>
            <wp:docPr id="1284228436" name="Picture 1284228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703200" cy="4824000"/>
                    </a:xfrm>
                    <a:prstGeom prst="rect">
                      <a:avLst/>
                    </a:prstGeom>
                    <a:noFill/>
                  </pic:spPr>
                </pic:pic>
              </a:graphicData>
            </a:graphic>
          </wp:inline>
        </w:drawing>
      </w:r>
    </w:p>
    <w:p w14:paraId="11033B7E" w14:textId="40EB4736" w:rsidR="00995D7B" w:rsidRDefault="00995D7B" w:rsidP="00995D7B">
      <w:pPr>
        <w:jc w:val="center"/>
        <w:rPr>
          <w:sz w:val="18"/>
          <w:szCs w:val="18"/>
        </w:rPr>
      </w:pPr>
      <w:r w:rsidRPr="00E73478">
        <w:rPr>
          <w:b/>
          <w:i/>
          <w:sz w:val="18"/>
          <w:szCs w:val="18"/>
        </w:rPr>
        <w:t xml:space="preserve">Figure </w:t>
      </w:r>
      <w:r w:rsidR="00F80DF9">
        <w:rPr>
          <w:b/>
          <w:i/>
          <w:sz w:val="18"/>
          <w:szCs w:val="18"/>
        </w:rPr>
        <w:t>A6</w:t>
      </w:r>
      <w:r w:rsidRPr="622D9B31">
        <w:rPr>
          <w:b/>
          <w:bCs/>
          <w:sz w:val="18"/>
          <w:szCs w:val="18"/>
        </w:rPr>
        <w:t xml:space="preserve">: </w:t>
      </w:r>
      <w:r w:rsidRPr="00995D7B">
        <w:rPr>
          <w:sz w:val="18"/>
          <w:szCs w:val="18"/>
        </w:rPr>
        <w:t xml:space="preserve">Generated rooftop </w:t>
      </w:r>
      <w:r w:rsidR="7B72FAF4" w:rsidRPr="2621AEA1">
        <w:rPr>
          <w:sz w:val="18"/>
          <w:szCs w:val="18"/>
        </w:rPr>
        <w:t>electric</w:t>
      </w:r>
      <w:r w:rsidR="3729B5D4" w:rsidRPr="2621AEA1">
        <w:rPr>
          <w:sz w:val="18"/>
          <w:szCs w:val="18"/>
        </w:rPr>
        <w:t>i</w:t>
      </w:r>
      <w:r w:rsidR="7B72FAF4" w:rsidRPr="2621AEA1">
        <w:rPr>
          <w:sz w:val="18"/>
          <w:szCs w:val="18"/>
        </w:rPr>
        <w:t>ty</w:t>
      </w:r>
      <w:r w:rsidRPr="00995D7B">
        <w:rPr>
          <w:sz w:val="18"/>
          <w:szCs w:val="18"/>
        </w:rPr>
        <w:t xml:space="preserve"> as share of total household electricity demand, </w:t>
      </w:r>
      <w:r>
        <w:rPr>
          <w:sz w:val="18"/>
          <w:szCs w:val="18"/>
        </w:rPr>
        <w:t>richest</w:t>
      </w:r>
      <w:r w:rsidRPr="00995D7B">
        <w:rPr>
          <w:sz w:val="18"/>
          <w:szCs w:val="18"/>
        </w:rPr>
        <w:t xml:space="preserve"> rural quintiles</w:t>
      </w:r>
    </w:p>
    <w:p w14:paraId="55C957EE" w14:textId="1B524E94" w:rsidR="00871A8F" w:rsidRDefault="00871A8F" w:rsidP="00540B9E">
      <w:pPr>
        <w:rPr>
          <w:sz w:val="18"/>
          <w:szCs w:val="18"/>
        </w:rPr>
      </w:pPr>
    </w:p>
    <w:p w14:paraId="7E1CBF1B" w14:textId="31D61CEE" w:rsidR="005111C1" w:rsidRDefault="004A37AB" w:rsidP="00F3510B">
      <w:pPr>
        <w:jc w:val="center"/>
      </w:pPr>
      <w:r>
        <w:lastRenderedPageBreak/>
        <w:drawing>
          <wp:inline distT="0" distB="0" distL="0" distR="0" wp14:anchorId="37F6641B" wp14:editId="5A6A820E">
            <wp:extent cx="6703200" cy="4824000"/>
            <wp:effectExtent l="0" t="0" r="2540" b="0"/>
            <wp:docPr id="1629811000" name="Picture 162981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703200" cy="4824000"/>
                    </a:xfrm>
                    <a:prstGeom prst="rect">
                      <a:avLst/>
                    </a:prstGeom>
                    <a:noFill/>
                  </pic:spPr>
                </pic:pic>
              </a:graphicData>
            </a:graphic>
          </wp:inline>
        </w:drawing>
      </w:r>
    </w:p>
    <w:p w14:paraId="3EB45C7E" w14:textId="3EFF7937" w:rsidR="00540B9E" w:rsidRDefault="00540B9E" w:rsidP="00540B9E">
      <w:pPr>
        <w:jc w:val="center"/>
        <w:rPr>
          <w:sz w:val="18"/>
          <w:szCs w:val="18"/>
        </w:rPr>
      </w:pPr>
      <w:r w:rsidRPr="00E73478">
        <w:rPr>
          <w:b/>
          <w:i/>
          <w:sz w:val="18"/>
          <w:szCs w:val="18"/>
        </w:rPr>
        <w:t xml:space="preserve">Figure </w:t>
      </w:r>
      <w:r w:rsidR="00F80DF9">
        <w:rPr>
          <w:b/>
          <w:i/>
          <w:sz w:val="18"/>
          <w:szCs w:val="18"/>
        </w:rPr>
        <w:t>A7</w:t>
      </w:r>
      <w:r w:rsidRPr="622D9B31">
        <w:rPr>
          <w:b/>
          <w:bCs/>
          <w:sz w:val="18"/>
          <w:szCs w:val="18"/>
        </w:rPr>
        <w:t xml:space="preserve">: </w:t>
      </w:r>
      <w:r w:rsidRPr="00995D7B">
        <w:rPr>
          <w:sz w:val="18"/>
          <w:szCs w:val="18"/>
        </w:rPr>
        <w:t xml:space="preserve">Generated rooftop </w:t>
      </w:r>
      <w:r w:rsidR="2894AD0B" w:rsidRPr="2621AEA1">
        <w:rPr>
          <w:sz w:val="18"/>
          <w:szCs w:val="18"/>
        </w:rPr>
        <w:t>electric</w:t>
      </w:r>
      <w:r w:rsidR="5CF7B9E6" w:rsidRPr="2621AEA1">
        <w:rPr>
          <w:sz w:val="18"/>
          <w:szCs w:val="18"/>
        </w:rPr>
        <w:t>i</w:t>
      </w:r>
      <w:r w:rsidR="2894AD0B" w:rsidRPr="2621AEA1">
        <w:rPr>
          <w:sz w:val="18"/>
          <w:szCs w:val="18"/>
        </w:rPr>
        <w:t>ty</w:t>
      </w:r>
      <w:r w:rsidRPr="00995D7B">
        <w:rPr>
          <w:sz w:val="18"/>
          <w:szCs w:val="18"/>
        </w:rPr>
        <w:t xml:space="preserve"> as share of total household electricity demand, </w:t>
      </w:r>
      <w:r>
        <w:rPr>
          <w:sz w:val="18"/>
          <w:szCs w:val="18"/>
        </w:rPr>
        <w:t>poorest</w:t>
      </w:r>
      <w:r w:rsidRPr="00995D7B">
        <w:rPr>
          <w:sz w:val="18"/>
          <w:szCs w:val="18"/>
        </w:rPr>
        <w:t xml:space="preserve"> </w:t>
      </w:r>
      <w:r>
        <w:rPr>
          <w:sz w:val="18"/>
          <w:szCs w:val="18"/>
        </w:rPr>
        <w:t xml:space="preserve">urban </w:t>
      </w:r>
      <w:r w:rsidRPr="00995D7B">
        <w:rPr>
          <w:sz w:val="18"/>
          <w:szCs w:val="18"/>
        </w:rPr>
        <w:t>quintiles</w:t>
      </w:r>
    </w:p>
    <w:p w14:paraId="4DD0EE39" w14:textId="482482C0" w:rsidR="00540B9E" w:rsidRDefault="00540B9E" w:rsidP="00F3510B">
      <w:pPr>
        <w:jc w:val="center"/>
      </w:pPr>
    </w:p>
    <w:p w14:paraId="36F8D1FB" w14:textId="4F5CDD59" w:rsidR="00292F3B" w:rsidRDefault="002A2041" w:rsidP="00F3510B">
      <w:pPr>
        <w:jc w:val="center"/>
      </w:pPr>
      <w:r>
        <w:lastRenderedPageBreak/>
        <w:drawing>
          <wp:inline distT="0" distB="0" distL="0" distR="0" wp14:anchorId="1348EEBD" wp14:editId="6D6127CA">
            <wp:extent cx="6703200" cy="482400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703200" cy="4824000"/>
                    </a:xfrm>
                    <a:prstGeom prst="rect">
                      <a:avLst/>
                    </a:prstGeom>
                    <a:noFill/>
                  </pic:spPr>
                </pic:pic>
              </a:graphicData>
            </a:graphic>
          </wp:inline>
        </w:drawing>
      </w:r>
    </w:p>
    <w:p w14:paraId="3B172A4A" w14:textId="05DFA55B" w:rsidR="00540B9E" w:rsidRDefault="00D75228" w:rsidP="00540B9E">
      <w:pPr>
        <w:jc w:val="center"/>
        <w:rPr>
          <w:sz w:val="18"/>
          <w:szCs w:val="18"/>
        </w:rPr>
      </w:pPr>
      <w:r w:rsidRPr="00D75228">
        <w:t xml:space="preserve">  </w:t>
      </w:r>
      <w:r w:rsidR="00540B9E" w:rsidRPr="00E73478">
        <w:rPr>
          <w:b/>
          <w:i/>
          <w:sz w:val="18"/>
          <w:szCs w:val="18"/>
        </w:rPr>
        <w:t xml:space="preserve">Figure </w:t>
      </w:r>
      <w:r w:rsidR="00001A4B">
        <w:rPr>
          <w:b/>
          <w:i/>
          <w:sz w:val="18"/>
          <w:szCs w:val="18"/>
        </w:rPr>
        <w:t>A8</w:t>
      </w:r>
      <w:r w:rsidR="00540B9E" w:rsidRPr="622D9B31">
        <w:rPr>
          <w:b/>
          <w:bCs/>
          <w:sz w:val="18"/>
          <w:szCs w:val="18"/>
        </w:rPr>
        <w:t xml:space="preserve">: </w:t>
      </w:r>
      <w:r w:rsidR="00540B9E" w:rsidRPr="00995D7B">
        <w:rPr>
          <w:sz w:val="18"/>
          <w:szCs w:val="18"/>
        </w:rPr>
        <w:t xml:space="preserve">Generated rooftop </w:t>
      </w:r>
      <w:r w:rsidR="2894AD0B" w:rsidRPr="2621AEA1">
        <w:rPr>
          <w:sz w:val="18"/>
          <w:szCs w:val="18"/>
        </w:rPr>
        <w:t>electric</w:t>
      </w:r>
      <w:r w:rsidR="07BC58CC" w:rsidRPr="2621AEA1">
        <w:rPr>
          <w:sz w:val="18"/>
          <w:szCs w:val="18"/>
        </w:rPr>
        <w:t>i</w:t>
      </w:r>
      <w:r w:rsidR="2894AD0B" w:rsidRPr="2621AEA1">
        <w:rPr>
          <w:sz w:val="18"/>
          <w:szCs w:val="18"/>
        </w:rPr>
        <w:t>ty</w:t>
      </w:r>
      <w:r w:rsidR="00540B9E" w:rsidRPr="00995D7B">
        <w:rPr>
          <w:sz w:val="18"/>
          <w:szCs w:val="18"/>
        </w:rPr>
        <w:t xml:space="preserve"> as share of total household electricity demand, </w:t>
      </w:r>
      <w:r w:rsidR="00540B9E">
        <w:rPr>
          <w:sz w:val="18"/>
          <w:szCs w:val="18"/>
        </w:rPr>
        <w:t>richest</w:t>
      </w:r>
      <w:r w:rsidR="00540B9E" w:rsidRPr="00995D7B">
        <w:rPr>
          <w:sz w:val="18"/>
          <w:szCs w:val="18"/>
        </w:rPr>
        <w:t xml:space="preserve"> </w:t>
      </w:r>
      <w:r w:rsidR="00540B9E">
        <w:rPr>
          <w:sz w:val="18"/>
          <w:szCs w:val="18"/>
        </w:rPr>
        <w:t xml:space="preserve">urban </w:t>
      </w:r>
      <w:r w:rsidR="00540B9E" w:rsidRPr="00995D7B">
        <w:rPr>
          <w:sz w:val="18"/>
          <w:szCs w:val="18"/>
        </w:rPr>
        <w:t>quintiles</w:t>
      </w:r>
    </w:p>
    <w:p w14:paraId="2BE771F2" w14:textId="77777777" w:rsidR="00540B9E" w:rsidRDefault="00540B9E" w:rsidP="00FB18F7"/>
    <w:p w14:paraId="03090C01" w14:textId="08A95DF9" w:rsidR="00FB18F7" w:rsidRDefault="00FB18F7" w:rsidP="00FB18F7">
      <w:pPr>
        <w:pStyle w:val="IOPH2"/>
      </w:pPr>
      <w:r>
        <w:t>A</w:t>
      </w:r>
      <w:r w:rsidR="005074D4">
        <w:t>2.</w:t>
      </w:r>
      <w:r>
        <w:t xml:space="preserve">4 Energy burden changes </w:t>
      </w:r>
      <w:r w:rsidR="00FF0752">
        <w:t>in mitigation scenarios</w:t>
      </w:r>
    </w:p>
    <w:p w14:paraId="50CAAB56" w14:textId="77777777" w:rsidR="00FB18F7" w:rsidRDefault="00FB18F7" w:rsidP="00FB18F7"/>
    <w:p w14:paraId="4A563B48" w14:textId="349AF1C7" w:rsidR="00F946A7" w:rsidRDefault="00D11E00" w:rsidP="006155B9">
      <w:pPr>
        <w:jc w:val="center"/>
      </w:pPr>
      <w:r>
        <w:lastRenderedPageBreak/>
        <w:drawing>
          <wp:inline distT="0" distB="0" distL="0" distR="0" wp14:anchorId="17DE7AB5" wp14:editId="465022B0">
            <wp:extent cx="5007600" cy="4197600"/>
            <wp:effectExtent l="0" t="0" r="3175" b="0"/>
            <wp:docPr id="1228330300" name="Picture 122833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07600" cy="4197600"/>
                    </a:xfrm>
                    <a:prstGeom prst="rect">
                      <a:avLst/>
                    </a:prstGeom>
                    <a:noFill/>
                  </pic:spPr>
                </pic:pic>
              </a:graphicData>
            </a:graphic>
          </wp:inline>
        </w:drawing>
      </w:r>
    </w:p>
    <w:p w14:paraId="3819E690" w14:textId="05709FEF" w:rsidR="005111C1" w:rsidRDefault="006155B9" w:rsidP="006155B9">
      <w:pPr>
        <w:jc w:val="center"/>
        <w:rPr>
          <w:sz w:val="18"/>
          <w:szCs w:val="18"/>
        </w:rPr>
      </w:pPr>
      <w:r w:rsidRPr="00E73478">
        <w:rPr>
          <w:b/>
          <w:i/>
          <w:sz w:val="18"/>
          <w:szCs w:val="18"/>
        </w:rPr>
        <w:t xml:space="preserve">Figure </w:t>
      </w:r>
      <w:r w:rsidR="00F80DF9" w:rsidRPr="00EB46DF">
        <w:rPr>
          <w:b/>
          <w:i/>
          <w:sz w:val="18"/>
          <w:szCs w:val="18"/>
        </w:rPr>
        <w:t>A</w:t>
      </w:r>
      <w:r w:rsidR="00F83A3B">
        <w:rPr>
          <w:b/>
          <w:i/>
          <w:sz w:val="18"/>
          <w:szCs w:val="18"/>
        </w:rPr>
        <w:t>9</w:t>
      </w:r>
      <w:r w:rsidRPr="622D9B31">
        <w:rPr>
          <w:b/>
          <w:bCs/>
          <w:sz w:val="18"/>
          <w:szCs w:val="18"/>
        </w:rPr>
        <w:t>:</w:t>
      </w:r>
      <w:r w:rsidR="001B08A6">
        <w:rPr>
          <w:sz w:val="18"/>
          <w:szCs w:val="18"/>
        </w:rPr>
        <w:t xml:space="preserve"> </w:t>
      </w:r>
      <w:r w:rsidR="001B08A6" w:rsidRPr="001B08A6">
        <w:rPr>
          <w:sz w:val="18"/>
          <w:szCs w:val="18"/>
        </w:rPr>
        <w:t xml:space="preserve">Energy burden </w:t>
      </w:r>
      <w:r w:rsidR="1DBB2A1B" w:rsidRPr="2621AEA1">
        <w:rPr>
          <w:sz w:val="18"/>
          <w:szCs w:val="18"/>
        </w:rPr>
        <w:t xml:space="preserve">(energy expenditure per capita as fraction of total household expenditures per capita) </w:t>
      </w:r>
      <w:r w:rsidR="1F5AAE64" w:rsidRPr="2621AEA1">
        <w:rPr>
          <w:sz w:val="18"/>
          <w:szCs w:val="18"/>
        </w:rPr>
        <w:t>change</w:t>
      </w:r>
      <w:r w:rsidR="6AC27970" w:rsidRPr="2621AEA1">
        <w:rPr>
          <w:sz w:val="18"/>
          <w:szCs w:val="18"/>
        </w:rPr>
        <w:t xml:space="preserve"> </w:t>
      </w:r>
      <w:r w:rsidR="001B08A6" w:rsidRPr="001B08A6">
        <w:rPr>
          <w:sz w:val="18"/>
          <w:szCs w:val="18"/>
        </w:rPr>
        <w:t xml:space="preserve">in the </w:t>
      </w:r>
      <w:r w:rsidR="00520E6B" w:rsidRPr="622D9B31">
        <w:rPr>
          <w:sz w:val="18"/>
          <w:szCs w:val="18"/>
        </w:rPr>
        <w:t>1.5</w:t>
      </w:r>
      <w:r w:rsidR="00520E6B" w:rsidRPr="622D9B31">
        <w:rPr>
          <w:vertAlign w:val="superscript"/>
          <w:lang w:val="en-US"/>
        </w:rPr>
        <w:t>o</w:t>
      </w:r>
      <w:r w:rsidR="00520E6B" w:rsidRPr="622D9B31">
        <w:rPr>
          <w:sz w:val="18"/>
          <w:szCs w:val="18"/>
        </w:rPr>
        <w:t xml:space="preserve">C </w:t>
      </w:r>
      <w:r w:rsidR="001B08A6" w:rsidRPr="001B08A6">
        <w:rPr>
          <w:sz w:val="18"/>
          <w:szCs w:val="18"/>
        </w:rPr>
        <w:t xml:space="preserve">mitigation scenario relative to baseline for </w:t>
      </w:r>
      <w:r w:rsidR="00665EFD">
        <w:rPr>
          <w:sz w:val="18"/>
          <w:szCs w:val="18"/>
        </w:rPr>
        <w:t>richest</w:t>
      </w:r>
      <w:r w:rsidR="001B08A6" w:rsidRPr="001B08A6">
        <w:rPr>
          <w:sz w:val="18"/>
          <w:szCs w:val="18"/>
        </w:rPr>
        <w:t xml:space="preserve"> rural quintiles in selected model regions, (a) Short term, (b) </w:t>
      </w:r>
      <w:r w:rsidR="00D11E00">
        <w:rPr>
          <w:sz w:val="18"/>
          <w:szCs w:val="18"/>
        </w:rPr>
        <w:t xml:space="preserve">Middle </w:t>
      </w:r>
      <w:r w:rsidR="001B08A6" w:rsidRPr="001B08A6">
        <w:rPr>
          <w:sz w:val="18"/>
          <w:szCs w:val="18"/>
        </w:rPr>
        <w:t>term, (c) Long term.</w:t>
      </w:r>
    </w:p>
    <w:p w14:paraId="3E7C3843" w14:textId="77777777" w:rsidR="00665EFD" w:rsidRDefault="00665EFD" w:rsidP="006155B9">
      <w:pPr>
        <w:jc w:val="center"/>
        <w:rPr>
          <w:sz w:val="18"/>
          <w:szCs w:val="18"/>
        </w:rPr>
      </w:pPr>
    </w:p>
    <w:p w14:paraId="405BA4AB" w14:textId="4892541E" w:rsidR="00D9490C" w:rsidRDefault="002C08AA" w:rsidP="006155B9">
      <w:pPr>
        <w:jc w:val="center"/>
        <w:rPr>
          <w:sz w:val="18"/>
          <w:szCs w:val="18"/>
        </w:rPr>
      </w:pPr>
      <w:r>
        <w:rPr>
          <w:sz w:val="18"/>
          <w:szCs w:val="18"/>
        </w:rPr>
        <w:drawing>
          <wp:inline distT="0" distB="0" distL="0" distR="0" wp14:anchorId="7B41BEE3" wp14:editId="1C7F8ED8">
            <wp:extent cx="4982400" cy="4294800"/>
            <wp:effectExtent l="0" t="0" r="8890" b="0"/>
            <wp:docPr id="600236880" name="Picture 600236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982400" cy="4294800"/>
                    </a:xfrm>
                    <a:prstGeom prst="rect">
                      <a:avLst/>
                    </a:prstGeom>
                    <a:noFill/>
                  </pic:spPr>
                </pic:pic>
              </a:graphicData>
            </a:graphic>
          </wp:inline>
        </w:drawing>
      </w:r>
    </w:p>
    <w:p w14:paraId="7E75471D" w14:textId="62ECF3A4" w:rsidR="00665EFD" w:rsidRPr="001B08A6" w:rsidRDefault="00665EFD" w:rsidP="00665EFD">
      <w:pPr>
        <w:jc w:val="center"/>
        <w:rPr>
          <w:sz w:val="18"/>
          <w:szCs w:val="18"/>
        </w:rPr>
      </w:pPr>
      <w:r w:rsidRPr="00E73478">
        <w:rPr>
          <w:b/>
          <w:i/>
          <w:sz w:val="18"/>
          <w:szCs w:val="18"/>
        </w:rPr>
        <w:t xml:space="preserve">Figure </w:t>
      </w:r>
      <w:r w:rsidR="00F80DF9">
        <w:rPr>
          <w:b/>
          <w:i/>
          <w:sz w:val="18"/>
          <w:szCs w:val="18"/>
        </w:rPr>
        <w:t>A</w:t>
      </w:r>
      <w:r w:rsidR="001648CC">
        <w:rPr>
          <w:b/>
          <w:i/>
          <w:sz w:val="18"/>
          <w:szCs w:val="18"/>
        </w:rPr>
        <w:t>10</w:t>
      </w:r>
      <w:r w:rsidRPr="622D9B31">
        <w:rPr>
          <w:b/>
          <w:bCs/>
          <w:sz w:val="18"/>
          <w:szCs w:val="18"/>
        </w:rPr>
        <w:t>:</w:t>
      </w:r>
      <w:r>
        <w:rPr>
          <w:sz w:val="18"/>
          <w:szCs w:val="18"/>
        </w:rPr>
        <w:t xml:space="preserve"> </w:t>
      </w:r>
      <w:r w:rsidRPr="001B08A6">
        <w:rPr>
          <w:sz w:val="18"/>
          <w:szCs w:val="18"/>
        </w:rPr>
        <w:t xml:space="preserve">Energy burden change(energy expenditure per capita as fraction of total household expenditures per capita) in the </w:t>
      </w:r>
      <w:r w:rsidRPr="622D9B31">
        <w:rPr>
          <w:sz w:val="18"/>
          <w:szCs w:val="18"/>
        </w:rPr>
        <w:t>1.5</w:t>
      </w:r>
      <w:r w:rsidRPr="622D9B31">
        <w:rPr>
          <w:vertAlign w:val="superscript"/>
          <w:lang w:val="en-US"/>
        </w:rPr>
        <w:t>o</w:t>
      </w:r>
      <w:r w:rsidRPr="622D9B31">
        <w:rPr>
          <w:sz w:val="18"/>
          <w:szCs w:val="18"/>
        </w:rPr>
        <w:t xml:space="preserve">C </w:t>
      </w:r>
      <w:r w:rsidRPr="001B08A6">
        <w:rPr>
          <w:sz w:val="18"/>
          <w:szCs w:val="18"/>
        </w:rPr>
        <w:t>mitigation scenario</w:t>
      </w:r>
      <w:r w:rsidR="008A4827">
        <w:rPr>
          <w:sz w:val="18"/>
          <w:szCs w:val="18"/>
        </w:rPr>
        <w:t>s</w:t>
      </w:r>
      <w:r w:rsidRPr="001B08A6">
        <w:rPr>
          <w:sz w:val="18"/>
          <w:szCs w:val="18"/>
        </w:rPr>
        <w:t xml:space="preserve"> relative to baseline for </w:t>
      </w:r>
      <w:r>
        <w:rPr>
          <w:sz w:val="18"/>
          <w:szCs w:val="18"/>
        </w:rPr>
        <w:t>poorest urban</w:t>
      </w:r>
      <w:r w:rsidRPr="001B08A6">
        <w:rPr>
          <w:sz w:val="18"/>
          <w:szCs w:val="18"/>
        </w:rPr>
        <w:t xml:space="preserve"> quintiles in selected model regions, (a) Short term, (b) </w:t>
      </w:r>
      <w:r w:rsidR="00D11E00">
        <w:rPr>
          <w:sz w:val="18"/>
          <w:szCs w:val="18"/>
        </w:rPr>
        <w:t xml:space="preserve">Middle </w:t>
      </w:r>
      <w:r w:rsidRPr="001B08A6">
        <w:rPr>
          <w:sz w:val="18"/>
          <w:szCs w:val="18"/>
        </w:rPr>
        <w:t>term, (c) Long term.</w:t>
      </w:r>
    </w:p>
    <w:p w14:paraId="613C24A9" w14:textId="77777777" w:rsidR="00665EFD" w:rsidRDefault="00665EFD" w:rsidP="006155B9">
      <w:pPr>
        <w:jc w:val="center"/>
        <w:rPr>
          <w:sz w:val="18"/>
          <w:szCs w:val="18"/>
        </w:rPr>
      </w:pPr>
    </w:p>
    <w:p w14:paraId="1ACD8B66" w14:textId="7A372960" w:rsidR="00D9490C" w:rsidRDefault="00C94AA4" w:rsidP="006155B9">
      <w:pPr>
        <w:jc w:val="center"/>
        <w:rPr>
          <w:sz w:val="18"/>
          <w:szCs w:val="18"/>
        </w:rPr>
      </w:pPr>
      <w:r>
        <w:rPr>
          <w:sz w:val="18"/>
          <w:szCs w:val="18"/>
        </w:rPr>
        <w:drawing>
          <wp:inline distT="0" distB="0" distL="0" distR="0" wp14:anchorId="520F2420" wp14:editId="0F71D77B">
            <wp:extent cx="4824000" cy="4197600"/>
            <wp:effectExtent l="0" t="0" r="0" b="0"/>
            <wp:docPr id="1105635147" name="Picture 1105635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824000" cy="4197600"/>
                    </a:xfrm>
                    <a:prstGeom prst="rect">
                      <a:avLst/>
                    </a:prstGeom>
                    <a:noFill/>
                  </pic:spPr>
                </pic:pic>
              </a:graphicData>
            </a:graphic>
          </wp:inline>
        </w:drawing>
      </w:r>
    </w:p>
    <w:p w14:paraId="0318F8ED" w14:textId="4B031726" w:rsidR="00BB7319" w:rsidRPr="001B08A6" w:rsidRDefault="00BB7319" w:rsidP="00BB7319">
      <w:pPr>
        <w:jc w:val="center"/>
        <w:rPr>
          <w:sz w:val="18"/>
          <w:szCs w:val="18"/>
        </w:rPr>
      </w:pPr>
      <w:r w:rsidRPr="00E73478">
        <w:rPr>
          <w:b/>
          <w:i/>
          <w:sz w:val="18"/>
          <w:szCs w:val="18"/>
        </w:rPr>
        <w:t xml:space="preserve">Figure </w:t>
      </w:r>
      <w:r w:rsidR="00F80DF9">
        <w:rPr>
          <w:b/>
          <w:i/>
          <w:sz w:val="18"/>
          <w:szCs w:val="18"/>
        </w:rPr>
        <w:t>A1</w:t>
      </w:r>
      <w:r w:rsidR="001648CC">
        <w:rPr>
          <w:b/>
          <w:i/>
          <w:sz w:val="18"/>
          <w:szCs w:val="18"/>
        </w:rPr>
        <w:t>1</w:t>
      </w:r>
      <w:r w:rsidRPr="622D9B31">
        <w:rPr>
          <w:b/>
          <w:bCs/>
          <w:sz w:val="18"/>
          <w:szCs w:val="18"/>
        </w:rPr>
        <w:t>:</w:t>
      </w:r>
      <w:r>
        <w:rPr>
          <w:sz w:val="18"/>
          <w:szCs w:val="18"/>
        </w:rPr>
        <w:t xml:space="preserve"> </w:t>
      </w:r>
      <w:r w:rsidRPr="001B08A6">
        <w:rPr>
          <w:sz w:val="18"/>
          <w:szCs w:val="18"/>
        </w:rPr>
        <w:t xml:space="preserve">Energy burden change(energy expenditure per capita as fraction of total household expenditures per capita) in the </w:t>
      </w:r>
      <w:r w:rsidRPr="622D9B31">
        <w:rPr>
          <w:sz w:val="18"/>
          <w:szCs w:val="18"/>
        </w:rPr>
        <w:t>1.5</w:t>
      </w:r>
      <w:r w:rsidRPr="622D9B31">
        <w:rPr>
          <w:vertAlign w:val="superscript"/>
          <w:lang w:val="en-US"/>
        </w:rPr>
        <w:t>o</w:t>
      </w:r>
      <w:r w:rsidRPr="622D9B31">
        <w:rPr>
          <w:sz w:val="18"/>
          <w:szCs w:val="18"/>
        </w:rPr>
        <w:t xml:space="preserve">C </w:t>
      </w:r>
      <w:r w:rsidRPr="001B08A6">
        <w:rPr>
          <w:sz w:val="18"/>
          <w:szCs w:val="18"/>
        </w:rPr>
        <w:t>mitigation scenario</w:t>
      </w:r>
      <w:r w:rsidR="008A4827">
        <w:rPr>
          <w:sz w:val="18"/>
          <w:szCs w:val="18"/>
        </w:rPr>
        <w:t>s</w:t>
      </w:r>
      <w:r w:rsidRPr="001B08A6">
        <w:rPr>
          <w:sz w:val="18"/>
          <w:szCs w:val="18"/>
        </w:rPr>
        <w:t xml:space="preserve"> relative to baseline for </w:t>
      </w:r>
      <w:r>
        <w:rPr>
          <w:sz w:val="18"/>
          <w:szCs w:val="18"/>
        </w:rPr>
        <w:t>richest urban</w:t>
      </w:r>
      <w:r w:rsidRPr="001B08A6">
        <w:rPr>
          <w:sz w:val="18"/>
          <w:szCs w:val="18"/>
        </w:rPr>
        <w:t xml:space="preserve"> quintiles in selected model regions, (a) Short term, (b) </w:t>
      </w:r>
      <w:r w:rsidR="00D11E00">
        <w:rPr>
          <w:sz w:val="18"/>
          <w:szCs w:val="18"/>
        </w:rPr>
        <w:t xml:space="preserve">Middle </w:t>
      </w:r>
      <w:r w:rsidRPr="001B08A6">
        <w:rPr>
          <w:sz w:val="18"/>
          <w:szCs w:val="18"/>
        </w:rPr>
        <w:t>term, (c) Long term.</w:t>
      </w:r>
    </w:p>
    <w:p w14:paraId="610D2F69" w14:textId="77777777" w:rsidR="00BB7319" w:rsidRPr="001B08A6" w:rsidRDefault="00BB7319" w:rsidP="006155B9">
      <w:pPr>
        <w:jc w:val="center"/>
        <w:rPr>
          <w:sz w:val="18"/>
          <w:szCs w:val="18"/>
        </w:rPr>
      </w:pPr>
    </w:p>
    <w:p w14:paraId="359267A8" w14:textId="5B2478EC" w:rsidR="00D14B28" w:rsidRDefault="00D14B28" w:rsidP="00D14B28">
      <w:pPr>
        <w:pStyle w:val="IOPH2"/>
      </w:pPr>
      <w:r>
        <w:t>A</w:t>
      </w:r>
      <w:r w:rsidR="005074D4">
        <w:t>2.5</w:t>
      </w:r>
      <w:r>
        <w:t xml:space="preserve"> Electricity production per technology (shares of total)</w:t>
      </w:r>
    </w:p>
    <w:p w14:paraId="2CA89C1E" w14:textId="77777777" w:rsidR="00253DC4" w:rsidRPr="00253DC4" w:rsidRDefault="00253DC4" w:rsidP="00253DC4">
      <w:pPr>
        <w:pStyle w:val="Heading2"/>
      </w:pPr>
    </w:p>
    <w:p w14:paraId="4C9F776A" w14:textId="5999C181" w:rsidR="00D14B28" w:rsidRDefault="005B0DCF" w:rsidP="00D14B28">
      <w:pPr>
        <w:rPr>
          <w:rFonts w:ascii="Segoe UI" w:hAnsi="Segoe UI" w:cs="Segoe UI"/>
        </w:rPr>
      </w:pPr>
      <w:r>
        <w:rPr>
          <w:rFonts w:ascii="Segoe UI" w:hAnsi="Segoe UI" w:cs="Segoe UI"/>
        </w:rPr>
        <w:drawing>
          <wp:inline distT="0" distB="0" distL="0" distR="0" wp14:anchorId="60AE5187" wp14:editId="40919A8E">
            <wp:extent cx="6462000" cy="3290400"/>
            <wp:effectExtent l="0" t="0" r="0" b="5715"/>
            <wp:docPr id="955199478" name="Picture 955199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462000" cy="3290400"/>
                    </a:xfrm>
                    <a:prstGeom prst="rect">
                      <a:avLst/>
                    </a:prstGeom>
                    <a:noFill/>
                  </pic:spPr>
                </pic:pic>
              </a:graphicData>
            </a:graphic>
          </wp:inline>
        </w:drawing>
      </w:r>
    </w:p>
    <w:p w14:paraId="30326A46" w14:textId="25115AB2" w:rsidR="00D16745" w:rsidRPr="0041531B" w:rsidRDefault="0041531B" w:rsidP="0041531B">
      <w:pPr>
        <w:jc w:val="center"/>
        <w:rPr>
          <w:sz w:val="18"/>
          <w:szCs w:val="18"/>
          <w:lang w:val="en-US"/>
        </w:rPr>
      </w:pPr>
      <w:r w:rsidRPr="6588F217">
        <w:rPr>
          <w:b/>
          <w:bCs/>
          <w:i/>
          <w:iCs/>
          <w:sz w:val="18"/>
          <w:szCs w:val="18"/>
        </w:rPr>
        <w:t xml:space="preserve">Figure </w:t>
      </w:r>
      <w:r>
        <w:rPr>
          <w:b/>
          <w:bCs/>
          <w:i/>
          <w:iCs/>
          <w:sz w:val="18"/>
          <w:szCs w:val="18"/>
        </w:rPr>
        <w:t>A12</w:t>
      </w:r>
      <w:r w:rsidRPr="6588F217">
        <w:rPr>
          <w:b/>
          <w:bCs/>
          <w:sz w:val="18"/>
          <w:szCs w:val="18"/>
        </w:rPr>
        <w:t xml:space="preserve">: </w:t>
      </w:r>
      <w:r w:rsidRPr="6588F217">
        <w:rPr>
          <w:sz w:val="18"/>
          <w:szCs w:val="18"/>
        </w:rPr>
        <w:t>T</w:t>
      </w:r>
      <w:r w:rsidRPr="6588F217">
        <w:rPr>
          <w:sz w:val="18"/>
          <w:szCs w:val="18"/>
          <w:lang w:val="en-US"/>
        </w:rPr>
        <w:t>echnology shares of generated electricity in the short term (2025-2044)</w:t>
      </w:r>
    </w:p>
    <w:p w14:paraId="6CFEEFA2" w14:textId="16EECA62" w:rsidR="00D16745" w:rsidRDefault="0035230A" w:rsidP="00D14B28">
      <w:pPr>
        <w:rPr>
          <w:rFonts w:ascii="Segoe UI" w:hAnsi="Segoe UI" w:cs="Segoe UI"/>
        </w:rPr>
      </w:pPr>
      <w:r>
        <w:rPr>
          <w:rFonts w:ascii="Segoe UI" w:hAnsi="Segoe UI" w:cs="Segoe UI"/>
        </w:rPr>
        <w:lastRenderedPageBreak/>
        <w:drawing>
          <wp:inline distT="0" distB="0" distL="0" distR="0" wp14:anchorId="48606AFA" wp14:editId="196E892F">
            <wp:extent cx="6476400" cy="3002400"/>
            <wp:effectExtent l="0" t="0" r="635" b="7620"/>
            <wp:docPr id="1420231954" name="Picture 1420231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476400" cy="3002400"/>
                    </a:xfrm>
                    <a:prstGeom prst="rect">
                      <a:avLst/>
                    </a:prstGeom>
                    <a:noFill/>
                  </pic:spPr>
                </pic:pic>
              </a:graphicData>
            </a:graphic>
          </wp:inline>
        </w:drawing>
      </w:r>
    </w:p>
    <w:p w14:paraId="1B0B707C" w14:textId="58FDDB38" w:rsidR="0041531B" w:rsidRDefault="0041531B" w:rsidP="0041531B">
      <w:pPr>
        <w:jc w:val="center"/>
        <w:rPr>
          <w:sz w:val="18"/>
          <w:szCs w:val="18"/>
          <w:lang w:val="en-US"/>
        </w:rPr>
      </w:pPr>
      <w:r w:rsidRPr="00E73478">
        <w:rPr>
          <w:b/>
          <w:i/>
          <w:sz w:val="18"/>
          <w:szCs w:val="18"/>
        </w:rPr>
        <w:t xml:space="preserve">Figure </w:t>
      </w:r>
      <w:r>
        <w:rPr>
          <w:b/>
          <w:i/>
          <w:sz w:val="18"/>
          <w:szCs w:val="18"/>
        </w:rPr>
        <w:t>A13</w:t>
      </w:r>
      <w:r w:rsidRPr="1748FFC4">
        <w:rPr>
          <w:b/>
          <w:bCs/>
          <w:sz w:val="18"/>
          <w:szCs w:val="18"/>
        </w:rPr>
        <w:t xml:space="preserve">: </w:t>
      </w:r>
      <w:r w:rsidRPr="1748FFC4">
        <w:rPr>
          <w:sz w:val="18"/>
          <w:szCs w:val="18"/>
        </w:rPr>
        <w:t>T</w:t>
      </w:r>
      <w:r w:rsidRPr="1748FFC4">
        <w:rPr>
          <w:sz w:val="18"/>
          <w:szCs w:val="18"/>
          <w:lang w:val="en-US"/>
        </w:rPr>
        <w:t xml:space="preserve">echnology shares of generated electricity in the </w:t>
      </w:r>
      <w:r>
        <w:rPr>
          <w:sz w:val="18"/>
          <w:szCs w:val="18"/>
          <w:lang w:val="en-US"/>
        </w:rPr>
        <w:t xml:space="preserve">middle </w:t>
      </w:r>
      <w:r w:rsidRPr="1748FFC4">
        <w:rPr>
          <w:sz w:val="18"/>
          <w:szCs w:val="18"/>
          <w:lang w:val="en-US"/>
        </w:rPr>
        <w:t>term (2045-2065)</w:t>
      </w:r>
    </w:p>
    <w:p w14:paraId="577FE057" w14:textId="77777777" w:rsidR="0041531B" w:rsidRDefault="0041531B" w:rsidP="00D14B28">
      <w:pPr>
        <w:rPr>
          <w:rFonts w:ascii="Segoe UI" w:hAnsi="Segoe UI" w:cs="Segoe UI"/>
        </w:rPr>
      </w:pPr>
    </w:p>
    <w:p w14:paraId="3E05A36E" w14:textId="22BDB670" w:rsidR="00253DC4" w:rsidRDefault="00D16745" w:rsidP="00D14B28">
      <w:pPr>
        <w:rPr>
          <w:rFonts w:ascii="Segoe UI" w:hAnsi="Segoe UI" w:cs="Segoe UI"/>
        </w:rPr>
      </w:pPr>
      <w:r>
        <w:rPr>
          <w:rFonts w:ascii="Segoe UI" w:hAnsi="Segoe UI" w:cs="Segoe UI"/>
        </w:rPr>
        <w:drawing>
          <wp:inline distT="0" distB="0" distL="0" distR="0" wp14:anchorId="51786233" wp14:editId="3C796D9A">
            <wp:extent cx="6476400" cy="3290400"/>
            <wp:effectExtent l="0" t="0" r="635" b="5715"/>
            <wp:docPr id="1943497470" name="Picture 1943497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476400" cy="3290400"/>
                    </a:xfrm>
                    <a:prstGeom prst="rect">
                      <a:avLst/>
                    </a:prstGeom>
                    <a:noFill/>
                  </pic:spPr>
                </pic:pic>
              </a:graphicData>
            </a:graphic>
          </wp:inline>
        </w:drawing>
      </w:r>
    </w:p>
    <w:p w14:paraId="3C8C76AE" w14:textId="49A379E4" w:rsidR="00C301EA" w:rsidRPr="00C301EA" w:rsidRDefault="00C301EA" w:rsidP="00C301EA">
      <w:pPr>
        <w:jc w:val="center"/>
        <w:rPr>
          <w:sz w:val="18"/>
          <w:szCs w:val="18"/>
          <w:lang w:val="en-US"/>
        </w:rPr>
      </w:pPr>
      <w:r w:rsidRPr="00E73478">
        <w:rPr>
          <w:b/>
          <w:i/>
          <w:sz w:val="18"/>
          <w:szCs w:val="18"/>
        </w:rPr>
        <w:t xml:space="preserve">Figure </w:t>
      </w:r>
      <w:r>
        <w:rPr>
          <w:b/>
          <w:i/>
          <w:sz w:val="18"/>
          <w:szCs w:val="18"/>
        </w:rPr>
        <w:t>A14</w:t>
      </w:r>
      <w:r w:rsidRPr="622D9B31">
        <w:rPr>
          <w:b/>
          <w:bCs/>
          <w:sz w:val="18"/>
          <w:szCs w:val="18"/>
        </w:rPr>
        <w:t xml:space="preserve">: </w:t>
      </w:r>
      <w:r w:rsidRPr="00153A2F">
        <w:rPr>
          <w:sz w:val="18"/>
          <w:szCs w:val="18"/>
        </w:rPr>
        <w:t>T</w:t>
      </w:r>
      <w:r>
        <w:rPr>
          <w:sz w:val="18"/>
          <w:szCs w:val="18"/>
          <w:lang w:val="en-US"/>
        </w:rPr>
        <w:t xml:space="preserve">echnology </w:t>
      </w:r>
      <w:r w:rsidRPr="009E0FAB">
        <w:rPr>
          <w:sz w:val="18"/>
          <w:szCs w:val="18"/>
          <w:lang w:val="en-US"/>
        </w:rPr>
        <w:t xml:space="preserve">shares of </w:t>
      </w:r>
      <w:r>
        <w:rPr>
          <w:sz w:val="18"/>
          <w:szCs w:val="18"/>
          <w:lang w:val="en-US"/>
        </w:rPr>
        <w:t>generated electricity in the long term (2066-2085)</w:t>
      </w:r>
    </w:p>
    <w:p w14:paraId="1FCC6ADD" w14:textId="439C7733" w:rsidR="00253DC4" w:rsidRDefault="00253DC4" w:rsidP="00253DC4">
      <w:pPr>
        <w:pStyle w:val="IOPH2"/>
      </w:pPr>
      <w:r>
        <w:t>A2.5 Electricity production per technology (GW)</w:t>
      </w:r>
    </w:p>
    <w:p w14:paraId="063BBADD" w14:textId="77777777" w:rsidR="00253DC4" w:rsidRDefault="00253DC4" w:rsidP="00D14B28">
      <w:pPr>
        <w:rPr>
          <w:rFonts w:ascii="Segoe UI" w:hAnsi="Segoe UI" w:cs="Segoe UI"/>
        </w:rPr>
      </w:pPr>
    </w:p>
    <w:p w14:paraId="705E67A5" w14:textId="0FBDB0DF" w:rsidR="00097990" w:rsidRDefault="00605102" w:rsidP="00097990">
      <w:pPr>
        <w:jc w:val="center"/>
        <w:rPr>
          <w:rFonts w:ascii="Segoe UI" w:hAnsi="Segoe UI" w:cs="Segoe UI"/>
        </w:rPr>
      </w:pPr>
      <w:r>
        <w:rPr>
          <w:rFonts w:ascii="Segoe UI" w:hAnsi="Segoe UI" w:cs="Segoe UI"/>
        </w:rPr>
        <w:lastRenderedPageBreak/>
        <w:drawing>
          <wp:inline distT="0" distB="0" distL="0" distR="0" wp14:anchorId="76F52FF4" wp14:editId="11FC5822">
            <wp:extent cx="6483600" cy="3211200"/>
            <wp:effectExtent l="0" t="0" r="0" b="8255"/>
            <wp:docPr id="4720155" name="Picture 4720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483600" cy="3211200"/>
                    </a:xfrm>
                    <a:prstGeom prst="rect">
                      <a:avLst/>
                    </a:prstGeom>
                    <a:noFill/>
                  </pic:spPr>
                </pic:pic>
              </a:graphicData>
            </a:graphic>
          </wp:inline>
        </w:drawing>
      </w:r>
    </w:p>
    <w:p w14:paraId="2F89F439" w14:textId="32FF5179" w:rsidR="00097990" w:rsidRDefault="00097990" w:rsidP="00097990">
      <w:pPr>
        <w:jc w:val="center"/>
        <w:rPr>
          <w:sz w:val="18"/>
          <w:szCs w:val="18"/>
          <w:lang w:val="en-US"/>
        </w:rPr>
      </w:pPr>
      <w:r w:rsidRPr="6588F217">
        <w:rPr>
          <w:b/>
          <w:bCs/>
          <w:i/>
          <w:iCs/>
          <w:sz w:val="18"/>
          <w:szCs w:val="18"/>
        </w:rPr>
        <w:t xml:space="preserve">Figure </w:t>
      </w:r>
      <w:r w:rsidR="00F80DF9">
        <w:rPr>
          <w:b/>
          <w:bCs/>
          <w:i/>
          <w:iCs/>
          <w:sz w:val="18"/>
          <w:szCs w:val="18"/>
        </w:rPr>
        <w:t>A1</w:t>
      </w:r>
      <w:r w:rsidR="00C301EA">
        <w:rPr>
          <w:b/>
          <w:bCs/>
          <w:i/>
          <w:iCs/>
          <w:sz w:val="18"/>
          <w:szCs w:val="18"/>
        </w:rPr>
        <w:t>5</w:t>
      </w:r>
      <w:r w:rsidRPr="6588F217">
        <w:rPr>
          <w:b/>
          <w:bCs/>
          <w:sz w:val="18"/>
          <w:szCs w:val="18"/>
        </w:rPr>
        <w:t xml:space="preserve">: </w:t>
      </w:r>
      <w:r w:rsidR="00EC4B42">
        <w:rPr>
          <w:sz w:val="18"/>
          <w:szCs w:val="18"/>
          <w:lang w:val="en-US"/>
        </w:rPr>
        <w:t>E</w:t>
      </w:r>
      <w:r w:rsidRPr="6588F217">
        <w:rPr>
          <w:sz w:val="18"/>
          <w:szCs w:val="18"/>
          <w:lang w:val="en-US"/>
        </w:rPr>
        <w:t>lectricity</w:t>
      </w:r>
      <w:r w:rsidR="00EC4B42">
        <w:rPr>
          <w:sz w:val="18"/>
          <w:szCs w:val="18"/>
          <w:lang w:val="en-US"/>
        </w:rPr>
        <w:t xml:space="preserve"> generation </w:t>
      </w:r>
      <w:r w:rsidR="004E409B">
        <w:rPr>
          <w:sz w:val="18"/>
          <w:szCs w:val="18"/>
          <w:lang w:val="en-US"/>
        </w:rPr>
        <w:t>by technology</w:t>
      </w:r>
      <w:r w:rsidRPr="6588F217">
        <w:rPr>
          <w:sz w:val="18"/>
          <w:szCs w:val="18"/>
          <w:lang w:val="en-US"/>
        </w:rPr>
        <w:t xml:space="preserve"> in the short term (2025-2044)</w:t>
      </w:r>
    </w:p>
    <w:p w14:paraId="695D0AC1" w14:textId="77777777" w:rsidR="00097990" w:rsidRDefault="00097990" w:rsidP="00D14B28">
      <w:pPr>
        <w:rPr>
          <w:rFonts w:ascii="Segoe UI" w:hAnsi="Segoe UI" w:cs="Segoe UI"/>
        </w:rPr>
      </w:pPr>
    </w:p>
    <w:p w14:paraId="1CB5001E" w14:textId="4AB0BE79" w:rsidR="00D14B28" w:rsidRDefault="006005CB" w:rsidP="00D14B28">
      <w:pPr>
        <w:jc w:val="center"/>
        <w:rPr>
          <w:rFonts w:ascii="Segoe UI" w:hAnsi="Segoe UI" w:cs="Segoe UI"/>
        </w:rPr>
      </w:pPr>
      <w:r>
        <w:rPr>
          <w:rFonts w:ascii="Segoe UI" w:hAnsi="Segoe UI" w:cs="Segoe UI"/>
        </w:rPr>
        <w:drawing>
          <wp:inline distT="0" distB="0" distL="0" distR="0" wp14:anchorId="7784BDF8" wp14:editId="2DF5743F">
            <wp:extent cx="6346800" cy="3211200"/>
            <wp:effectExtent l="0" t="0" r="0" b="8255"/>
            <wp:docPr id="956927574" name="Picture 956927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46800" cy="3211200"/>
                    </a:xfrm>
                    <a:prstGeom prst="rect">
                      <a:avLst/>
                    </a:prstGeom>
                    <a:noFill/>
                  </pic:spPr>
                </pic:pic>
              </a:graphicData>
            </a:graphic>
          </wp:inline>
        </w:drawing>
      </w:r>
    </w:p>
    <w:p w14:paraId="66D233DF" w14:textId="6F194BF4" w:rsidR="00D14B28" w:rsidRDefault="0F97E9D6" w:rsidP="00D14B28">
      <w:pPr>
        <w:jc w:val="center"/>
        <w:rPr>
          <w:sz w:val="18"/>
          <w:szCs w:val="18"/>
          <w:lang w:val="en-US"/>
        </w:rPr>
      </w:pPr>
      <w:r w:rsidRPr="00E73478">
        <w:rPr>
          <w:b/>
          <w:i/>
          <w:sz w:val="18"/>
          <w:szCs w:val="18"/>
        </w:rPr>
        <w:t xml:space="preserve">Figure </w:t>
      </w:r>
      <w:r w:rsidR="225057A3">
        <w:rPr>
          <w:b/>
          <w:i/>
          <w:sz w:val="18"/>
          <w:szCs w:val="18"/>
        </w:rPr>
        <w:t>A1</w:t>
      </w:r>
      <w:r w:rsidR="004E409B">
        <w:rPr>
          <w:b/>
          <w:i/>
          <w:sz w:val="18"/>
          <w:szCs w:val="18"/>
        </w:rPr>
        <w:t>6</w:t>
      </w:r>
      <w:r w:rsidRPr="1748FFC4">
        <w:rPr>
          <w:b/>
          <w:bCs/>
          <w:sz w:val="18"/>
          <w:szCs w:val="18"/>
        </w:rPr>
        <w:t xml:space="preserve">: </w:t>
      </w:r>
      <w:r w:rsidR="004E409B">
        <w:rPr>
          <w:sz w:val="18"/>
          <w:szCs w:val="18"/>
          <w:lang w:val="en-US"/>
        </w:rPr>
        <w:t>E</w:t>
      </w:r>
      <w:r w:rsidR="004E409B" w:rsidRPr="6588F217">
        <w:rPr>
          <w:sz w:val="18"/>
          <w:szCs w:val="18"/>
          <w:lang w:val="en-US"/>
        </w:rPr>
        <w:t>lectricity</w:t>
      </w:r>
      <w:r w:rsidR="004E409B">
        <w:rPr>
          <w:sz w:val="18"/>
          <w:szCs w:val="18"/>
          <w:lang w:val="en-US"/>
        </w:rPr>
        <w:t xml:space="preserve"> generation by technology</w:t>
      </w:r>
      <w:r w:rsidRPr="1748FFC4">
        <w:rPr>
          <w:sz w:val="18"/>
          <w:szCs w:val="18"/>
          <w:lang w:val="en-US"/>
        </w:rPr>
        <w:t xml:space="preserve"> in the </w:t>
      </w:r>
      <w:r w:rsidR="00D11E00">
        <w:rPr>
          <w:sz w:val="18"/>
          <w:szCs w:val="18"/>
          <w:lang w:val="en-US"/>
        </w:rPr>
        <w:t xml:space="preserve">middle </w:t>
      </w:r>
      <w:r w:rsidRPr="1748FFC4">
        <w:rPr>
          <w:sz w:val="18"/>
          <w:szCs w:val="18"/>
          <w:lang w:val="en-US"/>
        </w:rPr>
        <w:t>term (2045-2065)</w:t>
      </w:r>
    </w:p>
    <w:p w14:paraId="291CDBF6" w14:textId="77777777" w:rsidR="00D14B28" w:rsidRDefault="00D14B28" w:rsidP="00D14B28">
      <w:pPr>
        <w:jc w:val="center"/>
        <w:rPr>
          <w:sz w:val="18"/>
          <w:szCs w:val="18"/>
          <w:lang w:val="en-US"/>
        </w:rPr>
      </w:pPr>
    </w:p>
    <w:p w14:paraId="532F4010" w14:textId="7987F880" w:rsidR="00D14B28" w:rsidRDefault="003A4F9D" w:rsidP="00D14B28">
      <w:pPr>
        <w:jc w:val="center"/>
        <w:rPr>
          <w:rFonts w:ascii="Segoe UI" w:hAnsi="Segoe UI" w:cs="Segoe UI"/>
        </w:rPr>
      </w:pPr>
      <w:r>
        <w:rPr>
          <w:rFonts w:ascii="Segoe UI" w:hAnsi="Segoe UI" w:cs="Segoe UI"/>
        </w:rPr>
        <w:lastRenderedPageBreak/>
        <w:drawing>
          <wp:inline distT="0" distB="0" distL="0" distR="0" wp14:anchorId="04A70863" wp14:editId="6E2E4CC8">
            <wp:extent cx="6512400" cy="3200400"/>
            <wp:effectExtent l="0" t="0" r="3175" b="0"/>
            <wp:docPr id="219275683" name="Picture 219275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512400" cy="3200400"/>
                    </a:xfrm>
                    <a:prstGeom prst="rect">
                      <a:avLst/>
                    </a:prstGeom>
                    <a:noFill/>
                  </pic:spPr>
                </pic:pic>
              </a:graphicData>
            </a:graphic>
          </wp:inline>
        </w:drawing>
      </w:r>
    </w:p>
    <w:p w14:paraId="56B97B88" w14:textId="1295FDAF" w:rsidR="00D14B28" w:rsidRDefault="00D14B28" w:rsidP="00D14B28">
      <w:pPr>
        <w:jc w:val="center"/>
        <w:rPr>
          <w:sz w:val="18"/>
          <w:szCs w:val="18"/>
          <w:lang w:val="en-US"/>
        </w:rPr>
      </w:pPr>
      <w:r w:rsidRPr="00E73478">
        <w:rPr>
          <w:b/>
          <w:i/>
          <w:sz w:val="18"/>
          <w:szCs w:val="18"/>
        </w:rPr>
        <w:t xml:space="preserve">Figure </w:t>
      </w:r>
      <w:r w:rsidR="00F80DF9">
        <w:rPr>
          <w:b/>
          <w:i/>
          <w:sz w:val="18"/>
          <w:szCs w:val="18"/>
        </w:rPr>
        <w:t>A1</w:t>
      </w:r>
      <w:r w:rsidR="004E409B">
        <w:rPr>
          <w:b/>
          <w:i/>
          <w:sz w:val="18"/>
          <w:szCs w:val="18"/>
        </w:rPr>
        <w:t>7</w:t>
      </w:r>
      <w:r w:rsidRPr="622D9B31">
        <w:rPr>
          <w:b/>
          <w:bCs/>
          <w:sz w:val="18"/>
          <w:szCs w:val="18"/>
        </w:rPr>
        <w:t xml:space="preserve">: </w:t>
      </w:r>
      <w:r w:rsidR="004E409B">
        <w:rPr>
          <w:sz w:val="18"/>
          <w:szCs w:val="18"/>
          <w:lang w:val="en-US"/>
        </w:rPr>
        <w:t>E</w:t>
      </w:r>
      <w:r w:rsidR="004E409B" w:rsidRPr="6588F217">
        <w:rPr>
          <w:sz w:val="18"/>
          <w:szCs w:val="18"/>
          <w:lang w:val="en-US"/>
        </w:rPr>
        <w:t>lectricity</w:t>
      </w:r>
      <w:r w:rsidR="004E409B">
        <w:rPr>
          <w:sz w:val="18"/>
          <w:szCs w:val="18"/>
          <w:lang w:val="en-US"/>
        </w:rPr>
        <w:t xml:space="preserve"> generation by technology</w:t>
      </w:r>
      <w:r>
        <w:rPr>
          <w:sz w:val="18"/>
          <w:szCs w:val="18"/>
          <w:lang w:val="en-US"/>
        </w:rPr>
        <w:t xml:space="preserve"> in the long term (2066-2085)</w:t>
      </w:r>
    </w:p>
    <w:p w14:paraId="56A7A633" w14:textId="5180FA93" w:rsidR="00FE46E8" w:rsidRDefault="00FE46E8" w:rsidP="004379F5">
      <w:pPr>
        <w:jc w:val="center"/>
        <w:rPr>
          <w:rFonts w:ascii="Segoe UI" w:hAnsi="Segoe UI" w:cs="Segoe UI"/>
        </w:rPr>
      </w:pPr>
    </w:p>
    <w:p w14:paraId="7E2A4DE7" w14:textId="7BCD8887" w:rsidR="00BE342D" w:rsidRDefault="001C0CD0" w:rsidP="00BE342D">
      <w:pPr>
        <w:pStyle w:val="IOPH2"/>
      </w:pPr>
      <w:r>
        <w:t>A</w:t>
      </w:r>
      <w:r w:rsidR="005074D4">
        <w:t>2.6</w:t>
      </w:r>
      <w:r w:rsidR="006F40BB" w:rsidRPr="006F40BB">
        <w:t xml:space="preserve"> Gini changes with redistribution policies targeting income groups based on</w:t>
      </w:r>
      <w:r w:rsidR="00EC523A">
        <w:t xml:space="preserve"> alternative conditions</w:t>
      </w:r>
    </w:p>
    <w:p w14:paraId="51F05DFE" w14:textId="2629C9F5" w:rsidR="00FC34BF" w:rsidRPr="00FC34BF" w:rsidRDefault="00AD2773" w:rsidP="00BE342D">
      <w:r>
        <w:t xml:space="preserve">Income groups </w:t>
      </w:r>
      <w:r w:rsidR="009F2803">
        <w:t xml:space="preserve">receiving </w:t>
      </w:r>
      <w:r w:rsidR="00285B67">
        <w:t xml:space="preserve">redistributive policy benefits (carbon price exemptions, PV incentives, or both) </w:t>
      </w:r>
      <w:r>
        <w:t>are</w:t>
      </w:r>
      <w:r w:rsidR="00CD49CC">
        <w:t xml:space="preserve"> identified </w:t>
      </w:r>
      <w:r w:rsidR="001A0F20">
        <w:t xml:space="preserve">based on shares of population </w:t>
      </w:r>
      <w:r w:rsidR="00377DBD">
        <w:t>dependent on solid fuels</w:t>
      </w:r>
      <w:r w:rsidR="009B667C">
        <w:t xml:space="preserve">. The </w:t>
      </w:r>
      <w:r w:rsidR="001C78BB">
        <w:t xml:space="preserve">globally and temporally uniform </w:t>
      </w:r>
      <w:r w:rsidR="00856AB8">
        <w:t xml:space="preserve">minimum </w:t>
      </w:r>
      <w:r w:rsidR="009B3747">
        <w:t>threshold</w:t>
      </w:r>
      <w:r w:rsidR="009B667C">
        <w:t xml:space="preserve"> is set at </w:t>
      </w:r>
      <w:r w:rsidR="0028608F">
        <w:t>5</w:t>
      </w:r>
      <w:r w:rsidR="009B667C">
        <w:t xml:space="preserve">% </w:t>
      </w:r>
      <w:r w:rsidR="002023AB">
        <w:t xml:space="preserve">through trial </w:t>
      </w:r>
      <w:r w:rsidR="007664C0">
        <w:t>and error</w:t>
      </w:r>
      <w:r w:rsidR="00D73BD1">
        <w:t>,</w:t>
      </w:r>
      <w:r w:rsidR="007664C0">
        <w:t xml:space="preserve"> to </w:t>
      </w:r>
      <w:r w:rsidR="006742E7">
        <w:t xml:space="preserve">maximise coverage </w:t>
      </w:r>
      <w:r w:rsidR="001D504A">
        <w:t xml:space="preserve">of </w:t>
      </w:r>
      <w:r w:rsidR="0077202A">
        <w:t xml:space="preserve">income </w:t>
      </w:r>
      <w:r w:rsidR="00047010">
        <w:t>groups</w:t>
      </w:r>
      <w:r w:rsidR="00743574">
        <w:t xml:space="preserve"> </w:t>
      </w:r>
      <w:r w:rsidR="0077202A">
        <w:t xml:space="preserve">that are disproportionately affected </w:t>
      </w:r>
      <w:r w:rsidR="00743574">
        <w:t xml:space="preserve">in </w:t>
      </w:r>
      <w:r w:rsidR="00B662A6">
        <w:t xml:space="preserve">the 1.5°C </w:t>
      </w:r>
      <w:r w:rsidR="00743574">
        <w:t>mitigation scenario</w:t>
      </w:r>
      <w:r w:rsidR="00047010">
        <w:t xml:space="preserve"> sans redistributive policy</w:t>
      </w:r>
      <w:r w:rsidR="00B662A6">
        <w:t xml:space="preserve">. </w:t>
      </w:r>
      <w:r w:rsidR="00EF5AD8">
        <w:t xml:space="preserve">Income groups </w:t>
      </w:r>
      <w:r w:rsidR="007D0D84">
        <w:t xml:space="preserve">with energy expenditure shares </w:t>
      </w:r>
      <w:r w:rsidR="00504394">
        <w:t>lower</w:t>
      </w:r>
      <w:r w:rsidR="007D0D84">
        <w:t xml:space="preserve"> than </w:t>
      </w:r>
      <w:r w:rsidR="00A11E5B">
        <w:t>10</w:t>
      </w:r>
      <w:r w:rsidR="007D0D84">
        <w:t xml:space="preserve">% of total household expenditures are </w:t>
      </w:r>
      <w:r w:rsidR="001D1A7C">
        <w:t xml:space="preserve">further </w:t>
      </w:r>
      <w:r w:rsidR="007D0D84">
        <w:t>excepted</w:t>
      </w:r>
      <w:r w:rsidR="00283A50">
        <w:t xml:space="preserve">; this </w:t>
      </w:r>
      <w:r w:rsidR="001D1A7C">
        <w:t xml:space="preserve">criterion </w:t>
      </w:r>
      <w:r w:rsidR="00283A50">
        <w:t xml:space="preserve">excludes </w:t>
      </w:r>
      <w:r w:rsidR="00CD3E2F">
        <w:t>highest income quintiles in regions like Brazil and South Africa</w:t>
      </w:r>
      <w:r w:rsidR="008706A3">
        <w:t xml:space="preserve"> with high solid fuel demand due to cultural reasons</w:t>
      </w:r>
      <w:r w:rsidR="00C16BF2">
        <w:t>.</w:t>
      </w:r>
    </w:p>
    <w:p w14:paraId="2DD57AD1" w14:textId="77777777" w:rsidR="005074D4" w:rsidRDefault="005074D4" w:rsidP="005074D4">
      <w:pPr>
        <w:pStyle w:val="Heading2"/>
      </w:pPr>
    </w:p>
    <w:p w14:paraId="69E04B6C" w14:textId="03EC3F50" w:rsidR="005074D4" w:rsidRPr="005074D4" w:rsidRDefault="00A943C9" w:rsidP="004379F5">
      <w:r>
        <w:drawing>
          <wp:inline distT="0" distB="0" distL="0" distR="0" wp14:anchorId="33EEE490" wp14:editId="52044994">
            <wp:extent cx="6264000" cy="4870800"/>
            <wp:effectExtent l="0" t="0" r="381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64000" cy="4870800"/>
                    </a:xfrm>
                    <a:prstGeom prst="rect">
                      <a:avLst/>
                    </a:prstGeom>
                    <a:noFill/>
                  </pic:spPr>
                </pic:pic>
              </a:graphicData>
            </a:graphic>
          </wp:inline>
        </w:drawing>
      </w:r>
    </w:p>
    <w:p w14:paraId="20BB5631" w14:textId="377B96E5" w:rsidR="007B5093" w:rsidRDefault="001414AD" w:rsidP="00FA5747">
      <w:pPr>
        <w:jc w:val="center"/>
        <w:rPr>
          <w:sz w:val="18"/>
          <w:szCs w:val="18"/>
        </w:rPr>
      </w:pPr>
      <w:r w:rsidRPr="00E73478">
        <w:rPr>
          <w:b/>
          <w:i/>
          <w:sz w:val="18"/>
          <w:szCs w:val="18"/>
        </w:rPr>
        <w:t xml:space="preserve">Figure </w:t>
      </w:r>
      <w:r w:rsidR="00306B01">
        <w:rPr>
          <w:b/>
          <w:i/>
          <w:sz w:val="18"/>
          <w:szCs w:val="18"/>
        </w:rPr>
        <w:t>A1</w:t>
      </w:r>
      <w:r w:rsidR="00072897">
        <w:rPr>
          <w:b/>
          <w:i/>
          <w:sz w:val="18"/>
          <w:szCs w:val="18"/>
        </w:rPr>
        <w:t>8</w:t>
      </w:r>
      <w:r w:rsidRPr="622D9B31">
        <w:rPr>
          <w:b/>
          <w:bCs/>
          <w:sz w:val="18"/>
          <w:szCs w:val="18"/>
        </w:rPr>
        <w:t xml:space="preserve">: </w:t>
      </w:r>
      <w:r w:rsidR="002A22BC">
        <w:rPr>
          <w:sz w:val="18"/>
          <w:szCs w:val="18"/>
        </w:rPr>
        <w:t xml:space="preserve">Gini changes with </w:t>
      </w:r>
      <w:r w:rsidR="00793E7A">
        <w:rPr>
          <w:sz w:val="18"/>
          <w:szCs w:val="18"/>
        </w:rPr>
        <w:t xml:space="preserve">redistribution policies </w:t>
      </w:r>
      <w:r w:rsidR="008A3420">
        <w:rPr>
          <w:sz w:val="18"/>
          <w:szCs w:val="18"/>
        </w:rPr>
        <w:t xml:space="preserve">targeting income groups based on </w:t>
      </w:r>
      <w:r w:rsidR="006F40BB">
        <w:rPr>
          <w:sz w:val="18"/>
          <w:szCs w:val="18"/>
        </w:rPr>
        <w:t>dependency on solid fuels</w:t>
      </w:r>
    </w:p>
    <w:p w14:paraId="0D11D8E6" w14:textId="12DDFD7A" w:rsidR="000A4B55" w:rsidRDefault="000A4B55" w:rsidP="000A4B55">
      <w:pPr>
        <w:pStyle w:val="IOPH1"/>
      </w:pPr>
      <w:r>
        <w:t>References</w:t>
      </w:r>
    </w:p>
    <w:sdt>
      <w:sdtPr>
        <w:rPr>
          <w:color w:val="000000"/>
        </w:rPr>
        <w:tag w:val="MENDELEY_BIBLIOGRAPHY"/>
        <w:id w:val="-1176798788"/>
        <w:placeholder>
          <w:docPart w:val="DefaultPlaceholder_-1854013440"/>
        </w:placeholder>
      </w:sdtPr>
      <w:sdtEndPr>
        <w:rPr>
          <w:rFonts w:asciiTheme="majorHAnsi" w:eastAsiaTheme="majorEastAsia" w:hAnsiTheme="majorHAnsi" w:cstheme="majorBidi"/>
          <w:sz w:val="32"/>
          <w:szCs w:val="32"/>
        </w:rPr>
      </w:sdtEndPr>
      <w:sdtContent>
        <w:p w14:paraId="2D7EF808" w14:textId="77777777" w:rsidR="00F951AB" w:rsidRPr="00F951AB" w:rsidRDefault="00F951AB">
          <w:pPr>
            <w:autoSpaceDE w:val="0"/>
            <w:autoSpaceDN w:val="0"/>
            <w:ind w:hanging="480"/>
            <w:divId w:val="505630774"/>
            <w:rPr>
              <w:rFonts w:eastAsia="Times New Roman"/>
              <w:color w:val="000000"/>
              <w:kern w:val="0"/>
              <w:sz w:val="24"/>
              <w:szCs w:val="24"/>
              <w14:ligatures w14:val="none"/>
            </w:rPr>
          </w:pPr>
          <w:r w:rsidRPr="00F951AB">
            <w:rPr>
              <w:rFonts w:eastAsia="Times New Roman"/>
              <w:color w:val="000000"/>
            </w:rPr>
            <w:t xml:space="preserve">Dagnachew, A. G., Lucas, P. L., Hof, A. F., Gernaat, D. E. H. J., de Boer, H. S., &amp; van Vuuren, D. P. (2017). The role of decentralized systems in providing universal electricity access in Sub-Saharan Africa – A model-based approach. </w:t>
          </w:r>
          <w:r w:rsidRPr="00F951AB">
            <w:rPr>
              <w:rFonts w:eastAsia="Times New Roman"/>
              <w:i/>
              <w:iCs/>
              <w:color w:val="000000"/>
            </w:rPr>
            <w:t>Energy</w:t>
          </w:r>
          <w:r w:rsidRPr="00F951AB">
            <w:rPr>
              <w:rFonts w:eastAsia="Times New Roman"/>
              <w:color w:val="000000"/>
            </w:rPr>
            <w:t xml:space="preserve">, </w:t>
          </w:r>
          <w:r w:rsidRPr="00F951AB">
            <w:rPr>
              <w:rFonts w:eastAsia="Times New Roman"/>
              <w:i/>
              <w:iCs/>
              <w:color w:val="000000"/>
            </w:rPr>
            <w:t>139</w:t>
          </w:r>
          <w:r w:rsidRPr="00F951AB">
            <w:rPr>
              <w:rFonts w:eastAsia="Times New Roman"/>
              <w:color w:val="000000"/>
            </w:rPr>
            <w:t>, 184–195. https://doi.org/10.1016/j.energy.2017.07.144</w:t>
          </w:r>
        </w:p>
        <w:p w14:paraId="7AFE0798" w14:textId="77777777" w:rsidR="00F951AB" w:rsidRPr="00F951AB" w:rsidRDefault="00F951AB">
          <w:pPr>
            <w:autoSpaceDE w:val="0"/>
            <w:autoSpaceDN w:val="0"/>
            <w:ind w:hanging="480"/>
            <w:divId w:val="1487480578"/>
            <w:rPr>
              <w:rFonts w:eastAsia="Times New Roman"/>
              <w:color w:val="000000"/>
            </w:rPr>
          </w:pPr>
          <w:r w:rsidRPr="00F951AB">
            <w:rPr>
              <w:rFonts w:eastAsia="Times New Roman"/>
              <w:color w:val="000000"/>
            </w:rPr>
            <w:t xml:space="preserve">Dagnachew, A. G., Lucas, P. L., Hof, A. F., &amp; van Vuuren, D. P. (2018). Trade-offs and synergies between universal electricity access and climate change mitigation in Sub-Saharan Africa. </w:t>
          </w:r>
          <w:r w:rsidRPr="00F951AB">
            <w:rPr>
              <w:rFonts w:eastAsia="Times New Roman"/>
              <w:i/>
              <w:iCs/>
              <w:color w:val="000000"/>
            </w:rPr>
            <w:t>Energy Policy</w:t>
          </w:r>
          <w:r w:rsidRPr="00F951AB">
            <w:rPr>
              <w:rFonts w:eastAsia="Times New Roman"/>
              <w:color w:val="000000"/>
            </w:rPr>
            <w:t xml:space="preserve">, </w:t>
          </w:r>
          <w:r w:rsidRPr="00F951AB">
            <w:rPr>
              <w:rFonts w:eastAsia="Times New Roman"/>
              <w:i/>
              <w:iCs/>
              <w:color w:val="000000"/>
            </w:rPr>
            <w:t>114</w:t>
          </w:r>
          <w:r w:rsidRPr="00F951AB">
            <w:rPr>
              <w:rFonts w:eastAsia="Times New Roman"/>
              <w:color w:val="000000"/>
            </w:rPr>
            <w:t>(November 2017), 355–366. https://doi.org/10.1016/j.enpol.2017.12.023</w:t>
          </w:r>
        </w:p>
        <w:p w14:paraId="7E76575D" w14:textId="77777777" w:rsidR="00F951AB" w:rsidRPr="00F951AB" w:rsidRDefault="00F951AB">
          <w:pPr>
            <w:autoSpaceDE w:val="0"/>
            <w:autoSpaceDN w:val="0"/>
            <w:ind w:hanging="480"/>
            <w:divId w:val="2127503410"/>
            <w:rPr>
              <w:rFonts w:eastAsia="Times New Roman"/>
              <w:color w:val="000000"/>
            </w:rPr>
          </w:pPr>
          <w:r w:rsidRPr="00F951AB">
            <w:rPr>
              <w:rFonts w:eastAsia="Times New Roman"/>
              <w:color w:val="000000"/>
            </w:rPr>
            <w:t xml:space="preserve">Daioglou, V., Faaij, A. P. C., Saygin, D., Patel, M. K., Wicke, B., &amp; van Vuuren, D. P. (2013). Energy demand and emissions of the non-energy sector. </w:t>
          </w:r>
          <w:r w:rsidRPr="00F951AB">
            <w:rPr>
              <w:rFonts w:eastAsia="Times New Roman"/>
              <w:i/>
              <w:iCs/>
              <w:color w:val="000000"/>
            </w:rPr>
            <w:t>Energy and Environmental Science</w:t>
          </w:r>
          <w:r w:rsidRPr="00F951AB">
            <w:rPr>
              <w:rFonts w:eastAsia="Times New Roman"/>
              <w:color w:val="000000"/>
            </w:rPr>
            <w:t xml:space="preserve">, </w:t>
          </w:r>
          <w:r w:rsidRPr="00F951AB">
            <w:rPr>
              <w:rFonts w:eastAsia="Times New Roman"/>
              <w:i/>
              <w:iCs/>
              <w:color w:val="000000"/>
            </w:rPr>
            <w:t>7</w:t>
          </w:r>
          <w:r w:rsidRPr="00F951AB">
            <w:rPr>
              <w:rFonts w:eastAsia="Times New Roman"/>
              <w:color w:val="000000"/>
            </w:rPr>
            <w:t>(2), 482–498. https://doi.org/10.1039/c3ee42667j</w:t>
          </w:r>
        </w:p>
        <w:p w14:paraId="1D028273" w14:textId="77777777" w:rsidR="00F951AB" w:rsidRPr="00F951AB" w:rsidRDefault="00F951AB">
          <w:pPr>
            <w:autoSpaceDE w:val="0"/>
            <w:autoSpaceDN w:val="0"/>
            <w:ind w:hanging="480"/>
            <w:divId w:val="1068574503"/>
            <w:rPr>
              <w:rFonts w:eastAsia="Times New Roman"/>
              <w:color w:val="000000"/>
            </w:rPr>
          </w:pPr>
          <w:r w:rsidRPr="00F951AB">
            <w:rPr>
              <w:rFonts w:eastAsia="Times New Roman"/>
              <w:color w:val="000000"/>
            </w:rPr>
            <w:t xml:space="preserve">Daioglou, V., Mikropoulos, E., Gernaat, D., &amp; van Vuuren, D. P. (2022). Efficiency improvement and technology choice for energy and emission reductions of the residential sector. </w:t>
          </w:r>
          <w:r w:rsidRPr="00F951AB">
            <w:rPr>
              <w:rFonts w:eastAsia="Times New Roman"/>
              <w:i/>
              <w:iCs/>
              <w:color w:val="000000"/>
            </w:rPr>
            <w:t>Energy</w:t>
          </w:r>
          <w:r w:rsidRPr="00F951AB">
            <w:rPr>
              <w:rFonts w:eastAsia="Times New Roman"/>
              <w:color w:val="000000"/>
            </w:rPr>
            <w:t xml:space="preserve">, </w:t>
          </w:r>
          <w:r w:rsidRPr="00F951AB">
            <w:rPr>
              <w:rFonts w:eastAsia="Times New Roman"/>
              <w:i/>
              <w:iCs/>
              <w:color w:val="000000"/>
            </w:rPr>
            <w:t>243</w:t>
          </w:r>
          <w:r w:rsidRPr="00F951AB">
            <w:rPr>
              <w:rFonts w:eastAsia="Times New Roman"/>
              <w:color w:val="000000"/>
            </w:rPr>
            <w:t>, 122994. https://doi.org/10.1016/j.energy.2021.122994</w:t>
          </w:r>
        </w:p>
        <w:p w14:paraId="04532C67" w14:textId="77777777" w:rsidR="00F951AB" w:rsidRPr="00F951AB" w:rsidRDefault="00F951AB">
          <w:pPr>
            <w:autoSpaceDE w:val="0"/>
            <w:autoSpaceDN w:val="0"/>
            <w:ind w:hanging="480"/>
            <w:divId w:val="408432024"/>
            <w:rPr>
              <w:rFonts w:eastAsia="Times New Roman"/>
              <w:color w:val="000000"/>
            </w:rPr>
          </w:pPr>
          <w:r w:rsidRPr="00F951AB">
            <w:rPr>
              <w:rFonts w:eastAsia="Times New Roman"/>
              <w:color w:val="000000"/>
            </w:rPr>
            <w:t xml:space="preserve">Daioglou, V., van Ruijven, B. J., &amp; van Vuuren, D. P. (2012). Model projections for household energy use in developing countries. </w:t>
          </w:r>
          <w:r w:rsidRPr="00F951AB">
            <w:rPr>
              <w:rFonts w:eastAsia="Times New Roman"/>
              <w:i/>
              <w:iCs/>
              <w:color w:val="000000"/>
            </w:rPr>
            <w:t>Energy</w:t>
          </w:r>
          <w:r w:rsidRPr="00F951AB">
            <w:rPr>
              <w:rFonts w:eastAsia="Times New Roman"/>
              <w:color w:val="000000"/>
            </w:rPr>
            <w:t xml:space="preserve">, </w:t>
          </w:r>
          <w:r w:rsidRPr="00F951AB">
            <w:rPr>
              <w:rFonts w:eastAsia="Times New Roman"/>
              <w:i/>
              <w:iCs/>
              <w:color w:val="000000"/>
            </w:rPr>
            <w:t>37</w:t>
          </w:r>
          <w:r w:rsidRPr="00F951AB">
            <w:rPr>
              <w:rFonts w:eastAsia="Times New Roman"/>
              <w:color w:val="000000"/>
            </w:rPr>
            <w:t>(1), 601–615. https://doi.org/10.1016/j.energy.2011.10.044</w:t>
          </w:r>
        </w:p>
        <w:p w14:paraId="05DB2EDB" w14:textId="77777777" w:rsidR="00F951AB" w:rsidRPr="00F951AB" w:rsidRDefault="00F951AB">
          <w:pPr>
            <w:autoSpaceDE w:val="0"/>
            <w:autoSpaceDN w:val="0"/>
            <w:ind w:hanging="480"/>
            <w:divId w:val="894200612"/>
            <w:rPr>
              <w:rFonts w:eastAsia="Times New Roman"/>
              <w:color w:val="000000"/>
            </w:rPr>
          </w:pPr>
          <w:r w:rsidRPr="00F951AB">
            <w:rPr>
              <w:rFonts w:eastAsia="Times New Roman"/>
              <w:color w:val="000000"/>
            </w:rPr>
            <w:t xml:space="preserve">Edelenbosch, O. Y., Hof, A. F., van den Berg, M., de Boer, H. S., Chen, H. H., Daioglou, V., Dekker, M. M., Doelman, J. C., den Elzen, M. G. J., Harmsen, M., Mikropoulos, S., van Sluisveld, M. A. E., Stehfest, E., Tagomori, I. S., van Zeist, W. J., &amp; van Vuuren, D. P. (2024). Reducing sectoral hard-to-abate emissions to limit reliance on carbon dioxide removal. </w:t>
          </w:r>
          <w:r w:rsidRPr="00F951AB">
            <w:rPr>
              <w:rFonts w:eastAsia="Times New Roman"/>
              <w:i/>
              <w:iCs/>
              <w:color w:val="000000"/>
            </w:rPr>
            <w:t>Nature Climate Change</w:t>
          </w:r>
          <w:r w:rsidRPr="00F951AB">
            <w:rPr>
              <w:rFonts w:eastAsia="Times New Roman"/>
              <w:color w:val="000000"/>
            </w:rPr>
            <w:t xml:space="preserve">, </w:t>
          </w:r>
          <w:r w:rsidRPr="00F951AB">
            <w:rPr>
              <w:rFonts w:eastAsia="Times New Roman"/>
              <w:i/>
              <w:iCs/>
              <w:color w:val="000000"/>
            </w:rPr>
            <w:t>14</w:t>
          </w:r>
          <w:r w:rsidRPr="00F951AB">
            <w:rPr>
              <w:rFonts w:eastAsia="Times New Roman"/>
              <w:color w:val="000000"/>
            </w:rPr>
            <w:t>(7), 715–722. https://doi.org/10.1038/s41558-024-02025-y</w:t>
          </w:r>
        </w:p>
        <w:p w14:paraId="44A14D51" w14:textId="77777777" w:rsidR="00F951AB" w:rsidRPr="00F951AB" w:rsidRDefault="00F951AB">
          <w:pPr>
            <w:autoSpaceDE w:val="0"/>
            <w:autoSpaceDN w:val="0"/>
            <w:ind w:hanging="480"/>
            <w:divId w:val="2048672879"/>
            <w:rPr>
              <w:rFonts w:eastAsia="Times New Roman"/>
              <w:color w:val="000000"/>
            </w:rPr>
          </w:pPr>
          <w:r w:rsidRPr="00F951AB">
            <w:rPr>
              <w:rFonts w:eastAsia="Times New Roman"/>
              <w:color w:val="000000"/>
            </w:rPr>
            <w:t xml:space="preserve">Gernaat, D. E. H. J., de Boer, H. S., Dammeier, L. C., &amp; van Vuuren, D. P. (2020). The role of residential rooftop photovoltaic in long-term energy and climate scenarios. </w:t>
          </w:r>
          <w:r w:rsidRPr="00F951AB">
            <w:rPr>
              <w:rFonts w:eastAsia="Times New Roman"/>
              <w:i/>
              <w:iCs/>
              <w:color w:val="000000"/>
            </w:rPr>
            <w:t>Applied Energy</w:t>
          </w:r>
          <w:r w:rsidRPr="00F951AB">
            <w:rPr>
              <w:rFonts w:eastAsia="Times New Roman"/>
              <w:color w:val="000000"/>
            </w:rPr>
            <w:t xml:space="preserve">, </w:t>
          </w:r>
          <w:r w:rsidRPr="00F951AB">
            <w:rPr>
              <w:rFonts w:eastAsia="Times New Roman"/>
              <w:i/>
              <w:iCs/>
              <w:color w:val="000000"/>
            </w:rPr>
            <w:t>279</w:t>
          </w:r>
          <w:r w:rsidRPr="00F951AB">
            <w:rPr>
              <w:rFonts w:eastAsia="Times New Roman"/>
              <w:color w:val="000000"/>
            </w:rPr>
            <w:t>(September), 115705. https://doi.org/10.1016/j.apenergy.2020.115705</w:t>
          </w:r>
        </w:p>
        <w:p w14:paraId="7B1FFA62" w14:textId="77777777" w:rsidR="00F951AB" w:rsidRPr="00F951AB" w:rsidRDefault="00F951AB">
          <w:pPr>
            <w:autoSpaceDE w:val="0"/>
            <w:autoSpaceDN w:val="0"/>
            <w:ind w:hanging="480"/>
            <w:divId w:val="2056080479"/>
            <w:rPr>
              <w:rFonts w:eastAsia="Times New Roman"/>
              <w:color w:val="000000"/>
            </w:rPr>
          </w:pPr>
          <w:r w:rsidRPr="00F951AB">
            <w:rPr>
              <w:rFonts w:eastAsia="Times New Roman"/>
              <w:color w:val="000000"/>
            </w:rPr>
            <w:lastRenderedPageBreak/>
            <w:t xml:space="preserve">Hassett, K. A., &amp; Metcalf, G. E. (1993). Energy conservation investment. </w:t>
          </w:r>
          <w:r w:rsidRPr="00F951AB">
            <w:rPr>
              <w:rFonts w:eastAsia="Times New Roman"/>
              <w:i/>
              <w:iCs/>
              <w:color w:val="000000"/>
            </w:rPr>
            <w:t>Energy Policy</w:t>
          </w:r>
          <w:r w:rsidRPr="00F951AB">
            <w:rPr>
              <w:rFonts w:eastAsia="Times New Roman"/>
              <w:color w:val="000000"/>
            </w:rPr>
            <w:t xml:space="preserve">, </w:t>
          </w:r>
          <w:r w:rsidRPr="00F951AB">
            <w:rPr>
              <w:rFonts w:eastAsia="Times New Roman"/>
              <w:i/>
              <w:iCs/>
              <w:color w:val="000000"/>
            </w:rPr>
            <w:t>21</w:t>
          </w:r>
          <w:r w:rsidRPr="00F951AB">
            <w:rPr>
              <w:rFonts w:eastAsia="Times New Roman"/>
              <w:color w:val="000000"/>
            </w:rPr>
            <w:t>(6), 710–716. https://doi.org/10.1016/0301-4215(93)90294-p</w:t>
          </w:r>
        </w:p>
        <w:p w14:paraId="14D57944" w14:textId="77777777" w:rsidR="00F951AB" w:rsidRPr="00F951AB" w:rsidRDefault="00F951AB">
          <w:pPr>
            <w:autoSpaceDE w:val="0"/>
            <w:autoSpaceDN w:val="0"/>
            <w:ind w:hanging="480"/>
            <w:divId w:val="2071343585"/>
            <w:rPr>
              <w:rFonts w:eastAsia="Times New Roman"/>
              <w:color w:val="000000"/>
            </w:rPr>
          </w:pPr>
          <w:r w:rsidRPr="00F951AB">
            <w:rPr>
              <w:rFonts w:eastAsia="Times New Roman"/>
              <w:color w:val="000000"/>
            </w:rPr>
            <w:t xml:space="preserve">Hof, A. F., Dagnachew, A. G., Lucas, P. L., &amp; Vuuren, D. P. van. (2018). </w:t>
          </w:r>
          <w:r w:rsidRPr="00F951AB">
            <w:rPr>
              <w:rFonts w:eastAsia="Times New Roman"/>
              <w:i/>
              <w:iCs/>
              <w:color w:val="000000"/>
            </w:rPr>
            <w:t>Towards universal access to clean cooking solutions in Sub-Saharan Africa: An integrated assessment of the cost, health and environmental implications of policies and targets</w:t>
          </w:r>
          <w:r w:rsidRPr="00F951AB">
            <w:rPr>
              <w:rFonts w:eastAsia="Times New Roman"/>
              <w:color w:val="000000"/>
            </w:rPr>
            <w:t>. https://www.pbl.nl/sites/default/files/cms/publicaties/pbl-2019-clean-cooking-solutions-sub-saharan-africa_3421.pdf</w:t>
          </w:r>
        </w:p>
        <w:p w14:paraId="5C99DC53" w14:textId="77777777" w:rsidR="00F951AB" w:rsidRPr="00F951AB" w:rsidRDefault="00F951AB">
          <w:pPr>
            <w:autoSpaceDE w:val="0"/>
            <w:autoSpaceDN w:val="0"/>
            <w:ind w:hanging="480"/>
            <w:divId w:val="267935228"/>
            <w:rPr>
              <w:rFonts w:eastAsia="Times New Roman"/>
              <w:color w:val="000000"/>
            </w:rPr>
          </w:pPr>
          <w:r w:rsidRPr="00F951AB">
            <w:rPr>
              <w:rFonts w:eastAsia="Times New Roman"/>
              <w:color w:val="000000"/>
            </w:rPr>
            <w:t xml:space="preserve">Howarth, R. B., &amp; Sanstad, A. H. (1995). DISCOUNT RATES AND ENERGY EFFICIENCY. </w:t>
          </w:r>
          <w:r w:rsidRPr="00F951AB">
            <w:rPr>
              <w:rFonts w:eastAsia="Times New Roman"/>
              <w:i/>
              <w:iCs/>
              <w:color w:val="000000"/>
            </w:rPr>
            <w:t>Contemporary Economic Policy</w:t>
          </w:r>
          <w:r w:rsidRPr="00F951AB">
            <w:rPr>
              <w:rFonts w:eastAsia="Times New Roman"/>
              <w:color w:val="000000"/>
            </w:rPr>
            <w:t xml:space="preserve">, </w:t>
          </w:r>
          <w:r w:rsidRPr="00F951AB">
            <w:rPr>
              <w:rFonts w:eastAsia="Times New Roman"/>
              <w:i/>
              <w:iCs/>
              <w:color w:val="000000"/>
            </w:rPr>
            <w:t>13</w:t>
          </w:r>
          <w:r w:rsidRPr="00F951AB">
            <w:rPr>
              <w:rFonts w:eastAsia="Times New Roman"/>
              <w:color w:val="000000"/>
            </w:rPr>
            <w:t>, 101–109. https://doi.org/https://doi.org/10.1111/j.1465-7287.1995.tb00726.x</w:t>
          </w:r>
        </w:p>
        <w:p w14:paraId="15A645F4" w14:textId="77777777" w:rsidR="00F951AB" w:rsidRPr="00F951AB" w:rsidRDefault="00F951AB">
          <w:pPr>
            <w:autoSpaceDE w:val="0"/>
            <w:autoSpaceDN w:val="0"/>
            <w:ind w:hanging="480"/>
            <w:divId w:val="787510764"/>
            <w:rPr>
              <w:rFonts w:eastAsia="Times New Roman"/>
              <w:color w:val="000000"/>
            </w:rPr>
          </w:pPr>
          <w:r w:rsidRPr="00F951AB">
            <w:rPr>
              <w:rFonts w:eastAsia="Times New Roman"/>
              <w:color w:val="000000"/>
            </w:rPr>
            <w:t xml:space="preserve">Kozlovas, P., Gudzius, S., Ciurlionis, J., Jonaitis, A., Konstantinaviciute, I., &amp; Bobinaite, V. (2023). Assessment of Technical and Economic Potential of Urban Rooftop Solar Photovoltaic Systems in Lithuania. </w:t>
          </w:r>
          <w:r w:rsidRPr="00F951AB">
            <w:rPr>
              <w:rFonts w:eastAsia="Times New Roman"/>
              <w:i/>
              <w:iCs/>
              <w:color w:val="000000"/>
            </w:rPr>
            <w:t>Energies</w:t>
          </w:r>
          <w:r w:rsidRPr="00F951AB">
            <w:rPr>
              <w:rFonts w:eastAsia="Times New Roman"/>
              <w:color w:val="000000"/>
            </w:rPr>
            <w:t xml:space="preserve">, </w:t>
          </w:r>
          <w:r w:rsidRPr="00F951AB">
            <w:rPr>
              <w:rFonts w:eastAsia="Times New Roman"/>
              <w:i/>
              <w:iCs/>
              <w:color w:val="000000"/>
            </w:rPr>
            <w:t>16</w:t>
          </w:r>
          <w:r w:rsidRPr="00F951AB">
            <w:rPr>
              <w:rFonts w:eastAsia="Times New Roman"/>
              <w:color w:val="000000"/>
            </w:rPr>
            <w:t>(14). https://doi.org/10.3390/en16145410</w:t>
          </w:r>
        </w:p>
        <w:p w14:paraId="26D66767" w14:textId="77777777" w:rsidR="00F951AB" w:rsidRPr="00F951AB" w:rsidRDefault="00F951AB">
          <w:pPr>
            <w:autoSpaceDE w:val="0"/>
            <w:autoSpaceDN w:val="0"/>
            <w:ind w:hanging="480"/>
            <w:divId w:val="202119"/>
            <w:rPr>
              <w:rFonts w:eastAsia="Times New Roman"/>
              <w:color w:val="000000"/>
            </w:rPr>
          </w:pPr>
          <w:r w:rsidRPr="00F951AB">
            <w:rPr>
              <w:rFonts w:eastAsia="Times New Roman"/>
              <w:color w:val="000000"/>
            </w:rPr>
            <w:t xml:space="preserve">Lucas, P., Dagnachew, A., &amp; Hof, A. (2017). </w:t>
          </w:r>
          <w:r w:rsidRPr="00F951AB">
            <w:rPr>
              <w:rFonts w:eastAsia="Times New Roman"/>
              <w:i/>
              <w:iCs/>
              <w:color w:val="000000"/>
            </w:rPr>
            <w:t>Towards universal electricity access in Sub-Saharan Africa</w:t>
          </w:r>
          <w:r w:rsidRPr="00F951AB">
            <w:rPr>
              <w:rFonts w:eastAsia="Times New Roman"/>
              <w:color w:val="000000"/>
            </w:rPr>
            <w:t xml:space="preserve"> (Issue August). http://www.pbl.nl/sites/default/files/cms/publicaties/pbl-2017-towards-universal-electricity-access-in-sub-saharan-africa-1952.pdf</w:t>
          </w:r>
        </w:p>
        <w:p w14:paraId="0A499205" w14:textId="77777777" w:rsidR="00F951AB" w:rsidRPr="00F951AB" w:rsidRDefault="00F951AB">
          <w:pPr>
            <w:autoSpaceDE w:val="0"/>
            <w:autoSpaceDN w:val="0"/>
            <w:ind w:hanging="480"/>
            <w:divId w:val="1704749026"/>
            <w:rPr>
              <w:rFonts w:eastAsia="Times New Roman"/>
              <w:color w:val="000000"/>
            </w:rPr>
          </w:pPr>
          <w:r w:rsidRPr="00F951AB">
            <w:rPr>
              <w:rFonts w:eastAsia="Times New Roman"/>
              <w:color w:val="000000"/>
            </w:rPr>
            <w:t xml:space="preserve">Mulders, F. M. M., Hettelar, J. M. M., &amp; Van Bergen, F. (2006). </w:t>
          </w:r>
          <w:r w:rsidRPr="00F951AB">
            <w:rPr>
              <w:rFonts w:eastAsia="Times New Roman"/>
              <w:i/>
              <w:iCs/>
              <w:color w:val="000000"/>
            </w:rPr>
            <w:t>Assessment of the global fossil fuel reserves and resources for TIMER</w:t>
          </w:r>
          <w:r w:rsidRPr="00F951AB">
            <w:rPr>
              <w:rFonts w:eastAsia="Times New Roman"/>
              <w:color w:val="000000"/>
            </w:rPr>
            <w:t>.</w:t>
          </w:r>
        </w:p>
        <w:p w14:paraId="437374C0" w14:textId="77777777" w:rsidR="00F951AB" w:rsidRPr="00F951AB" w:rsidRDefault="00F951AB">
          <w:pPr>
            <w:autoSpaceDE w:val="0"/>
            <w:autoSpaceDN w:val="0"/>
            <w:ind w:hanging="480"/>
            <w:divId w:val="1799448787"/>
            <w:rPr>
              <w:rFonts w:eastAsia="Times New Roman"/>
              <w:color w:val="000000"/>
            </w:rPr>
          </w:pPr>
          <w:r w:rsidRPr="00F951AB">
            <w:rPr>
              <w:rFonts w:eastAsia="Times New Roman"/>
              <w:color w:val="000000"/>
            </w:rPr>
            <w:t xml:space="preserve">Reddy, B. S. (1996). Consumer discount rates and energy carrier choices in urban households. </w:t>
          </w:r>
          <w:r w:rsidRPr="00F951AB">
            <w:rPr>
              <w:rFonts w:eastAsia="Times New Roman"/>
              <w:i/>
              <w:iCs/>
              <w:color w:val="000000"/>
            </w:rPr>
            <w:t>International Journal of Energy Research</w:t>
          </w:r>
          <w:r w:rsidRPr="00F951AB">
            <w:rPr>
              <w:rFonts w:eastAsia="Times New Roman"/>
              <w:color w:val="000000"/>
            </w:rPr>
            <w:t xml:space="preserve">, </w:t>
          </w:r>
          <w:r w:rsidRPr="00F951AB">
            <w:rPr>
              <w:rFonts w:eastAsia="Times New Roman"/>
              <w:i/>
              <w:iCs/>
              <w:color w:val="000000"/>
            </w:rPr>
            <w:t>20</w:t>
          </w:r>
          <w:r w:rsidRPr="00F951AB">
            <w:rPr>
              <w:rFonts w:eastAsia="Times New Roman"/>
              <w:color w:val="000000"/>
            </w:rPr>
            <w:t>, 187–195. https://doi.org/https://doi.org/10.1002/(SICI)1099-114X(199603)20:3%3C187::AID-ER112%3E3.0.CO;2-4</w:t>
          </w:r>
        </w:p>
        <w:p w14:paraId="3F52C6A9" w14:textId="77777777" w:rsidR="00F951AB" w:rsidRPr="00F951AB" w:rsidRDefault="00F951AB">
          <w:pPr>
            <w:autoSpaceDE w:val="0"/>
            <w:autoSpaceDN w:val="0"/>
            <w:ind w:hanging="480"/>
            <w:divId w:val="135801871"/>
            <w:rPr>
              <w:rFonts w:eastAsia="Times New Roman"/>
              <w:color w:val="000000"/>
            </w:rPr>
          </w:pPr>
          <w:r w:rsidRPr="00F951AB">
            <w:rPr>
              <w:rFonts w:eastAsia="Times New Roman"/>
              <w:color w:val="000000"/>
            </w:rPr>
            <w:t xml:space="preserve">Rogner, H.-H. (1997). An assessment of world hydrocarbon resources. </w:t>
          </w:r>
          <w:r w:rsidRPr="00F951AB">
            <w:rPr>
              <w:rFonts w:eastAsia="Times New Roman"/>
              <w:i/>
              <w:iCs/>
              <w:color w:val="000000"/>
            </w:rPr>
            <w:t>Annual Review of Energy and the Environment</w:t>
          </w:r>
          <w:r w:rsidRPr="00F951AB">
            <w:rPr>
              <w:rFonts w:eastAsia="Times New Roman"/>
              <w:color w:val="000000"/>
            </w:rPr>
            <w:t xml:space="preserve">, </w:t>
          </w:r>
          <w:r w:rsidRPr="00F951AB">
            <w:rPr>
              <w:rFonts w:eastAsia="Times New Roman"/>
              <w:i/>
              <w:iCs/>
              <w:color w:val="000000"/>
            </w:rPr>
            <w:t>22</w:t>
          </w:r>
          <w:r w:rsidRPr="00F951AB">
            <w:rPr>
              <w:rFonts w:eastAsia="Times New Roman"/>
              <w:color w:val="000000"/>
            </w:rPr>
            <w:t>(1), 217–262.</w:t>
          </w:r>
        </w:p>
        <w:p w14:paraId="659C2439" w14:textId="77777777" w:rsidR="00F951AB" w:rsidRPr="00F951AB" w:rsidRDefault="00F951AB">
          <w:pPr>
            <w:autoSpaceDE w:val="0"/>
            <w:autoSpaceDN w:val="0"/>
            <w:ind w:hanging="480"/>
            <w:divId w:val="1066148832"/>
            <w:rPr>
              <w:rFonts w:eastAsia="Times New Roman"/>
              <w:color w:val="000000"/>
            </w:rPr>
          </w:pPr>
          <w:r w:rsidRPr="00F951AB">
            <w:rPr>
              <w:rFonts w:eastAsia="Times New Roman"/>
              <w:color w:val="000000"/>
            </w:rPr>
            <w:t xml:space="preserve">Sigrin, B. O. (2013). </w:t>
          </w:r>
          <w:r w:rsidRPr="00F951AB">
            <w:rPr>
              <w:rFonts w:eastAsia="Times New Roman"/>
              <w:i/>
              <w:iCs/>
              <w:color w:val="000000"/>
            </w:rPr>
            <w:t>Financial Modeling of Consumer Discount Rate in Residential Solar Photovoltaic Purchasing Decisions</w:t>
          </w:r>
          <w:r w:rsidRPr="00F951AB">
            <w:rPr>
              <w:rFonts w:eastAsia="Times New Roman"/>
              <w:color w:val="000000"/>
            </w:rPr>
            <w:t>. 66. https://repositories.lib.utexas.edu/handle/2152/21759</w:t>
          </w:r>
        </w:p>
        <w:p w14:paraId="32268EF3" w14:textId="77777777" w:rsidR="00F951AB" w:rsidRPr="00F951AB" w:rsidRDefault="00F951AB">
          <w:pPr>
            <w:autoSpaceDE w:val="0"/>
            <w:autoSpaceDN w:val="0"/>
            <w:ind w:hanging="480"/>
            <w:divId w:val="1428817631"/>
            <w:rPr>
              <w:rFonts w:eastAsia="Times New Roman"/>
              <w:color w:val="000000"/>
            </w:rPr>
          </w:pPr>
          <w:r w:rsidRPr="00F951AB">
            <w:rPr>
              <w:rFonts w:eastAsia="Times New Roman"/>
              <w:color w:val="000000"/>
            </w:rPr>
            <w:t xml:space="preserve">Stehfest, E., van Vuuren, D., Kram, T., Bouwman, L., Alkemade, R., Bakkenes, M., Biemans, H., Bouwman, A., Den Elzen, M., Janse, J., Lucas, P., Van Minnen, J., Müller, M., &amp; Prins, A. (2014). </w:t>
          </w:r>
          <w:r w:rsidRPr="00F951AB">
            <w:rPr>
              <w:rFonts w:eastAsia="Times New Roman"/>
              <w:i/>
              <w:iCs/>
              <w:color w:val="000000"/>
            </w:rPr>
            <w:t>Integrated assessment of global environmental change with IMAGE 3.0. Model description and policy applications</w:t>
          </w:r>
          <w:r w:rsidRPr="00F951AB">
            <w:rPr>
              <w:rFonts w:eastAsia="Times New Roman"/>
              <w:color w:val="000000"/>
            </w:rPr>
            <w:t>. PBL Netherlands Environmental Assessment Agency, The Hague. The Netherlands.</w:t>
          </w:r>
        </w:p>
        <w:p w14:paraId="0C46DDDE" w14:textId="77777777" w:rsidR="00F951AB" w:rsidRPr="00F951AB" w:rsidRDefault="00F951AB">
          <w:pPr>
            <w:autoSpaceDE w:val="0"/>
            <w:autoSpaceDN w:val="0"/>
            <w:ind w:hanging="480"/>
            <w:divId w:val="302010416"/>
            <w:rPr>
              <w:rFonts w:eastAsia="Times New Roman"/>
              <w:color w:val="000000"/>
            </w:rPr>
          </w:pPr>
          <w:r w:rsidRPr="00F951AB">
            <w:rPr>
              <w:rFonts w:eastAsia="Times New Roman"/>
              <w:color w:val="000000"/>
            </w:rPr>
            <w:t xml:space="preserve">Tarigan, E. (2023). Financial Analysis of Solar Rooftop PV System: Case Study in Indonesia. </w:t>
          </w:r>
          <w:r w:rsidRPr="00F951AB">
            <w:rPr>
              <w:rFonts w:eastAsia="Times New Roman"/>
              <w:i/>
              <w:iCs/>
              <w:color w:val="000000"/>
            </w:rPr>
            <w:t>International Journal of Energy Economics and Policy</w:t>
          </w:r>
          <w:r w:rsidRPr="00F951AB">
            <w:rPr>
              <w:rFonts w:eastAsia="Times New Roman"/>
              <w:color w:val="000000"/>
            </w:rPr>
            <w:t xml:space="preserve">, </w:t>
          </w:r>
          <w:r w:rsidRPr="00F951AB">
            <w:rPr>
              <w:rFonts w:eastAsia="Times New Roman"/>
              <w:i/>
              <w:iCs/>
              <w:color w:val="000000"/>
            </w:rPr>
            <w:t>13</w:t>
          </w:r>
          <w:r w:rsidRPr="00F951AB">
            <w:rPr>
              <w:rFonts w:eastAsia="Times New Roman"/>
              <w:color w:val="000000"/>
            </w:rPr>
            <w:t>(3), 15–19. https://doi.org/10.32479/ijeep.14214</w:t>
          </w:r>
        </w:p>
        <w:p w14:paraId="15BA3C1B" w14:textId="77777777" w:rsidR="00F951AB" w:rsidRPr="00F951AB" w:rsidRDefault="00F951AB">
          <w:pPr>
            <w:autoSpaceDE w:val="0"/>
            <w:autoSpaceDN w:val="0"/>
            <w:ind w:hanging="480"/>
            <w:divId w:val="1455976827"/>
            <w:rPr>
              <w:rFonts w:eastAsia="Times New Roman"/>
              <w:color w:val="000000"/>
            </w:rPr>
          </w:pPr>
          <w:r w:rsidRPr="00F951AB">
            <w:rPr>
              <w:rFonts w:eastAsia="Times New Roman"/>
              <w:color w:val="000000"/>
            </w:rPr>
            <w:t xml:space="preserve">van Sluisveld, M. A. E., Martínez, S. H., Daioglou, V., &amp; van Vuuren, D. P. (2016). Exploring the implications of lifestyle change in 2°C mitigation scenarios using the IMAGE integrated assessment model. </w:t>
          </w:r>
          <w:r w:rsidRPr="00F951AB">
            <w:rPr>
              <w:rFonts w:eastAsia="Times New Roman"/>
              <w:i/>
              <w:iCs/>
              <w:color w:val="000000"/>
            </w:rPr>
            <w:t>Technological Forecasting and Social Change</w:t>
          </w:r>
          <w:r w:rsidRPr="00F951AB">
            <w:rPr>
              <w:rFonts w:eastAsia="Times New Roman"/>
              <w:color w:val="000000"/>
            </w:rPr>
            <w:t xml:space="preserve">, </w:t>
          </w:r>
          <w:r w:rsidRPr="00F951AB">
            <w:rPr>
              <w:rFonts w:eastAsia="Times New Roman"/>
              <w:i/>
              <w:iCs/>
              <w:color w:val="000000"/>
            </w:rPr>
            <w:t>102</w:t>
          </w:r>
          <w:r w:rsidRPr="00F951AB">
            <w:rPr>
              <w:rFonts w:eastAsia="Times New Roman"/>
              <w:color w:val="000000"/>
            </w:rPr>
            <w:t>, 309–319. https://doi.org/10.1016/j.techfore.2015.08.013</w:t>
          </w:r>
        </w:p>
        <w:p w14:paraId="24A0A2F7" w14:textId="77777777" w:rsidR="00F951AB" w:rsidRPr="00F951AB" w:rsidRDefault="00F951AB">
          <w:pPr>
            <w:autoSpaceDE w:val="0"/>
            <w:autoSpaceDN w:val="0"/>
            <w:ind w:hanging="480"/>
            <w:divId w:val="453795483"/>
            <w:rPr>
              <w:rFonts w:eastAsia="Times New Roman"/>
              <w:color w:val="000000"/>
            </w:rPr>
          </w:pPr>
          <w:r w:rsidRPr="00F951AB">
            <w:rPr>
              <w:rFonts w:eastAsia="Times New Roman"/>
              <w:color w:val="000000"/>
            </w:rPr>
            <w:t xml:space="preserve">van Vuuren, D. P., Riahi, K., Moss, R., Edmonds, J., Thomson, A., Nakicenovic, N., Kram, T., Berkhout, F., Swart, R., Janetos, A., Rose, S. K., &amp; Arnell, N. (2011). A proposal for a new scenario framework to support research and assessment in different climate research communities. </w:t>
          </w:r>
          <w:r w:rsidRPr="00F951AB">
            <w:rPr>
              <w:rFonts w:eastAsia="Times New Roman"/>
              <w:i/>
              <w:iCs/>
              <w:color w:val="000000"/>
            </w:rPr>
            <w:t>Global Environmental Change</w:t>
          </w:r>
          <w:r w:rsidRPr="00F951AB">
            <w:rPr>
              <w:rFonts w:eastAsia="Times New Roman"/>
              <w:color w:val="000000"/>
            </w:rPr>
            <w:t xml:space="preserve">, </w:t>
          </w:r>
          <w:r w:rsidRPr="00F951AB">
            <w:rPr>
              <w:rFonts w:eastAsia="Times New Roman"/>
              <w:i/>
              <w:iCs/>
              <w:color w:val="000000"/>
            </w:rPr>
            <w:t>22</w:t>
          </w:r>
          <w:r w:rsidRPr="00F951AB">
            <w:rPr>
              <w:rFonts w:eastAsia="Times New Roman"/>
              <w:color w:val="000000"/>
            </w:rPr>
            <w:t>(1), 21–35. https://doi.org/10.1016/j.gloenvcha.2011.08.002</w:t>
          </w:r>
        </w:p>
        <w:p w14:paraId="41989853" w14:textId="77777777" w:rsidR="00F951AB" w:rsidRPr="00F951AB" w:rsidRDefault="00F951AB">
          <w:pPr>
            <w:autoSpaceDE w:val="0"/>
            <w:autoSpaceDN w:val="0"/>
            <w:ind w:hanging="480"/>
            <w:divId w:val="119030360"/>
            <w:rPr>
              <w:rFonts w:eastAsia="Times New Roman"/>
              <w:color w:val="000000"/>
            </w:rPr>
          </w:pPr>
          <w:r w:rsidRPr="00F951AB">
            <w:rPr>
              <w:rFonts w:eastAsia="Times New Roman"/>
              <w:color w:val="000000"/>
            </w:rPr>
            <w:t xml:space="preserve">van Vuuren, D. P., Stehfest, E., Gernaat, D. E. H. J., Doelman, J. C., van den Berg, M., Harmsen, M., de Boer, H. S., Bouwman, L. F., Daioglou, V., Edelenbosch, O. Y., Girod, B., Kram, T., Lassaletta, L., Lucas, P. L., van Meijl, H., Müller, C., van Ruijven, B. J., van der Sluis, S., &amp; Tabeau, A. (2017). Energy, land-use and greenhouse gas emissions trajectories under a green growth paradigm. </w:t>
          </w:r>
          <w:r w:rsidRPr="00F951AB">
            <w:rPr>
              <w:rFonts w:eastAsia="Times New Roman"/>
              <w:i/>
              <w:iCs/>
              <w:color w:val="000000"/>
            </w:rPr>
            <w:t>Global Environmental Change</w:t>
          </w:r>
          <w:r w:rsidRPr="00F951AB">
            <w:rPr>
              <w:rFonts w:eastAsia="Times New Roman"/>
              <w:color w:val="000000"/>
            </w:rPr>
            <w:t xml:space="preserve">, </w:t>
          </w:r>
          <w:r w:rsidRPr="00F951AB">
            <w:rPr>
              <w:rFonts w:eastAsia="Times New Roman"/>
              <w:i/>
              <w:iCs/>
              <w:color w:val="000000"/>
            </w:rPr>
            <w:t>42</w:t>
          </w:r>
          <w:r w:rsidRPr="00F951AB">
            <w:rPr>
              <w:rFonts w:eastAsia="Times New Roman"/>
              <w:color w:val="000000"/>
            </w:rPr>
            <w:t>, 237–250. https://doi.org/10.1016/j.gloenvcha.2016.05.008</w:t>
          </w:r>
        </w:p>
        <w:p w14:paraId="161883A5" w14:textId="77777777" w:rsidR="00F951AB" w:rsidRPr="00F951AB" w:rsidRDefault="00F951AB">
          <w:pPr>
            <w:autoSpaceDE w:val="0"/>
            <w:autoSpaceDN w:val="0"/>
            <w:ind w:hanging="480"/>
            <w:divId w:val="956568668"/>
            <w:rPr>
              <w:rFonts w:eastAsia="Times New Roman"/>
              <w:color w:val="000000"/>
            </w:rPr>
          </w:pPr>
          <w:r w:rsidRPr="00F951AB">
            <w:rPr>
              <w:rFonts w:eastAsia="Times New Roman"/>
              <w:color w:val="000000"/>
            </w:rPr>
            <w:t xml:space="preserve">Zhang, T., Chandler, W. S., Hoell, M., J., Westberg, D., Whitlock, C. H., &amp; Stackhouse, P. W. J. (2008). A global perspective on renewable energy resources: NASA’s prediction of worldwide energy resources (power) project. </w:t>
          </w:r>
          <w:r w:rsidRPr="00F951AB">
            <w:rPr>
              <w:rFonts w:eastAsia="Times New Roman"/>
              <w:i/>
              <w:iCs/>
              <w:color w:val="000000"/>
            </w:rPr>
            <w:t>Proceedings of ISES World Congress 2007 (Vol. I–Vol. V) Solar Energy and Human Settlement</w:t>
          </w:r>
          <w:r w:rsidRPr="00F951AB">
            <w:rPr>
              <w:rFonts w:eastAsia="Times New Roman"/>
              <w:color w:val="000000"/>
            </w:rPr>
            <w:t>, 2636–2640.</w:t>
          </w:r>
        </w:p>
        <w:p w14:paraId="405FA223" w14:textId="457EFC1A" w:rsidR="000A4B55" w:rsidRPr="000A4B55" w:rsidRDefault="00F951AB" w:rsidP="000A4B55">
          <w:pPr>
            <w:pStyle w:val="Heading1"/>
          </w:pPr>
          <w:r w:rsidRPr="00F951AB">
            <w:rPr>
              <w:rFonts w:eastAsia="Times New Roman"/>
              <w:color w:val="000000"/>
            </w:rPr>
            <w:t> </w:t>
          </w:r>
        </w:p>
      </w:sdtContent>
    </w:sdt>
    <w:sectPr w:rsidR="000A4B55" w:rsidRPr="000A4B55" w:rsidSect="00706E0A">
      <w:pgSz w:w="11906" w:h="16838"/>
      <w:pgMar w:top="720" w:right="720" w:bottom="720" w:left="720" w:header="709" w:footer="709"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A35603"/>
    <w:multiLevelType w:val="hybridMultilevel"/>
    <w:tmpl w:val="DF3205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30354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doNotDisplayPageBoundarie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LewNDQxNLSwNLc0MrVQ0lEKTi0uzszPAykwNK8FAImy6x4tAAAA"/>
  </w:docVars>
  <w:rsids>
    <w:rsidRoot w:val="00B01B13"/>
    <w:rsid w:val="00000644"/>
    <w:rsid w:val="00000811"/>
    <w:rsid w:val="00001A24"/>
    <w:rsid w:val="00001A4B"/>
    <w:rsid w:val="00002C9E"/>
    <w:rsid w:val="00005790"/>
    <w:rsid w:val="00010C56"/>
    <w:rsid w:val="0001128A"/>
    <w:rsid w:val="000122A9"/>
    <w:rsid w:val="000149A9"/>
    <w:rsid w:val="00015DAD"/>
    <w:rsid w:val="00017FEC"/>
    <w:rsid w:val="000215BB"/>
    <w:rsid w:val="00024F57"/>
    <w:rsid w:val="00027A6A"/>
    <w:rsid w:val="0003158F"/>
    <w:rsid w:val="00034455"/>
    <w:rsid w:val="00042B4F"/>
    <w:rsid w:val="00043FD6"/>
    <w:rsid w:val="00045528"/>
    <w:rsid w:val="00047010"/>
    <w:rsid w:val="00052DFA"/>
    <w:rsid w:val="00055B09"/>
    <w:rsid w:val="00057FA9"/>
    <w:rsid w:val="00060630"/>
    <w:rsid w:val="00060708"/>
    <w:rsid w:val="00060CA6"/>
    <w:rsid w:val="000632D9"/>
    <w:rsid w:val="00063DAB"/>
    <w:rsid w:val="000649AF"/>
    <w:rsid w:val="00064A64"/>
    <w:rsid w:val="0006731A"/>
    <w:rsid w:val="00072897"/>
    <w:rsid w:val="0007376B"/>
    <w:rsid w:val="000750AB"/>
    <w:rsid w:val="0007511A"/>
    <w:rsid w:val="000754D7"/>
    <w:rsid w:val="000759C7"/>
    <w:rsid w:val="00076219"/>
    <w:rsid w:val="000763D5"/>
    <w:rsid w:val="00077B9A"/>
    <w:rsid w:val="00083897"/>
    <w:rsid w:val="0008604F"/>
    <w:rsid w:val="00087FD5"/>
    <w:rsid w:val="00095F94"/>
    <w:rsid w:val="000977FB"/>
    <w:rsid w:val="00097990"/>
    <w:rsid w:val="000A2A36"/>
    <w:rsid w:val="000A3183"/>
    <w:rsid w:val="000A376F"/>
    <w:rsid w:val="000A4B55"/>
    <w:rsid w:val="000B0DEB"/>
    <w:rsid w:val="000B10C9"/>
    <w:rsid w:val="000B1D40"/>
    <w:rsid w:val="000B306F"/>
    <w:rsid w:val="000B5528"/>
    <w:rsid w:val="000C209A"/>
    <w:rsid w:val="000C36D2"/>
    <w:rsid w:val="000D2976"/>
    <w:rsid w:val="000D2C70"/>
    <w:rsid w:val="000E1452"/>
    <w:rsid w:val="000F0A70"/>
    <w:rsid w:val="000F47DA"/>
    <w:rsid w:val="000F644E"/>
    <w:rsid w:val="001017D8"/>
    <w:rsid w:val="00107AC1"/>
    <w:rsid w:val="00112812"/>
    <w:rsid w:val="00112CBA"/>
    <w:rsid w:val="001143F5"/>
    <w:rsid w:val="00114F80"/>
    <w:rsid w:val="00115EDA"/>
    <w:rsid w:val="001166CA"/>
    <w:rsid w:val="00117931"/>
    <w:rsid w:val="0012084F"/>
    <w:rsid w:val="00120998"/>
    <w:rsid w:val="00121762"/>
    <w:rsid w:val="00121C76"/>
    <w:rsid w:val="00124729"/>
    <w:rsid w:val="00125CA4"/>
    <w:rsid w:val="00126116"/>
    <w:rsid w:val="00127BD3"/>
    <w:rsid w:val="001323CD"/>
    <w:rsid w:val="001335E3"/>
    <w:rsid w:val="00133BE4"/>
    <w:rsid w:val="00136E00"/>
    <w:rsid w:val="001414AD"/>
    <w:rsid w:val="0014173F"/>
    <w:rsid w:val="00144AF4"/>
    <w:rsid w:val="001514D9"/>
    <w:rsid w:val="0015341A"/>
    <w:rsid w:val="00153A2F"/>
    <w:rsid w:val="00154C9A"/>
    <w:rsid w:val="001551ED"/>
    <w:rsid w:val="0015541B"/>
    <w:rsid w:val="0015720A"/>
    <w:rsid w:val="001644DD"/>
    <w:rsid w:val="001648CC"/>
    <w:rsid w:val="00165690"/>
    <w:rsid w:val="00173958"/>
    <w:rsid w:val="00173979"/>
    <w:rsid w:val="00177E03"/>
    <w:rsid w:val="001826BF"/>
    <w:rsid w:val="00192E08"/>
    <w:rsid w:val="001937E9"/>
    <w:rsid w:val="001964A0"/>
    <w:rsid w:val="001A0F20"/>
    <w:rsid w:val="001A195A"/>
    <w:rsid w:val="001A6E35"/>
    <w:rsid w:val="001A6EC6"/>
    <w:rsid w:val="001B08A6"/>
    <w:rsid w:val="001B7229"/>
    <w:rsid w:val="001B77C9"/>
    <w:rsid w:val="001C0CD0"/>
    <w:rsid w:val="001C1FC8"/>
    <w:rsid w:val="001C33F1"/>
    <w:rsid w:val="001C4327"/>
    <w:rsid w:val="001C5695"/>
    <w:rsid w:val="001C78BB"/>
    <w:rsid w:val="001D0F5A"/>
    <w:rsid w:val="001D140F"/>
    <w:rsid w:val="001D1839"/>
    <w:rsid w:val="001D1A7C"/>
    <w:rsid w:val="001D45D6"/>
    <w:rsid w:val="001D504A"/>
    <w:rsid w:val="001D59A3"/>
    <w:rsid w:val="001D63EA"/>
    <w:rsid w:val="001D7530"/>
    <w:rsid w:val="001D7ED9"/>
    <w:rsid w:val="001E215C"/>
    <w:rsid w:val="001E2924"/>
    <w:rsid w:val="001E5AF5"/>
    <w:rsid w:val="001F038C"/>
    <w:rsid w:val="001F1D10"/>
    <w:rsid w:val="001F6651"/>
    <w:rsid w:val="001F7F8A"/>
    <w:rsid w:val="0020099E"/>
    <w:rsid w:val="002023AB"/>
    <w:rsid w:val="00206E97"/>
    <w:rsid w:val="0020749A"/>
    <w:rsid w:val="002101F3"/>
    <w:rsid w:val="00210489"/>
    <w:rsid w:val="00212C7B"/>
    <w:rsid w:val="00222524"/>
    <w:rsid w:val="002243CB"/>
    <w:rsid w:val="002246C4"/>
    <w:rsid w:val="00230570"/>
    <w:rsid w:val="002317E5"/>
    <w:rsid w:val="00232050"/>
    <w:rsid w:val="00232481"/>
    <w:rsid w:val="0023364F"/>
    <w:rsid w:val="002354D7"/>
    <w:rsid w:val="00235C64"/>
    <w:rsid w:val="00246F8E"/>
    <w:rsid w:val="00247830"/>
    <w:rsid w:val="0025056B"/>
    <w:rsid w:val="00253DC4"/>
    <w:rsid w:val="00257304"/>
    <w:rsid w:val="00257C08"/>
    <w:rsid w:val="00257EE1"/>
    <w:rsid w:val="00274585"/>
    <w:rsid w:val="00274915"/>
    <w:rsid w:val="002758B1"/>
    <w:rsid w:val="002769A0"/>
    <w:rsid w:val="00276B30"/>
    <w:rsid w:val="002778B1"/>
    <w:rsid w:val="00280100"/>
    <w:rsid w:val="00280624"/>
    <w:rsid w:val="00282524"/>
    <w:rsid w:val="00283046"/>
    <w:rsid w:val="00283A50"/>
    <w:rsid w:val="0028471A"/>
    <w:rsid w:val="002850FE"/>
    <w:rsid w:val="002858AD"/>
    <w:rsid w:val="00285B67"/>
    <w:rsid w:val="0028608F"/>
    <w:rsid w:val="00287737"/>
    <w:rsid w:val="00291FB4"/>
    <w:rsid w:val="00292F3B"/>
    <w:rsid w:val="002A0567"/>
    <w:rsid w:val="002A2041"/>
    <w:rsid w:val="002A22BC"/>
    <w:rsid w:val="002A3EC7"/>
    <w:rsid w:val="002B555A"/>
    <w:rsid w:val="002B5B07"/>
    <w:rsid w:val="002B7A1F"/>
    <w:rsid w:val="002C08AA"/>
    <w:rsid w:val="002C17C8"/>
    <w:rsid w:val="002C62BC"/>
    <w:rsid w:val="002C7573"/>
    <w:rsid w:val="002D2EA2"/>
    <w:rsid w:val="002D31D2"/>
    <w:rsid w:val="002D508D"/>
    <w:rsid w:val="002E0D4A"/>
    <w:rsid w:val="002E242A"/>
    <w:rsid w:val="002E45BA"/>
    <w:rsid w:val="002F00F0"/>
    <w:rsid w:val="002F06B8"/>
    <w:rsid w:val="002F54C6"/>
    <w:rsid w:val="002F67FB"/>
    <w:rsid w:val="002F7558"/>
    <w:rsid w:val="0030015D"/>
    <w:rsid w:val="003008D5"/>
    <w:rsid w:val="00300C2E"/>
    <w:rsid w:val="00301B2F"/>
    <w:rsid w:val="00305BFB"/>
    <w:rsid w:val="00306B01"/>
    <w:rsid w:val="00310492"/>
    <w:rsid w:val="0031095C"/>
    <w:rsid w:val="00311648"/>
    <w:rsid w:val="00311F25"/>
    <w:rsid w:val="003130F3"/>
    <w:rsid w:val="00315471"/>
    <w:rsid w:val="00316B1F"/>
    <w:rsid w:val="003173C9"/>
    <w:rsid w:val="003213FB"/>
    <w:rsid w:val="0032232D"/>
    <w:rsid w:val="00322C4C"/>
    <w:rsid w:val="00324B45"/>
    <w:rsid w:val="00327C0B"/>
    <w:rsid w:val="00331D23"/>
    <w:rsid w:val="00332302"/>
    <w:rsid w:val="00332710"/>
    <w:rsid w:val="00332B35"/>
    <w:rsid w:val="00334013"/>
    <w:rsid w:val="0033424A"/>
    <w:rsid w:val="00335810"/>
    <w:rsid w:val="0033582A"/>
    <w:rsid w:val="00340B02"/>
    <w:rsid w:val="003418D2"/>
    <w:rsid w:val="003426E0"/>
    <w:rsid w:val="00346A86"/>
    <w:rsid w:val="00346F5F"/>
    <w:rsid w:val="0035211F"/>
    <w:rsid w:val="0035230A"/>
    <w:rsid w:val="003536F8"/>
    <w:rsid w:val="00356E04"/>
    <w:rsid w:val="003606D4"/>
    <w:rsid w:val="00361D7A"/>
    <w:rsid w:val="00365909"/>
    <w:rsid w:val="0036796D"/>
    <w:rsid w:val="00367971"/>
    <w:rsid w:val="00373944"/>
    <w:rsid w:val="00377DBD"/>
    <w:rsid w:val="00380AC6"/>
    <w:rsid w:val="003847EC"/>
    <w:rsid w:val="00390AB0"/>
    <w:rsid w:val="00392043"/>
    <w:rsid w:val="00397413"/>
    <w:rsid w:val="003A0CDC"/>
    <w:rsid w:val="003A144E"/>
    <w:rsid w:val="003A280A"/>
    <w:rsid w:val="003A4F9D"/>
    <w:rsid w:val="003A5EFD"/>
    <w:rsid w:val="003A63CE"/>
    <w:rsid w:val="003A6655"/>
    <w:rsid w:val="003B0382"/>
    <w:rsid w:val="003B0FB9"/>
    <w:rsid w:val="003B1975"/>
    <w:rsid w:val="003B49C3"/>
    <w:rsid w:val="003B4A92"/>
    <w:rsid w:val="003B4DA4"/>
    <w:rsid w:val="003B5DC0"/>
    <w:rsid w:val="003B74B1"/>
    <w:rsid w:val="003C047D"/>
    <w:rsid w:val="003C3657"/>
    <w:rsid w:val="003C37AC"/>
    <w:rsid w:val="003C419A"/>
    <w:rsid w:val="003C4C63"/>
    <w:rsid w:val="003D3A1D"/>
    <w:rsid w:val="003D539C"/>
    <w:rsid w:val="003D7267"/>
    <w:rsid w:val="003D737B"/>
    <w:rsid w:val="003E167C"/>
    <w:rsid w:val="003E3D70"/>
    <w:rsid w:val="003E4907"/>
    <w:rsid w:val="003E725D"/>
    <w:rsid w:val="003F53F8"/>
    <w:rsid w:val="003F6DA4"/>
    <w:rsid w:val="00400FEB"/>
    <w:rsid w:val="00402B44"/>
    <w:rsid w:val="00405223"/>
    <w:rsid w:val="00406C71"/>
    <w:rsid w:val="00407286"/>
    <w:rsid w:val="00410104"/>
    <w:rsid w:val="004135D6"/>
    <w:rsid w:val="00413E7D"/>
    <w:rsid w:val="004149CD"/>
    <w:rsid w:val="0041531B"/>
    <w:rsid w:val="00415591"/>
    <w:rsid w:val="00416A01"/>
    <w:rsid w:val="00416C39"/>
    <w:rsid w:val="00420308"/>
    <w:rsid w:val="004223F6"/>
    <w:rsid w:val="004249BA"/>
    <w:rsid w:val="00430FD1"/>
    <w:rsid w:val="00431102"/>
    <w:rsid w:val="00432F9E"/>
    <w:rsid w:val="00433834"/>
    <w:rsid w:val="00433A52"/>
    <w:rsid w:val="00433FD1"/>
    <w:rsid w:val="004379F5"/>
    <w:rsid w:val="00441F15"/>
    <w:rsid w:val="004421FD"/>
    <w:rsid w:val="0044245D"/>
    <w:rsid w:val="00444098"/>
    <w:rsid w:val="00444624"/>
    <w:rsid w:val="00444CAA"/>
    <w:rsid w:val="0044694C"/>
    <w:rsid w:val="00447CF6"/>
    <w:rsid w:val="00450444"/>
    <w:rsid w:val="0045311F"/>
    <w:rsid w:val="00455626"/>
    <w:rsid w:val="00455CE0"/>
    <w:rsid w:val="00457ADC"/>
    <w:rsid w:val="00467D12"/>
    <w:rsid w:val="004740BA"/>
    <w:rsid w:val="00474C9A"/>
    <w:rsid w:val="00480AC6"/>
    <w:rsid w:val="004817B2"/>
    <w:rsid w:val="00481ABA"/>
    <w:rsid w:val="004830F7"/>
    <w:rsid w:val="00484D32"/>
    <w:rsid w:val="00486F35"/>
    <w:rsid w:val="0048753F"/>
    <w:rsid w:val="00490D64"/>
    <w:rsid w:val="0049224A"/>
    <w:rsid w:val="004A1E65"/>
    <w:rsid w:val="004A1F2C"/>
    <w:rsid w:val="004A37AB"/>
    <w:rsid w:val="004A6D7E"/>
    <w:rsid w:val="004A7535"/>
    <w:rsid w:val="004B10A8"/>
    <w:rsid w:val="004B3D55"/>
    <w:rsid w:val="004B5B0D"/>
    <w:rsid w:val="004B63C6"/>
    <w:rsid w:val="004B6D70"/>
    <w:rsid w:val="004C16D4"/>
    <w:rsid w:val="004C1DFE"/>
    <w:rsid w:val="004C21C3"/>
    <w:rsid w:val="004C77CB"/>
    <w:rsid w:val="004D2711"/>
    <w:rsid w:val="004D2D73"/>
    <w:rsid w:val="004D364D"/>
    <w:rsid w:val="004D502C"/>
    <w:rsid w:val="004D6F30"/>
    <w:rsid w:val="004E409B"/>
    <w:rsid w:val="004E5332"/>
    <w:rsid w:val="004E5E78"/>
    <w:rsid w:val="004F0BF1"/>
    <w:rsid w:val="004F1129"/>
    <w:rsid w:val="004F1C26"/>
    <w:rsid w:val="004F2834"/>
    <w:rsid w:val="004F57C0"/>
    <w:rsid w:val="004F58BC"/>
    <w:rsid w:val="004F5C49"/>
    <w:rsid w:val="004F728C"/>
    <w:rsid w:val="004F7E65"/>
    <w:rsid w:val="00502012"/>
    <w:rsid w:val="00504394"/>
    <w:rsid w:val="005049DB"/>
    <w:rsid w:val="00505856"/>
    <w:rsid w:val="00506433"/>
    <w:rsid w:val="005074D4"/>
    <w:rsid w:val="00507566"/>
    <w:rsid w:val="00510A87"/>
    <w:rsid w:val="0051118C"/>
    <w:rsid w:val="005111C1"/>
    <w:rsid w:val="00512D86"/>
    <w:rsid w:val="00514528"/>
    <w:rsid w:val="00516EF0"/>
    <w:rsid w:val="00520E6B"/>
    <w:rsid w:val="00527DB1"/>
    <w:rsid w:val="00532727"/>
    <w:rsid w:val="00533E91"/>
    <w:rsid w:val="00534084"/>
    <w:rsid w:val="005364EF"/>
    <w:rsid w:val="00536516"/>
    <w:rsid w:val="00540B9E"/>
    <w:rsid w:val="00542BFD"/>
    <w:rsid w:val="0054564B"/>
    <w:rsid w:val="00545F21"/>
    <w:rsid w:val="005465F0"/>
    <w:rsid w:val="00551F1A"/>
    <w:rsid w:val="005539E1"/>
    <w:rsid w:val="00554409"/>
    <w:rsid w:val="00555348"/>
    <w:rsid w:val="00555742"/>
    <w:rsid w:val="00555833"/>
    <w:rsid w:val="00557708"/>
    <w:rsid w:val="00563D48"/>
    <w:rsid w:val="00564409"/>
    <w:rsid w:val="00564A31"/>
    <w:rsid w:val="005651DB"/>
    <w:rsid w:val="00570129"/>
    <w:rsid w:val="00570B5B"/>
    <w:rsid w:val="00571404"/>
    <w:rsid w:val="00573674"/>
    <w:rsid w:val="0057639D"/>
    <w:rsid w:val="005774C3"/>
    <w:rsid w:val="00581D28"/>
    <w:rsid w:val="00582AD7"/>
    <w:rsid w:val="0058304A"/>
    <w:rsid w:val="0058514C"/>
    <w:rsid w:val="00585FDE"/>
    <w:rsid w:val="005863F5"/>
    <w:rsid w:val="00587A52"/>
    <w:rsid w:val="00587C1F"/>
    <w:rsid w:val="00590674"/>
    <w:rsid w:val="00590956"/>
    <w:rsid w:val="00593182"/>
    <w:rsid w:val="0059701E"/>
    <w:rsid w:val="00597F04"/>
    <w:rsid w:val="005A1F14"/>
    <w:rsid w:val="005A38E6"/>
    <w:rsid w:val="005A4FE7"/>
    <w:rsid w:val="005A61A4"/>
    <w:rsid w:val="005A7EDB"/>
    <w:rsid w:val="005B0DCF"/>
    <w:rsid w:val="005B16E7"/>
    <w:rsid w:val="005B2505"/>
    <w:rsid w:val="005B2AC6"/>
    <w:rsid w:val="005B5A00"/>
    <w:rsid w:val="005B7452"/>
    <w:rsid w:val="005B7E31"/>
    <w:rsid w:val="005C16E9"/>
    <w:rsid w:val="005C3474"/>
    <w:rsid w:val="005C419B"/>
    <w:rsid w:val="005D102A"/>
    <w:rsid w:val="005D3B6C"/>
    <w:rsid w:val="005D4172"/>
    <w:rsid w:val="005D56F3"/>
    <w:rsid w:val="005D5FD0"/>
    <w:rsid w:val="005E0973"/>
    <w:rsid w:val="005E11AB"/>
    <w:rsid w:val="005E1C07"/>
    <w:rsid w:val="005E409F"/>
    <w:rsid w:val="005E4479"/>
    <w:rsid w:val="005E6BF3"/>
    <w:rsid w:val="005F16DE"/>
    <w:rsid w:val="005F24DE"/>
    <w:rsid w:val="005F29F6"/>
    <w:rsid w:val="005F40E9"/>
    <w:rsid w:val="005F569F"/>
    <w:rsid w:val="005F60C9"/>
    <w:rsid w:val="005F6586"/>
    <w:rsid w:val="005F75D9"/>
    <w:rsid w:val="006005CB"/>
    <w:rsid w:val="00602BC7"/>
    <w:rsid w:val="00605102"/>
    <w:rsid w:val="006100E0"/>
    <w:rsid w:val="00611278"/>
    <w:rsid w:val="00615295"/>
    <w:rsid w:val="006155B9"/>
    <w:rsid w:val="006166E4"/>
    <w:rsid w:val="00617FB2"/>
    <w:rsid w:val="00621D56"/>
    <w:rsid w:val="00633AEB"/>
    <w:rsid w:val="00640402"/>
    <w:rsid w:val="0064144D"/>
    <w:rsid w:val="006423FA"/>
    <w:rsid w:val="006436F3"/>
    <w:rsid w:val="006448E7"/>
    <w:rsid w:val="006509DA"/>
    <w:rsid w:val="00652F54"/>
    <w:rsid w:val="00656EDE"/>
    <w:rsid w:val="00660C25"/>
    <w:rsid w:val="00661DC9"/>
    <w:rsid w:val="0066217F"/>
    <w:rsid w:val="00664028"/>
    <w:rsid w:val="00664FB9"/>
    <w:rsid w:val="006655FD"/>
    <w:rsid w:val="006657D9"/>
    <w:rsid w:val="00665EFD"/>
    <w:rsid w:val="00671C0E"/>
    <w:rsid w:val="00673216"/>
    <w:rsid w:val="006742E7"/>
    <w:rsid w:val="00676029"/>
    <w:rsid w:val="00676B38"/>
    <w:rsid w:val="00676F60"/>
    <w:rsid w:val="00677359"/>
    <w:rsid w:val="00677FDD"/>
    <w:rsid w:val="00682A31"/>
    <w:rsid w:val="006837CA"/>
    <w:rsid w:val="006851C0"/>
    <w:rsid w:val="00685FE9"/>
    <w:rsid w:val="00686E8D"/>
    <w:rsid w:val="006878FF"/>
    <w:rsid w:val="006915D8"/>
    <w:rsid w:val="00691673"/>
    <w:rsid w:val="0069222A"/>
    <w:rsid w:val="00692C89"/>
    <w:rsid w:val="006A214B"/>
    <w:rsid w:val="006A3A7E"/>
    <w:rsid w:val="006A491E"/>
    <w:rsid w:val="006A539B"/>
    <w:rsid w:val="006A5800"/>
    <w:rsid w:val="006A5A8C"/>
    <w:rsid w:val="006A6C5A"/>
    <w:rsid w:val="006B006A"/>
    <w:rsid w:val="006B06D2"/>
    <w:rsid w:val="006B411B"/>
    <w:rsid w:val="006B49C8"/>
    <w:rsid w:val="006B7501"/>
    <w:rsid w:val="006B7858"/>
    <w:rsid w:val="006C1243"/>
    <w:rsid w:val="006C1A90"/>
    <w:rsid w:val="006C2516"/>
    <w:rsid w:val="006C3113"/>
    <w:rsid w:val="006C3561"/>
    <w:rsid w:val="006C6F42"/>
    <w:rsid w:val="006D483D"/>
    <w:rsid w:val="006D6459"/>
    <w:rsid w:val="006E0D94"/>
    <w:rsid w:val="006E6982"/>
    <w:rsid w:val="006F40BB"/>
    <w:rsid w:val="006F46D1"/>
    <w:rsid w:val="006F7782"/>
    <w:rsid w:val="006F7F77"/>
    <w:rsid w:val="00702B7B"/>
    <w:rsid w:val="00706E0A"/>
    <w:rsid w:val="00711B76"/>
    <w:rsid w:val="007137C7"/>
    <w:rsid w:val="00716A75"/>
    <w:rsid w:val="00716D93"/>
    <w:rsid w:val="00720C42"/>
    <w:rsid w:val="00721B9E"/>
    <w:rsid w:val="007235E2"/>
    <w:rsid w:val="00723786"/>
    <w:rsid w:val="00723A80"/>
    <w:rsid w:val="00723F68"/>
    <w:rsid w:val="007242A4"/>
    <w:rsid w:val="00725F39"/>
    <w:rsid w:val="00731391"/>
    <w:rsid w:val="007363DC"/>
    <w:rsid w:val="007429BE"/>
    <w:rsid w:val="00743574"/>
    <w:rsid w:val="007448EF"/>
    <w:rsid w:val="00745044"/>
    <w:rsid w:val="00746819"/>
    <w:rsid w:val="00751B6D"/>
    <w:rsid w:val="00751DF6"/>
    <w:rsid w:val="007566C0"/>
    <w:rsid w:val="00757780"/>
    <w:rsid w:val="00757852"/>
    <w:rsid w:val="00757B6C"/>
    <w:rsid w:val="007605EE"/>
    <w:rsid w:val="0076078E"/>
    <w:rsid w:val="0076476A"/>
    <w:rsid w:val="007664C0"/>
    <w:rsid w:val="00771338"/>
    <w:rsid w:val="0077202A"/>
    <w:rsid w:val="007728B2"/>
    <w:rsid w:val="0077441E"/>
    <w:rsid w:val="00781ED5"/>
    <w:rsid w:val="00782D8B"/>
    <w:rsid w:val="00783C05"/>
    <w:rsid w:val="00785204"/>
    <w:rsid w:val="0078653B"/>
    <w:rsid w:val="007866A6"/>
    <w:rsid w:val="00786DD1"/>
    <w:rsid w:val="00786E8B"/>
    <w:rsid w:val="00790286"/>
    <w:rsid w:val="00791B49"/>
    <w:rsid w:val="00793E7A"/>
    <w:rsid w:val="0079540B"/>
    <w:rsid w:val="007A1EFE"/>
    <w:rsid w:val="007A3338"/>
    <w:rsid w:val="007A4174"/>
    <w:rsid w:val="007A4558"/>
    <w:rsid w:val="007A537E"/>
    <w:rsid w:val="007A6AC6"/>
    <w:rsid w:val="007A78B8"/>
    <w:rsid w:val="007B053F"/>
    <w:rsid w:val="007B10FB"/>
    <w:rsid w:val="007B1828"/>
    <w:rsid w:val="007B317D"/>
    <w:rsid w:val="007B5093"/>
    <w:rsid w:val="007B55E3"/>
    <w:rsid w:val="007C0BA7"/>
    <w:rsid w:val="007C0BC1"/>
    <w:rsid w:val="007C43E9"/>
    <w:rsid w:val="007C4B63"/>
    <w:rsid w:val="007C636F"/>
    <w:rsid w:val="007D0D42"/>
    <w:rsid w:val="007D0D84"/>
    <w:rsid w:val="007D2527"/>
    <w:rsid w:val="007D26FB"/>
    <w:rsid w:val="007D3843"/>
    <w:rsid w:val="007D4E31"/>
    <w:rsid w:val="007D7BAE"/>
    <w:rsid w:val="007E09C6"/>
    <w:rsid w:val="007E1290"/>
    <w:rsid w:val="007E23F8"/>
    <w:rsid w:val="007E3A3F"/>
    <w:rsid w:val="007E4153"/>
    <w:rsid w:val="007E44E1"/>
    <w:rsid w:val="007E6567"/>
    <w:rsid w:val="007F0681"/>
    <w:rsid w:val="007F0B3D"/>
    <w:rsid w:val="007F1C95"/>
    <w:rsid w:val="007F2A73"/>
    <w:rsid w:val="007F4C04"/>
    <w:rsid w:val="007F64A7"/>
    <w:rsid w:val="007F6D1E"/>
    <w:rsid w:val="007F7724"/>
    <w:rsid w:val="00804AAF"/>
    <w:rsid w:val="008079F7"/>
    <w:rsid w:val="00811805"/>
    <w:rsid w:val="00812EBA"/>
    <w:rsid w:val="008145AD"/>
    <w:rsid w:val="0081467D"/>
    <w:rsid w:val="0082349E"/>
    <w:rsid w:val="00827D4A"/>
    <w:rsid w:val="00840550"/>
    <w:rsid w:val="00842975"/>
    <w:rsid w:val="00843CB5"/>
    <w:rsid w:val="00844C50"/>
    <w:rsid w:val="00846097"/>
    <w:rsid w:val="008516E3"/>
    <w:rsid w:val="00851895"/>
    <w:rsid w:val="008519CD"/>
    <w:rsid w:val="00855478"/>
    <w:rsid w:val="00856AB8"/>
    <w:rsid w:val="00861C61"/>
    <w:rsid w:val="0086209A"/>
    <w:rsid w:val="00866875"/>
    <w:rsid w:val="008706A3"/>
    <w:rsid w:val="00870CE0"/>
    <w:rsid w:val="00871A8F"/>
    <w:rsid w:val="00872A8E"/>
    <w:rsid w:val="008730AE"/>
    <w:rsid w:val="008748BA"/>
    <w:rsid w:val="008757B9"/>
    <w:rsid w:val="0087595A"/>
    <w:rsid w:val="00877AC9"/>
    <w:rsid w:val="00877ACC"/>
    <w:rsid w:val="0088143A"/>
    <w:rsid w:val="00882E01"/>
    <w:rsid w:val="008830BE"/>
    <w:rsid w:val="00887B2C"/>
    <w:rsid w:val="00890EEA"/>
    <w:rsid w:val="0089154F"/>
    <w:rsid w:val="00892EE3"/>
    <w:rsid w:val="00892F96"/>
    <w:rsid w:val="00893378"/>
    <w:rsid w:val="008A065D"/>
    <w:rsid w:val="008A24A5"/>
    <w:rsid w:val="008A3420"/>
    <w:rsid w:val="008A4827"/>
    <w:rsid w:val="008A62E1"/>
    <w:rsid w:val="008B022F"/>
    <w:rsid w:val="008B028E"/>
    <w:rsid w:val="008B655D"/>
    <w:rsid w:val="008B7C53"/>
    <w:rsid w:val="008C0504"/>
    <w:rsid w:val="008C3FA6"/>
    <w:rsid w:val="008C4604"/>
    <w:rsid w:val="008C48CD"/>
    <w:rsid w:val="008C4C88"/>
    <w:rsid w:val="008C5F48"/>
    <w:rsid w:val="008C5F5E"/>
    <w:rsid w:val="008C6E8A"/>
    <w:rsid w:val="008C6F9F"/>
    <w:rsid w:val="008C7302"/>
    <w:rsid w:val="008D00BA"/>
    <w:rsid w:val="008D0ECD"/>
    <w:rsid w:val="008D183B"/>
    <w:rsid w:val="008D3B63"/>
    <w:rsid w:val="008D4767"/>
    <w:rsid w:val="008D4C27"/>
    <w:rsid w:val="008D5B93"/>
    <w:rsid w:val="008E40D3"/>
    <w:rsid w:val="008E50F2"/>
    <w:rsid w:val="008E6664"/>
    <w:rsid w:val="008E78CA"/>
    <w:rsid w:val="008F0306"/>
    <w:rsid w:val="008F07CE"/>
    <w:rsid w:val="008F109A"/>
    <w:rsid w:val="008F19F9"/>
    <w:rsid w:val="008F34B6"/>
    <w:rsid w:val="008F7CE8"/>
    <w:rsid w:val="00900D77"/>
    <w:rsid w:val="00901B7C"/>
    <w:rsid w:val="00903769"/>
    <w:rsid w:val="00906BF9"/>
    <w:rsid w:val="0091470E"/>
    <w:rsid w:val="00914BD1"/>
    <w:rsid w:val="00922187"/>
    <w:rsid w:val="00924F37"/>
    <w:rsid w:val="0092526D"/>
    <w:rsid w:val="00925DAA"/>
    <w:rsid w:val="0092619B"/>
    <w:rsid w:val="0092689C"/>
    <w:rsid w:val="009273E2"/>
    <w:rsid w:val="00930D62"/>
    <w:rsid w:val="009321F1"/>
    <w:rsid w:val="00932942"/>
    <w:rsid w:val="00933A4E"/>
    <w:rsid w:val="00933CA3"/>
    <w:rsid w:val="0093421E"/>
    <w:rsid w:val="00941E8C"/>
    <w:rsid w:val="0094401C"/>
    <w:rsid w:val="0094573C"/>
    <w:rsid w:val="00955EF5"/>
    <w:rsid w:val="00960361"/>
    <w:rsid w:val="00960979"/>
    <w:rsid w:val="00961D0B"/>
    <w:rsid w:val="0096322B"/>
    <w:rsid w:val="00963835"/>
    <w:rsid w:val="00964952"/>
    <w:rsid w:val="009652C3"/>
    <w:rsid w:val="00965E3C"/>
    <w:rsid w:val="0096754B"/>
    <w:rsid w:val="00976AC1"/>
    <w:rsid w:val="00987B6A"/>
    <w:rsid w:val="00990455"/>
    <w:rsid w:val="00990B09"/>
    <w:rsid w:val="0099148E"/>
    <w:rsid w:val="00995D7B"/>
    <w:rsid w:val="00996114"/>
    <w:rsid w:val="009962F8"/>
    <w:rsid w:val="009A1A97"/>
    <w:rsid w:val="009A2AAB"/>
    <w:rsid w:val="009A4071"/>
    <w:rsid w:val="009A4ECF"/>
    <w:rsid w:val="009A566D"/>
    <w:rsid w:val="009A5681"/>
    <w:rsid w:val="009A6F55"/>
    <w:rsid w:val="009B002B"/>
    <w:rsid w:val="009B3747"/>
    <w:rsid w:val="009B37E6"/>
    <w:rsid w:val="009B57CC"/>
    <w:rsid w:val="009B57ED"/>
    <w:rsid w:val="009B5C81"/>
    <w:rsid w:val="009B667C"/>
    <w:rsid w:val="009B7A51"/>
    <w:rsid w:val="009C142B"/>
    <w:rsid w:val="009C7531"/>
    <w:rsid w:val="009D31E4"/>
    <w:rsid w:val="009D7EF9"/>
    <w:rsid w:val="009E1B46"/>
    <w:rsid w:val="009E1C48"/>
    <w:rsid w:val="009E20AB"/>
    <w:rsid w:val="009E308A"/>
    <w:rsid w:val="009E4087"/>
    <w:rsid w:val="009E6F75"/>
    <w:rsid w:val="009E73A3"/>
    <w:rsid w:val="009E74F1"/>
    <w:rsid w:val="009E78D2"/>
    <w:rsid w:val="009F0561"/>
    <w:rsid w:val="009F0640"/>
    <w:rsid w:val="009F142A"/>
    <w:rsid w:val="009F2803"/>
    <w:rsid w:val="009F2C7B"/>
    <w:rsid w:val="009F43C1"/>
    <w:rsid w:val="009F48B1"/>
    <w:rsid w:val="009F7557"/>
    <w:rsid w:val="00A00D89"/>
    <w:rsid w:val="00A01319"/>
    <w:rsid w:val="00A0170D"/>
    <w:rsid w:val="00A039DF"/>
    <w:rsid w:val="00A07089"/>
    <w:rsid w:val="00A10B4E"/>
    <w:rsid w:val="00A1194A"/>
    <w:rsid w:val="00A11E5B"/>
    <w:rsid w:val="00A12F2D"/>
    <w:rsid w:val="00A16EFD"/>
    <w:rsid w:val="00A21D77"/>
    <w:rsid w:val="00A23182"/>
    <w:rsid w:val="00A23202"/>
    <w:rsid w:val="00A30BA9"/>
    <w:rsid w:val="00A3386E"/>
    <w:rsid w:val="00A364F8"/>
    <w:rsid w:val="00A37517"/>
    <w:rsid w:val="00A407CD"/>
    <w:rsid w:val="00A40D83"/>
    <w:rsid w:val="00A4245E"/>
    <w:rsid w:val="00A440CE"/>
    <w:rsid w:val="00A460FD"/>
    <w:rsid w:val="00A46A05"/>
    <w:rsid w:val="00A47373"/>
    <w:rsid w:val="00A517D0"/>
    <w:rsid w:val="00A546D5"/>
    <w:rsid w:val="00A61259"/>
    <w:rsid w:val="00A61DC1"/>
    <w:rsid w:val="00A62D3D"/>
    <w:rsid w:val="00A727A2"/>
    <w:rsid w:val="00A7324A"/>
    <w:rsid w:val="00A73DC7"/>
    <w:rsid w:val="00A776DB"/>
    <w:rsid w:val="00A804EC"/>
    <w:rsid w:val="00A80C79"/>
    <w:rsid w:val="00A842A3"/>
    <w:rsid w:val="00A87A8A"/>
    <w:rsid w:val="00A9001F"/>
    <w:rsid w:val="00A943C9"/>
    <w:rsid w:val="00A94870"/>
    <w:rsid w:val="00A9594C"/>
    <w:rsid w:val="00A96041"/>
    <w:rsid w:val="00A97137"/>
    <w:rsid w:val="00A972B3"/>
    <w:rsid w:val="00AA0189"/>
    <w:rsid w:val="00AA2EDC"/>
    <w:rsid w:val="00AB135C"/>
    <w:rsid w:val="00AB2ABB"/>
    <w:rsid w:val="00AB720B"/>
    <w:rsid w:val="00AC16AD"/>
    <w:rsid w:val="00AC3502"/>
    <w:rsid w:val="00AC4A81"/>
    <w:rsid w:val="00AC6A23"/>
    <w:rsid w:val="00AD1250"/>
    <w:rsid w:val="00AD2773"/>
    <w:rsid w:val="00AE3DC4"/>
    <w:rsid w:val="00AE5E17"/>
    <w:rsid w:val="00AF17DC"/>
    <w:rsid w:val="00AF17E6"/>
    <w:rsid w:val="00AF1C0E"/>
    <w:rsid w:val="00AF2BC1"/>
    <w:rsid w:val="00AF2EC6"/>
    <w:rsid w:val="00AF43C9"/>
    <w:rsid w:val="00AF4907"/>
    <w:rsid w:val="00AF49A6"/>
    <w:rsid w:val="00AF7753"/>
    <w:rsid w:val="00B01B13"/>
    <w:rsid w:val="00B02C8A"/>
    <w:rsid w:val="00B0351C"/>
    <w:rsid w:val="00B044BF"/>
    <w:rsid w:val="00B04A33"/>
    <w:rsid w:val="00B067B1"/>
    <w:rsid w:val="00B06FA6"/>
    <w:rsid w:val="00B10585"/>
    <w:rsid w:val="00B10B45"/>
    <w:rsid w:val="00B1100D"/>
    <w:rsid w:val="00B11596"/>
    <w:rsid w:val="00B121A0"/>
    <w:rsid w:val="00B17477"/>
    <w:rsid w:val="00B1799E"/>
    <w:rsid w:val="00B17F1A"/>
    <w:rsid w:val="00B21A3F"/>
    <w:rsid w:val="00B265B6"/>
    <w:rsid w:val="00B31D21"/>
    <w:rsid w:val="00B33DD2"/>
    <w:rsid w:val="00B372F7"/>
    <w:rsid w:val="00B4118E"/>
    <w:rsid w:val="00B41A88"/>
    <w:rsid w:val="00B42253"/>
    <w:rsid w:val="00B46744"/>
    <w:rsid w:val="00B52A08"/>
    <w:rsid w:val="00B539E6"/>
    <w:rsid w:val="00B55C30"/>
    <w:rsid w:val="00B56A2B"/>
    <w:rsid w:val="00B603CF"/>
    <w:rsid w:val="00B610EB"/>
    <w:rsid w:val="00B61119"/>
    <w:rsid w:val="00B627ED"/>
    <w:rsid w:val="00B6465B"/>
    <w:rsid w:val="00B662A6"/>
    <w:rsid w:val="00B673FF"/>
    <w:rsid w:val="00B710F2"/>
    <w:rsid w:val="00B72095"/>
    <w:rsid w:val="00B7319A"/>
    <w:rsid w:val="00B74002"/>
    <w:rsid w:val="00B744E2"/>
    <w:rsid w:val="00B758C4"/>
    <w:rsid w:val="00B75AE9"/>
    <w:rsid w:val="00B8004E"/>
    <w:rsid w:val="00B86F48"/>
    <w:rsid w:val="00B96FE0"/>
    <w:rsid w:val="00B97499"/>
    <w:rsid w:val="00B97E03"/>
    <w:rsid w:val="00BA08DA"/>
    <w:rsid w:val="00BA28E9"/>
    <w:rsid w:val="00BA6B96"/>
    <w:rsid w:val="00BA6EAE"/>
    <w:rsid w:val="00BA6FC3"/>
    <w:rsid w:val="00BA7866"/>
    <w:rsid w:val="00BB240D"/>
    <w:rsid w:val="00BB7319"/>
    <w:rsid w:val="00BC129F"/>
    <w:rsid w:val="00BC2063"/>
    <w:rsid w:val="00BC27B1"/>
    <w:rsid w:val="00BC38A6"/>
    <w:rsid w:val="00BC52CB"/>
    <w:rsid w:val="00BC58FD"/>
    <w:rsid w:val="00BD1C79"/>
    <w:rsid w:val="00BD3364"/>
    <w:rsid w:val="00BD6397"/>
    <w:rsid w:val="00BE139D"/>
    <w:rsid w:val="00BE2BDD"/>
    <w:rsid w:val="00BE342D"/>
    <w:rsid w:val="00BE42F7"/>
    <w:rsid w:val="00BE668A"/>
    <w:rsid w:val="00BE6DE8"/>
    <w:rsid w:val="00BE7976"/>
    <w:rsid w:val="00BE7C30"/>
    <w:rsid w:val="00BF54E0"/>
    <w:rsid w:val="00BF5A6B"/>
    <w:rsid w:val="00BF78C0"/>
    <w:rsid w:val="00C01DEA"/>
    <w:rsid w:val="00C03DF8"/>
    <w:rsid w:val="00C0696A"/>
    <w:rsid w:val="00C06A70"/>
    <w:rsid w:val="00C07A3D"/>
    <w:rsid w:val="00C10E16"/>
    <w:rsid w:val="00C11116"/>
    <w:rsid w:val="00C1239D"/>
    <w:rsid w:val="00C12570"/>
    <w:rsid w:val="00C12AF2"/>
    <w:rsid w:val="00C12F77"/>
    <w:rsid w:val="00C1526B"/>
    <w:rsid w:val="00C15A83"/>
    <w:rsid w:val="00C16B64"/>
    <w:rsid w:val="00C16BF2"/>
    <w:rsid w:val="00C23A43"/>
    <w:rsid w:val="00C24D31"/>
    <w:rsid w:val="00C25A34"/>
    <w:rsid w:val="00C301EA"/>
    <w:rsid w:val="00C34E34"/>
    <w:rsid w:val="00C36340"/>
    <w:rsid w:val="00C40E15"/>
    <w:rsid w:val="00C4454B"/>
    <w:rsid w:val="00C44A9D"/>
    <w:rsid w:val="00C4739D"/>
    <w:rsid w:val="00C52E64"/>
    <w:rsid w:val="00C574CE"/>
    <w:rsid w:val="00C6051F"/>
    <w:rsid w:val="00C61E29"/>
    <w:rsid w:val="00C627C7"/>
    <w:rsid w:val="00C63F5A"/>
    <w:rsid w:val="00C643C7"/>
    <w:rsid w:val="00C64690"/>
    <w:rsid w:val="00C64819"/>
    <w:rsid w:val="00C65798"/>
    <w:rsid w:val="00C664E6"/>
    <w:rsid w:val="00C708C3"/>
    <w:rsid w:val="00C775C6"/>
    <w:rsid w:val="00C82EB7"/>
    <w:rsid w:val="00C835AD"/>
    <w:rsid w:val="00C83820"/>
    <w:rsid w:val="00C86DD6"/>
    <w:rsid w:val="00C8790C"/>
    <w:rsid w:val="00C902C9"/>
    <w:rsid w:val="00C909FB"/>
    <w:rsid w:val="00C924A5"/>
    <w:rsid w:val="00C937D4"/>
    <w:rsid w:val="00C93DEE"/>
    <w:rsid w:val="00C94AA4"/>
    <w:rsid w:val="00CA4389"/>
    <w:rsid w:val="00CA47BF"/>
    <w:rsid w:val="00CB285A"/>
    <w:rsid w:val="00CB2912"/>
    <w:rsid w:val="00CB35E3"/>
    <w:rsid w:val="00CB4AFE"/>
    <w:rsid w:val="00CB7A75"/>
    <w:rsid w:val="00CB7D1C"/>
    <w:rsid w:val="00CC01B1"/>
    <w:rsid w:val="00CC077E"/>
    <w:rsid w:val="00CC1DD6"/>
    <w:rsid w:val="00CC7866"/>
    <w:rsid w:val="00CD3E2F"/>
    <w:rsid w:val="00CD4976"/>
    <w:rsid w:val="00CD49CC"/>
    <w:rsid w:val="00CD6101"/>
    <w:rsid w:val="00CD6C63"/>
    <w:rsid w:val="00CD740C"/>
    <w:rsid w:val="00CE045A"/>
    <w:rsid w:val="00CE0D97"/>
    <w:rsid w:val="00CE4B65"/>
    <w:rsid w:val="00CF0E89"/>
    <w:rsid w:val="00CF2119"/>
    <w:rsid w:val="00CF23EB"/>
    <w:rsid w:val="00CF2AE2"/>
    <w:rsid w:val="00CF35AD"/>
    <w:rsid w:val="00CF37B2"/>
    <w:rsid w:val="00CF462B"/>
    <w:rsid w:val="00CF5468"/>
    <w:rsid w:val="00CF55FC"/>
    <w:rsid w:val="00CF6275"/>
    <w:rsid w:val="00CF6C59"/>
    <w:rsid w:val="00D00047"/>
    <w:rsid w:val="00D0269E"/>
    <w:rsid w:val="00D03877"/>
    <w:rsid w:val="00D0736A"/>
    <w:rsid w:val="00D11E00"/>
    <w:rsid w:val="00D120C4"/>
    <w:rsid w:val="00D123D2"/>
    <w:rsid w:val="00D14573"/>
    <w:rsid w:val="00D14B28"/>
    <w:rsid w:val="00D14C85"/>
    <w:rsid w:val="00D14CA3"/>
    <w:rsid w:val="00D154A7"/>
    <w:rsid w:val="00D15B68"/>
    <w:rsid w:val="00D165C6"/>
    <w:rsid w:val="00D16745"/>
    <w:rsid w:val="00D21AE4"/>
    <w:rsid w:val="00D22CCD"/>
    <w:rsid w:val="00D269AE"/>
    <w:rsid w:val="00D350FE"/>
    <w:rsid w:val="00D3745D"/>
    <w:rsid w:val="00D424F3"/>
    <w:rsid w:val="00D44B03"/>
    <w:rsid w:val="00D44EBD"/>
    <w:rsid w:val="00D45822"/>
    <w:rsid w:val="00D51A14"/>
    <w:rsid w:val="00D51DF4"/>
    <w:rsid w:val="00D526B3"/>
    <w:rsid w:val="00D61673"/>
    <w:rsid w:val="00D61CAC"/>
    <w:rsid w:val="00D6709D"/>
    <w:rsid w:val="00D673E6"/>
    <w:rsid w:val="00D709C5"/>
    <w:rsid w:val="00D724FD"/>
    <w:rsid w:val="00D73BD1"/>
    <w:rsid w:val="00D73D02"/>
    <w:rsid w:val="00D74F59"/>
    <w:rsid w:val="00D75228"/>
    <w:rsid w:val="00D75998"/>
    <w:rsid w:val="00D7599F"/>
    <w:rsid w:val="00D75A40"/>
    <w:rsid w:val="00D75AFA"/>
    <w:rsid w:val="00D77870"/>
    <w:rsid w:val="00D80C38"/>
    <w:rsid w:val="00D81D97"/>
    <w:rsid w:val="00D83E78"/>
    <w:rsid w:val="00D85266"/>
    <w:rsid w:val="00D9114F"/>
    <w:rsid w:val="00D9226D"/>
    <w:rsid w:val="00D942F2"/>
    <w:rsid w:val="00D9490C"/>
    <w:rsid w:val="00D96103"/>
    <w:rsid w:val="00D96B0C"/>
    <w:rsid w:val="00D96D4B"/>
    <w:rsid w:val="00DA0B40"/>
    <w:rsid w:val="00DA1A85"/>
    <w:rsid w:val="00DA5CCF"/>
    <w:rsid w:val="00DA6717"/>
    <w:rsid w:val="00DB0D2C"/>
    <w:rsid w:val="00DB3435"/>
    <w:rsid w:val="00DB3C03"/>
    <w:rsid w:val="00DB6245"/>
    <w:rsid w:val="00DB633A"/>
    <w:rsid w:val="00DC132D"/>
    <w:rsid w:val="00DC259A"/>
    <w:rsid w:val="00DC4361"/>
    <w:rsid w:val="00DC4864"/>
    <w:rsid w:val="00DC569D"/>
    <w:rsid w:val="00DC69CA"/>
    <w:rsid w:val="00DD6F2F"/>
    <w:rsid w:val="00DE04BA"/>
    <w:rsid w:val="00DE13FC"/>
    <w:rsid w:val="00DE7582"/>
    <w:rsid w:val="00DE7D39"/>
    <w:rsid w:val="00DF24AD"/>
    <w:rsid w:val="00DF276A"/>
    <w:rsid w:val="00DF2A4D"/>
    <w:rsid w:val="00DF2F2B"/>
    <w:rsid w:val="00DF5E22"/>
    <w:rsid w:val="00E0284D"/>
    <w:rsid w:val="00E078FA"/>
    <w:rsid w:val="00E07B19"/>
    <w:rsid w:val="00E16BC0"/>
    <w:rsid w:val="00E16DEF"/>
    <w:rsid w:val="00E216E6"/>
    <w:rsid w:val="00E2685F"/>
    <w:rsid w:val="00E274E8"/>
    <w:rsid w:val="00E323A2"/>
    <w:rsid w:val="00E337C8"/>
    <w:rsid w:val="00E33AFD"/>
    <w:rsid w:val="00E34E33"/>
    <w:rsid w:val="00E35E48"/>
    <w:rsid w:val="00E36930"/>
    <w:rsid w:val="00E36E6D"/>
    <w:rsid w:val="00E37399"/>
    <w:rsid w:val="00E40FA2"/>
    <w:rsid w:val="00E42D75"/>
    <w:rsid w:val="00E47C18"/>
    <w:rsid w:val="00E47D50"/>
    <w:rsid w:val="00E50806"/>
    <w:rsid w:val="00E5222B"/>
    <w:rsid w:val="00E54075"/>
    <w:rsid w:val="00E55A88"/>
    <w:rsid w:val="00E60829"/>
    <w:rsid w:val="00E6665B"/>
    <w:rsid w:val="00E7321C"/>
    <w:rsid w:val="00E7326D"/>
    <w:rsid w:val="00E7571A"/>
    <w:rsid w:val="00E77161"/>
    <w:rsid w:val="00E8307E"/>
    <w:rsid w:val="00E86716"/>
    <w:rsid w:val="00E8688C"/>
    <w:rsid w:val="00E92854"/>
    <w:rsid w:val="00E954CD"/>
    <w:rsid w:val="00E96099"/>
    <w:rsid w:val="00EA27D6"/>
    <w:rsid w:val="00EA569B"/>
    <w:rsid w:val="00EA636E"/>
    <w:rsid w:val="00EA7044"/>
    <w:rsid w:val="00EB1668"/>
    <w:rsid w:val="00EB35FB"/>
    <w:rsid w:val="00EB3D2A"/>
    <w:rsid w:val="00EB4574"/>
    <w:rsid w:val="00EB46DF"/>
    <w:rsid w:val="00EC1300"/>
    <w:rsid w:val="00EC17C5"/>
    <w:rsid w:val="00EC3C71"/>
    <w:rsid w:val="00EC4B42"/>
    <w:rsid w:val="00EC523A"/>
    <w:rsid w:val="00EC54BB"/>
    <w:rsid w:val="00EC796A"/>
    <w:rsid w:val="00ED00EA"/>
    <w:rsid w:val="00ED3821"/>
    <w:rsid w:val="00EE1EFA"/>
    <w:rsid w:val="00EE36AA"/>
    <w:rsid w:val="00EE65D1"/>
    <w:rsid w:val="00EF0A2C"/>
    <w:rsid w:val="00EF22E1"/>
    <w:rsid w:val="00EF5AD8"/>
    <w:rsid w:val="00EF62E9"/>
    <w:rsid w:val="00EF6C19"/>
    <w:rsid w:val="00F00014"/>
    <w:rsid w:val="00F0038B"/>
    <w:rsid w:val="00F01724"/>
    <w:rsid w:val="00F04A43"/>
    <w:rsid w:val="00F0514B"/>
    <w:rsid w:val="00F07711"/>
    <w:rsid w:val="00F12EBE"/>
    <w:rsid w:val="00F134FA"/>
    <w:rsid w:val="00F14932"/>
    <w:rsid w:val="00F16B94"/>
    <w:rsid w:val="00F23841"/>
    <w:rsid w:val="00F26F17"/>
    <w:rsid w:val="00F276A5"/>
    <w:rsid w:val="00F3006B"/>
    <w:rsid w:val="00F301A4"/>
    <w:rsid w:val="00F32667"/>
    <w:rsid w:val="00F33AF8"/>
    <w:rsid w:val="00F3510B"/>
    <w:rsid w:val="00F40384"/>
    <w:rsid w:val="00F40B85"/>
    <w:rsid w:val="00F43218"/>
    <w:rsid w:val="00F442A2"/>
    <w:rsid w:val="00F45469"/>
    <w:rsid w:val="00F457E9"/>
    <w:rsid w:val="00F47426"/>
    <w:rsid w:val="00F475AC"/>
    <w:rsid w:val="00F50E6C"/>
    <w:rsid w:val="00F52694"/>
    <w:rsid w:val="00F56D14"/>
    <w:rsid w:val="00F5784C"/>
    <w:rsid w:val="00F62849"/>
    <w:rsid w:val="00F62C6D"/>
    <w:rsid w:val="00F62EE3"/>
    <w:rsid w:val="00F67CFD"/>
    <w:rsid w:val="00F71D35"/>
    <w:rsid w:val="00F743AC"/>
    <w:rsid w:val="00F757BE"/>
    <w:rsid w:val="00F75DEB"/>
    <w:rsid w:val="00F7617D"/>
    <w:rsid w:val="00F77000"/>
    <w:rsid w:val="00F80DF9"/>
    <w:rsid w:val="00F83A3B"/>
    <w:rsid w:val="00F83CC3"/>
    <w:rsid w:val="00F855D9"/>
    <w:rsid w:val="00F87A60"/>
    <w:rsid w:val="00F87A6F"/>
    <w:rsid w:val="00F87E04"/>
    <w:rsid w:val="00F92F8D"/>
    <w:rsid w:val="00F93EB8"/>
    <w:rsid w:val="00F946A7"/>
    <w:rsid w:val="00F94865"/>
    <w:rsid w:val="00F951AB"/>
    <w:rsid w:val="00F953C0"/>
    <w:rsid w:val="00F96008"/>
    <w:rsid w:val="00F9703E"/>
    <w:rsid w:val="00FA095B"/>
    <w:rsid w:val="00FA1329"/>
    <w:rsid w:val="00FA2E95"/>
    <w:rsid w:val="00FA3440"/>
    <w:rsid w:val="00FA5747"/>
    <w:rsid w:val="00FB06CE"/>
    <w:rsid w:val="00FB11B4"/>
    <w:rsid w:val="00FB18F7"/>
    <w:rsid w:val="00FB1957"/>
    <w:rsid w:val="00FB617C"/>
    <w:rsid w:val="00FB6F67"/>
    <w:rsid w:val="00FB7F11"/>
    <w:rsid w:val="00FC1648"/>
    <w:rsid w:val="00FC2512"/>
    <w:rsid w:val="00FC34BF"/>
    <w:rsid w:val="00FC5AFE"/>
    <w:rsid w:val="00FC7244"/>
    <w:rsid w:val="00FC7762"/>
    <w:rsid w:val="00FC7E68"/>
    <w:rsid w:val="00FD12EE"/>
    <w:rsid w:val="00FD685E"/>
    <w:rsid w:val="00FE46E8"/>
    <w:rsid w:val="00FE521F"/>
    <w:rsid w:val="00FE6519"/>
    <w:rsid w:val="00FF01EE"/>
    <w:rsid w:val="00FF0752"/>
    <w:rsid w:val="00FF1A81"/>
    <w:rsid w:val="00FF3819"/>
    <w:rsid w:val="00FF3B09"/>
    <w:rsid w:val="00FF3E4F"/>
    <w:rsid w:val="00FF5387"/>
    <w:rsid w:val="00FF6667"/>
    <w:rsid w:val="07BC58CC"/>
    <w:rsid w:val="0E92D469"/>
    <w:rsid w:val="0F97E9D6"/>
    <w:rsid w:val="168C8E1D"/>
    <w:rsid w:val="1748FFC4"/>
    <w:rsid w:val="1A64C88A"/>
    <w:rsid w:val="1DBB2A1B"/>
    <w:rsid w:val="1F5AAE64"/>
    <w:rsid w:val="21C28919"/>
    <w:rsid w:val="225057A3"/>
    <w:rsid w:val="2621AEA1"/>
    <w:rsid w:val="2894AD0B"/>
    <w:rsid w:val="3729B5D4"/>
    <w:rsid w:val="3DE6527F"/>
    <w:rsid w:val="4A44466D"/>
    <w:rsid w:val="4D8EC0AF"/>
    <w:rsid w:val="50A2DBC3"/>
    <w:rsid w:val="5712D7B7"/>
    <w:rsid w:val="5CF7B9E6"/>
    <w:rsid w:val="64DA74D5"/>
    <w:rsid w:val="6588F217"/>
    <w:rsid w:val="666AB1B1"/>
    <w:rsid w:val="6AC27970"/>
    <w:rsid w:val="6BE6CFC2"/>
    <w:rsid w:val="6E4A96CA"/>
    <w:rsid w:val="7890E3B2"/>
    <w:rsid w:val="7B72FAF4"/>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170B3"/>
  <w15:chartTrackingRefBased/>
  <w15:docId w15:val="{EABF4B7A-611D-4752-80B8-50524FB81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1E8C"/>
    <w:rPr>
      <w:noProof/>
      <w:sz w:val="20"/>
    </w:rPr>
  </w:style>
  <w:style w:type="paragraph" w:styleId="Heading1">
    <w:name w:val="heading 1"/>
    <w:basedOn w:val="Normal"/>
    <w:next w:val="Normal"/>
    <w:link w:val="Heading1Char"/>
    <w:uiPriority w:val="9"/>
    <w:qFormat/>
    <w:rsid w:val="003130F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6322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ECF"/>
    <w:rPr>
      <w:color w:val="0000FF"/>
      <w:u w:val="single"/>
    </w:rPr>
  </w:style>
  <w:style w:type="paragraph" w:customStyle="1" w:styleId="IOPTitle">
    <w:name w:val="IOPTitle"/>
    <w:basedOn w:val="Normal"/>
    <w:link w:val="IOPTitleChar"/>
    <w:qFormat/>
    <w:rsid w:val="009A4ECF"/>
    <w:pPr>
      <w:spacing w:after="520"/>
    </w:pPr>
    <w:rPr>
      <w:rFonts w:ascii="Calibri" w:eastAsia="Calibri" w:hAnsi="Calibri" w:cs="Times New Roman"/>
      <w:b/>
      <w:kern w:val="0"/>
      <w:sz w:val="48"/>
      <w:szCs w:val="48"/>
      <w14:ligatures w14:val="none"/>
    </w:rPr>
  </w:style>
  <w:style w:type="character" w:customStyle="1" w:styleId="IOPTitleChar">
    <w:name w:val="IOPTitle Char"/>
    <w:link w:val="IOPTitle"/>
    <w:rsid w:val="009A4ECF"/>
    <w:rPr>
      <w:rFonts w:ascii="Calibri" w:eastAsia="Calibri" w:hAnsi="Calibri" w:cs="Times New Roman"/>
      <w:b/>
      <w:noProof/>
      <w:kern w:val="0"/>
      <w:sz w:val="48"/>
      <w:szCs w:val="48"/>
      <w14:ligatures w14:val="none"/>
    </w:rPr>
  </w:style>
  <w:style w:type="paragraph" w:styleId="ListParagraph">
    <w:name w:val="List Paragraph"/>
    <w:basedOn w:val="Normal"/>
    <w:uiPriority w:val="34"/>
    <w:qFormat/>
    <w:rsid w:val="001335E3"/>
    <w:pPr>
      <w:ind w:left="720"/>
      <w:contextualSpacing/>
    </w:pPr>
  </w:style>
  <w:style w:type="paragraph" w:styleId="Revision">
    <w:name w:val="Revision"/>
    <w:hidden/>
    <w:uiPriority w:val="99"/>
    <w:semiHidden/>
    <w:rsid w:val="008C6F9F"/>
    <w:pPr>
      <w:spacing w:after="0" w:line="240" w:lineRule="auto"/>
    </w:pPr>
    <w:rPr>
      <w:noProof/>
      <w:sz w:val="20"/>
    </w:rPr>
  </w:style>
  <w:style w:type="character" w:customStyle="1" w:styleId="Heading1Char">
    <w:name w:val="Heading 1 Char"/>
    <w:basedOn w:val="DefaultParagraphFont"/>
    <w:link w:val="Heading1"/>
    <w:uiPriority w:val="9"/>
    <w:rsid w:val="003130F3"/>
    <w:rPr>
      <w:rFonts w:asciiTheme="majorHAnsi" w:eastAsiaTheme="majorEastAsia" w:hAnsiTheme="majorHAnsi" w:cstheme="majorBidi"/>
      <w:noProof/>
      <w:color w:val="2F5496" w:themeColor="accent1" w:themeShade="BF"/>
      <w:sz w:val="32"/>
      <w:szCs w:val="32"/>
    </w:rPr>
  </w:style>
  <w:style w:type="character" w:styleId="LineNumber">
    <w:name w:val="line number"/>
    <w:basedOn w:val="DefaultParagraphFont"/>
    <w:uiPriority w:val="99"/>
    <w:semiHidden/>
    <w:unhideWhenUsed/>
    <w:rsid w:val="003130F3"/>
  </w:style>
  <w:style w:type="character" w:styleId="UnresolvedMention">
    <w:name w:val="Unresolved Mention"/>
    <w:basedOn w:val="DefaultParagraphFont"/>
    <w:uiPriority w:val="99"/>
    <w:semiHidden/>
    <w:unhideWhenUsed/>
    <w:rsid w:val="004817B2"/>
    <w:rPr>
      <w:color w:val="605E5C"/>
      <w:shd w:val="clear" w:color="auto" w:fill="E1DFDD"/>
    </w:rPr>
  </w:style>
  <w:style w:type="paragraph" w:customStyle="1" w:styleId="IOPH1">
    <w:name w:val="IOPH1"/>
    <w:basedOn w:val="Heading1"/>
    <w:next w:val="Heading1"/>
    <w:link w:val="IOPH1Char"/>
    <w:qFormat/>
    <w:rsid w:val="00327C0B"/>
    <w:pPr>
      <w:spacing w:before="200" w:after="120"/>
    </w:pPr>
    <w:rPr>
      <w:rFonts w:ascii="Calibri" w:eastAsia="Calibri" w:hAnsi="Calibri" w:cs="Times New Roman"/>
      <w:b/>
      <w:noProof w:val="0"/>
      <w:color w:val="auto"/>
      <w:kern w:val="0"/>
      <w:sz w:val="22"/>
      <w:szCs w:val="18"/>
      <w14:ligatures w14:val="none"/>
    </w:rPr>
  </w:style>
  <w:style w:type="character" w:customStyle="1" w:styleId="IOPH1Char">
    <w:name w:val="IOPH1 Char"/>
    <w:link w:val="IOPH1"/>
    <w:rsid w:val="00327C0B"/>
    <w:rPr>
      <w:rFonts w:ascii="Calibri" w:eastAsia="Calibri" w:hAnsi="Calibri" w:cs="Times New Roman"/>
      <w:b/>
      <w:kern w:val="0"/>
      <w:szCs w:val="18"/>
      <w14:ligatures w14:val="none"/>
    </w:rPr>
  </w:style>
  <w:style w:type="paragraph" w:customStyle="1" w:styleId="IOPH2">
    <w:name w:val="IOPH2"/>
    <w:basedOn w:val="Heading2"/>
    <w:next w:val="Heading2"/>
    <w:link w:val="IOPH2Char"/>
    <w:qFormat/>
    <w:rsid w:val="0096322B"/>
    <w:rPr>
      <w:b/>
      <w:i/>
      <w:noProof w:val="0"/>
      <w:color w:val="auto"/>
      <w:sz w:val="22"/>
    </w:rPr>
  </w:style>
  <w:style w:type="character" w:customStyle="1" w:styleId="IOPH2Char">
    <w:name w:val="IOPH2 Char"/>
    <w:link w:val="IOPH2"/>
    <w:rsid w:val="0096322B"/>
    <w:rPr>
      <w:rFonts w:asciiTheme="majorHAnsi" w:eastAsiaTheme="majorEastAsia" w:hAnsiTheme="majorHAnsi" w:cstheme="majorBidi"/>
      <w:b/>
      <w:i/>
      <w:szCs w:val="26"/>
    </w:rPr>
  </w:style>
  <w:style w:type="character" w:customStyle="1" w:styleId="Heading2Char">
    <w:name w:val="Heading 2 Char"/>
    <w:basedOn w:val="DefaultParagraphFont"/>
    <w:link w:val="Heading2"/>
    <w:uiPriority w:val="9"/>
    <w:semiHidden/>
    <w:rsid w:val="0096322B"/>
    <w:rPr>
      <w:rFonts w:asciiTheme="majorHAnsi" w:eastAsiaTheme="majorEastAsia" w:hAnsiTheme="majorHAnsi" w:cstheme="majorBidi"/>
      <w:noProof/>
      <w:color w:val="2F5496" w:themeColor="accent1" w:themeShade="BF"/>
      <w:sz w:val="26"/>
      <w:szCs w:val="26"/>
    </w:rPr>
  </w:style>
  <w:style w:type="paragraph" w:customStyle="1" w:styleId="IOPH3">
    <w:name w:val="IOPH3"/>
    <w:basedOn w:val="Normal"/>
    <w:link w:val="IOPH3Char"/>
    <w:qFormat/>
    <w:rsid w:val="0015341A"/>
    <w:pPr>
      <w:keepNext/>
      <w:keepLines/>
      <w:spacing w:before="40" w:after="0"/>
      <w:outlineLvl w:val="1"/>
    </w:pPr>
    <w:rPr>
      <w:rFonts w:asciiTheme="majorHAnsi" w:eastAsiaTheme="majorEastAsia" w:hAnsiTheme="majorHAnsi" w:cstheme="majorBidi"/>
      <w:b/>
      <w:i/>
      <w:noProof w:val="0"/>
      <w:szCs w:val="26"/>
    </w:rPr>
  </w:style>
  <w:style w:type="character" w:customStyle="1" w:styleId="IOPH3Char">
    <w:name w:val="IOPH3 Char"/>
    <w:link w:val="IOPH3"/>
    <w:rsid w:val="0015341A"/>
    <w:rPr>
      <w:rFonts w:asciiTheme="majorHAnsi" w:eastAsiaTheme="majorEastAsia" w:hAnsiTheme="majorHAnsi" w:cstheme="majorBidi"/>
      <w:b/>
      <w:i/>
      <w:sz w:val="20"/>
      <w:szCs w:val="26"/>
    </w:rPr>
  </w:style>
  <w:style w:type="character" w:styleId="PlaceholderText">
    <w:name w:val="Placeholder Text"/>
    <w:basedOn w:val="DefaultParagraphFont"/>
    <w:uiPriority w:val="99"/>
    <w:semiHidden/>
    <w:rsid w:val="009652C3"/>
    <w:rPr>
      <w:color w:val="808080"/>
    </w:rPr>
  </w:style>
  <w:style w:type="table" w:styleId="TableGrid">
    <w:name w:val="Table Grid"/>
    <w:basedOn w:val="TableNormal"/>
    <w:uiPriority w:val="39"/>
    <w:rsid w:val="00545F21"/>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448E7"/>
    <w:rPr>
      <w:sz w:val="16"/>
      <w:szCs w:val="16"/>
    </w:rPr>
  </w:style>
  <w:style w:type="paragraph" w:styleId="CommentText">
    <w:name w:val="annotation text"/>
    <w:basedOn w:val="Normal"/>
    <w:link w:val="CommentTextChar"/>
    <w:uiPriority w:val="99"/>
    <w:unhideWhenUsed/>
    <w:rsid w:val="006448E7"/>
    <w:pPr>
      <w:spacing w:line="240" w:lineRule="auto"/>
    </w:pPr>
    <w:rPr>
      <w:noProof w:val="0"/>
      <w:szCs w:val="20"/>
    </w:rPr>
  </w:style>
  <w:style w:type="character" w:customStyle="1" w:styleId="CommentTextChar">
    <w:name w:val="Comment Text Char"/>
    <w:basedOn w:val="DefaultParagraphFont"/>
    <w:link w:val="CommentText"/>
    <w:uiPriority w:val="99"/>
    <w:rsid w:val="006448E7"/>
    <w:rPr>
      <w:sz w:val="20"/>
      <w:szCs w:val="20"/>
    </w:rPr>
  </w:style>
  <w:style w:type="paragraph" w:styleId="CommentSubject">
    <w:name w:val="annotation subject"/>
    <w:basedOn w:val="CommentText"/>
    <w:next w:val="CommentText"/>
    <w:link w:val="CommentSubjectChar"/>
    <w:uiPriority w:val="99"/>
    <w:semiHidden/>
    <w:unhideWhenUsed/>
    <w:rsid w:val="007D0D42"/>
    <w:rPr>
      <w:b/>
      <w:bCs/>
      <w:noProof/>
    </w:rPr>
  </w:style>
  <w:style w:type="character" w:customStyle="1" w:styleId="CommentSubjectChar">
    <w:name w:val="Comment Subject Char"/>
    <w:basedOn w:val="CommentTextChar"/>
    <w:link w:val="CommentSubject"/>
    <w:uiPriority w:val="99"/>
    <w:semiHidden/>
    <w:rsid w:val="007D0D42"/>
    <w:rPr>
      <w:b/>
      <w:bCs/>
      <w:noProof/>
      <w:sz w:val="20"/>
      <w:szCs w:val="20"/>
    </w:rPr>
  </w:style>
  <w:style w:type="table" w:styleId="GridTable1Light">
    <w:name w:val="Grid Table 1 Light"/>
    <w:basedOn w:val="TableNormal"/>
    <w:uiPriority w:val="46"/>
    <w:rsid w:val="008519C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90036">
      <w:bodyDiv w:val="1"/>
      <w:marLeft w:val="0"/>
      <w:marRight w:val="0"/>
      <w:marTop w:val="0"/>
      <w:marBottom w:val="0"/>
      <w:divBdr>
        <w:top w:val="none" w:sz="0" w:space="0" w:color="auto"/>
        <w:left w:val="none" w:sz="0" w:space="0" w:color="auto"/>
        <w:bottom w:val="none" w:sz="0" w:space="0" w:color="auto"/>
        <w:right w:val="none" w:sz="0" w:space="0" w:color="auto"/>
      </w:divBdr>
    </w:div>
    <w:div w:id="165285851">
      <w:bodyDiv w:val="1"/>
      <w:marLeft w:val="0"/>
      <w:marRight w:val="0"/>
      <w:marTop w:val="0"/>
      <w:marBottom w:val="0"/>
      <w:divBdr>
        <w:top w:val="none" w:sz="0" w:space="0" w:color="auto"/>
        <w:left w:val="none" w:sz="0" w:space="0" w:color="auto"/>
        <w:bottom w:val="none" w:sz="0" w:space="0" w:color="auto"/>
        <w:right w:val="none" w:sz="0" w:space="0" w:color="auto"/>
      </w:divBdr>
    </w:div>
    <w:div w:id="193277576">
      <w:bodyDiv w:val="1"/>
      <w:marLeft w:val="0"/>
      <w:marRight w:val="0"/>
      <w:marTop w:val="0"/>
      <w:marBottom w:val="0"/>
      <w:divBdr>
        <w:top w:val="none" w:sz="0" w:space="0" w:color="auto"/>
        <w:left w:val="none" w:sz="0" w:space="0" w:color="auto"/>
        <w:bottom w:val="none" w:sz="0" w:space="0" w:color="auto"/>
        <w:right w:val="none" w:sz="0" w:space="0" w:color="auto"/>
      </w:divBdr>
    </w:div>
    <w:div w:id="256642294">
      <w:bodyDiv w:val="1"/>
      <w:marLeft w:val="0"/>
      <w:marRight w:val="0"/>
      <w:marTop w:val="0"/>
      <w:marBottom w:val="0"/>
      <w:divBdr>
        <w:top w:val="none" w:sz="0" w:space="0" w:color="auto"/>
        <w:left w:val="none" w:sz="0" w:space="0" w:color="auto"/>
        <w:bottom w:val="none" w:sz="0" w:space="0" w:color="auto"/>
        <w:right w:val="none" w:sz="0" w:space="0" w:color="auto"/>
      </w:divBdr>
    </w:div>
    <w:div w:id="338509742">
      <w:bodyDiv w:val="1"/>
      <w:marLeft w:val="0"/>
      <w:marRight w:val="0"/>
      <w:marTop w:val="0"/>
      <w:marBottom w:val="0"/>
      <w:divBdr>
        <w:top w:val="none" w:sz="0" w:space="0" w:color="auto"/>
        <w:left w:val="none" w:sz="0" w:space="0" w:color="auto"/>
        <w:bottom w:val="none" w:sz="0" w:space="0" w:color="auto"/>
        <w:right w:val="none" w:sz="0" w:space="0" w:color="auto"/>
      </w:divBdr>
    </w:div>
    <w:div w:id="343437961">
      <w:bodyDiv w:val="1"/>
      <w:marLeft w:val="0"/>
      <w:marRight w:val="0"/>
      <w:marTop w:val="0"/>
      <w:marBottom w:val="0"/>
      <w:divBdr>
        <w:top w:val="none" w:sz="0" w:space="0" w:color="auto"/>
        <w:left w:val="none" w:sz="0" w:space="0" w:color="auto"/>
        <w:bottom w:val="none" w:sz="0" w:space="0" w:color="auto"/>
        <w:right w:val="none" w:sz="0" w:space="0" w:color="auto"/>
      </w:divBdr>
    </w:div>
    <w:div w:id="385180537">
      <w:bodyDiv w:val="1"/>
      <w:marLeft w:val="0"/>
      <w:marRight w:val="0"/>
      <w:marTop w:val="0"/>
      <w:marBottom w:val="0"/>
      <w:divBdr>
        <w:top w:val="none" w:sz="0" w:space="0" w:color="auto"/>
        <w:left w:val="none" w:sz="0" w:space="0" w:color="auto"/>
        <w:bottom w:val="none" w:sz="0" w:space="0" w:color="auto"/>
        <w:right w:val="none" w:sz="0" w:space="0" w:color="auto"/>
      </w:divBdr>
      <w:divsChild>
        <w:div w:id="505630774">
          <w:marLeft w:val="480"/>
          <w:marRight w:val="0"/>
          <w:marTop w:val="0"/>
          <w:marBottom w:val="0"/>
          <w:divBdr>
            <w:top w:val="none" w:sz="0" w:space="0" w:color="auto"/>
            <w:left w:val="none" w:sz="0" w:space="0" w:color="auto"/>
            <w:bottom w:val="none" w:sz="0" w:space="0" w:color="auto"/>
            <w:right w:val="none" w:sz="0" w:space="0" w:color="auto"/>
          </w:divBdr>
        </w:div>
        <w:div w:id="1487480578">
          <w:marLeft w:val="480"/>
          <w:marRight w:val="0"/>
          <w:marTop w:val="0"/>
          <w:marBottom w:val="0"/>
          <w:divBdr>
            <w:top w:val="none" w:sz="0" w:space="0" w:color="auto"/>
            <w:left w:val="none" w:sz="0" w:space="0" w:color="auto"/>
            <w:bottom w:val="none" w:sz="0" w:space="0" w:color="auto"/>
            <w:right w:val="none" w:sz="0" w:space="0" w:color="auto"/>
          </w:divBdr>
        </w:div>
        <w:div w:id="2127503410">
          <w:marLeft w:val="480"/>
          <w:marRight w:val="0"/>
          <w:marTop w:val="0"/>
          <w:marBottom w:val="0"/>
          <w:divBdr>
            <w:top w:val="none" w:sz="0" w:space="0" w:color="auto"/>
            <w:left w:val="none" w:sz="0" w:space="0" w:color="auto"/>
            <w:bottom w:val="none" w:sz="0" w:space="0" w:color="auto"/>
            <w:right w:val="none" w:sz="0" w:space="0" w:color="auto"/>
          </w:divBdr>
        </w:div>
        <w:div w:id="1068574503">
          <w:marLeft w:val="480"/>
          <w:marRight w:val="0"/>
          <w:marTop w:val="0"/>
          <w:marBottom w:val="0"/>
          <w:divBdr>
            <w:top w:val="none" w:sz="0" w:space="0" w:color="auto"/>
            <w:left w:val="none" w:sz="0" w:space="0" w:color="auto"/>
            <w:bottom w:val="none" w:sz="0" w:space="0" w:color="auto"/>
            <w:right w:val="none" w:sz="0" w:space="0" w:color="auto"/>
          </w:divBdr>
        </w:div>
        <w:div w:id="408432024">
          <w:marLeft w:val="480"/>
          <w:marRight w:val="0"/>
          <w:marTop w:val="0"/>
          <w:marBottom w:val="0"/>
          <w:divBdr>
            <w:top w:val="none" w:sz="0" w:space="0" w:color="auto"/>
            <w:left w:val="none" w:sz="0" w:space="0" w:color="auto"/>
            <w:bottom w:val="none" w:sz="0" w:space="0" w:color="auto"/>
            <w:right w:val="none" w:sz="0" w:space="0" w:color="auto"/>
          </w:divBdr>
        </w:div>
        <w:div w:id="894200612">
          <w:marLeft w:val="480"/>
          <w:marRight w:val="0"/>
          <w:marTop w:val="0"/>
          <w:marBottom w:val="0"/>
          <w:divBdr>
            <w:top w:val="none" w:sz="0" w:space="0" w:color="auto"/>
            <w:left w:val="none" w:sz="0" w:space="0" w:color="auto"/>
            <w:bottom w:val="none" w:sz="0" w:space="0" w:color="auto"/>
            <w:right w:val="none" w:sz="0" w:space="0" w:color="auto"/>
          </w:divBdr>
        </w:div>
        <w:div w:id="2048672879">
          <w:marLeft w:val="480"/>
          <w:marRight w:val="0"/>
          <w:marTop w:val="0"/>
          <w:marBottom w:val="0"/>
          <w:divBdr>
            <w:top w:val="none" w:sz="0" w:space="0" w:color="auto"/>
            <w:left w:val="none" w:sz="0" w:space="0" w:color="auto"/>
            <w:bottom w:val="none" w:sz="0" w:space="0" w:color="auto"/>
            <w:right w:val="none" w:sz="0" w:space="0" w:color="auto"/>
          </w:divBdr>
        </w:div>
        <w:div w:id="2056080479">
          <w:marLeft w:val="480"/>
          <w:marRight w:val="0"/>
          <w:marTop w:val="0"/>
          <w:marBottom w:val="0"/>
          <w:divBdr>
            <w:top w:val="none" w:sz="0" w:space="0" w:color="auto"/>
            <w:left w:val="none" w:sz="0" w:space="0" w:color="auto"/>
            <w:bottom w:val="none" w:sz="0" w:space="0" w:color="auto"/>
            <w:right w:val="none" w:sz="0" w:space="0" w:color="auto"/>
          </w:divBdr>
        </w:div>
        <w:div w:id="2071343585">
          <w:marLeft w:val="480"/>
          <w:marRight w:val="0"/>
          <w:marTop w:val="0"/>
          <w:marBottom w:val="0"/>
          <w:divBdr>
            <w:top w:val="none" w:sz="0" w:space="0" w:color="auto"/>
            <w:left w:val="none" w:sz="0" w:space="0" w:color="auto"/>
            <w:bottom w:val="none" w:sz="0" w:space="0" w:color="auto"/>
            <w:right w:val="none" w:sz="0" w:space="0" w:color="auto"/>
          </w:divBdr>
        </w:div>
        <w:div w:id="267935228">
          <w:marLeft w:val="480"/>
          <w:marRight w:val="0"/>
          <w:marTop w:val="0"/>
          <w:marBottom w:val="0"/>
          <w:divBdr>
            <w:top w:val="none" w:sz="0" w:space="0" w:color="auto"/>
            <w:left w:val="none" w:sz="0" w:space="0" w:color="auto"/>
            <w:bottom w:val="none" w:sz="0" w:space="0" w:color="auto"/>
            <w:right w:val="none" w:sz="0" w:space="0" w:color="auto"/>
          </w:divBdr>
        </w:div>
        <w:div w:id="787510764">
          <w:marLeft w:val="480"/>
          <w:marRight w:val="0"/>
          <w:marTop w:val="0"/>
          <w:marBottom w:val="0"/>
          <w:divBdr>
            <w:top w:val="none" w:sz="0" w:space="0" w:color="auto"/>
            <w:left w:val="none" w:sz="0" w:space="0" w:color="auto"/>
            <w:bottom w:val="none" w:sz="0" w:space="0" w:color="auto"/>
            <w:right w:val="none" w:sz="0" w:space="0" w:color="auto"/>
          </w:divBdr>
        </w:div>
        <w:div w:id="202119">
          <w:marLeft w:val="480"/>
          <w:marRight w:val="0"/>
          <w:marTop w:val="0"/>
          <w:marBottom w:val="0"/>
          <w:divBdr>
            <w:top w:val="none" w:sz="0" w:space="0" w:color="auto"/>
            <w:left w:val="none" w:sz="0" w:space="0" w:color="auto"/>
            <w:bottom w:val="none" w:sz="0" w:space="0" w:color="auto"/>
            <w:right w:val="none" w:sz="0" w:space="0" w:color="auto"/>
          </w:divBdr>
        </w:div>
        <w:div w:id="1704749026">
          <w:marLeft w:val="480"/>
          <w:marRight w:val="0"/>
          <w:marTop w:val="0"/>
          <w:marBottom w:val="0"/>
          <w:divBdr>
            <w:top w:val="none" w:sz="0" w:space="0" w:color="auto"/>
            <w:left w:val="none" w:sz="0" w:space="0" w:color="auto"/>
            <w:bottom w:val="none" w:sz="0" w:space="0" w:color="auto"/>
            <w:right w:val="none" w:sz="0" w:space="0" w:color="auto"/>
          </w:divBdr>
        </w:div>
        <w:div w:id="1799448787">
          <w:marLeft w:val="480"/>
          <w:marRight w:val="0"/>
          <w:marTop w:val="0"/>
          <w:marBottom w:val="0"/>
          <w:divBdr>
            <w:top w:val="none" w:sz="0" w:space="0" w:color="auto"/>
            <w:left w:val="none" w:sz="0" w:space="0" w:color="auto"/>
            <w:bottom w:val="none" w:sz="0" w:space="0" w:color="auto"/>
            <w:right w:val="none" w:sz="0" w:space="0" w:color="auto"/>
          </w:divBdr>
        </w:div>
        <w:div w:id="135801871">
          <w:marLeft w:val="480"/>
          <w:marRight w:val="0"/>
          <w:marTop w:val="0"/>
          <w:marBottom w:val="0"/>
          <w:divBdr>
            <w:top w:val="none" w:sz="0" w:space="0" w:color="auto"/>
            <w:left w:val="none" w:sz="0" w:space="0" w:color="auto"/>
            <w:bottom w:val="none" w:sz="0" w:space="0" w:color="auto"/>
            <w:right w:val="none" w:sz="0" w:space="0" w:color="auto"/>
          </w:divBdr>
        </w:div>
        <w:div w:id="1066148832">
          <w:marLeft w:val="480"/>
          <w:marRight w:val="0"/>
          <w:marTop w:val="0"/>
          <w:marBottom w:val="0"/>
          <w:divBdr>
            <w:top w:val="none" w:sz="0" w:space="0" w:color="auto"/>
            <w:left w:val="none" w:sz="0" w:space="0" w:color="auto"/>
            <w:bottom w:val="none" w:sz="0" w:space="0" w:color="auto"/>
            <w:right w:val="none" w:sz="0" w:space="0" w:color="auto"/>
          </w:divBdr>
        </w:div>
        <w:div w:id="1428817631">
          <w:marLeft w:val="480"/>
          <w:marRight w:val="0"/>
          <w:marTop w:val="0"/>
          <w:marBottom w:val="0"/>
          <w:divBdr>
            <w:top w:val="none" w:sz="0" w:space="0" w:color="auto"/>
            <w:left w:val="none" w:sz="0" w:space="0" w:color="auto"/>
            <w:bottom w:val="none" w:sz="0" w:space="0" w:color="auto"/>
            <w:right w:val="none" w:sz="0" w:space="0" w:color="auto"/>
          </w:divBdr>
        </w:div>
        <w:div w:id="302010416">
          <w:marLeft w:val="480"/>
          <w:marRight w:val="0"/>
          <w:marTop w:val="0"/>
          <w:marBottom w:val="0"/>
          <w:divBdr>
            <w:top w:val="none" w:sz="0" w:space="0" w:color="auto"/>
            <w:left w:val="none" w:sz="0" w:space="0" w:color="auto"/>
            <w:bottom w:val="none" w:sz="0" w:space="0" w:color="auto"/>
            <w:right w:val="none" w:sz="0" w:space="0" w:color="auto"/>
          </w:divBdr>
        </w:div>
        <w:div w:id="1455976827">
          <w:marLeft w:val="480"/>
          <w:marRight w:val="0"/>
          <w:marTop w:val="0"/>
          <w:marBottom w:val="0"/>
          <w:divBdr>
            <w:top w:val="none" w:sz="0" w:space="0" w:color="auto"/>
            <w:left w:val="none" w:sz="0" w:space="0" w:color="auto"/>
            <w:bottom w:val="none" w:sz="0" w:space="0" w:color="auto"/>
            <w:right w:val="none" w:sz="0" w:space="0" w:color="auto"/>
          </w:divBdr>
        </w:div>
        <w:div w:id="453795483">
          <w:marLeft w:val="480"/>
          <w:marRight w:val="0"/>
          <w:marTop w:val="0"/>
          <w:marBottom w:val="0"/>
          <w:divBdr>
            <w:top w:val="none" w:sz="0" w:space="0" w:color="auto"/>
            <w:left w:val="none" w:sz="0" w:space="0" w:color="auto"/>
            <w:bottom w:val="none" w:sz="0" w:space="0" w:color="auto"/>
            <w:right w:val="none" w:sz="0" w:space="0" w:color="auto"/>
          </w:divBdr>
        </w:div>
        <w:div w:id="119030360">
          <w:marLeft w:val="480"/>
          <w:marRight w:val="0"/>
          <w:marTop w:val="0"/>
          <w:marBottom w:val="0"/>
          <w:divBdr>
            <w:top w:val="none" w:sz="0" w:space="0" w:color="auto"/>
            <w:left w:val="none" w:sz="0" w:space="0" w:color="auto"/>
            <w:bottom w:val="none" w:sz="0" w:space="0" w:color="auto"/>
            <w:right w:val="none" w:sz="0" w:space="0" w:color="auto"/>
          </w:divBdr>
        </w:div>
        <w:div w:id="956568668">
          <w:marLeft w:val="480"/>
          <w:marRight w:val="0"/>
          <w:marTop w:val="0"/>
          <w:marBottom w:val="0"/>
          <w:divBdr>
            <w:top w:val="none" w:sz="0" w:space="0" w:color="auto"/>
            <w:left w:val="none" w:sz="0" w:space="0" w:color="auto"/>
            <w:bottom w:val="none" w:sz="0" w:space="0" w:color="auto"/>
            <w:right w:val="none" w:sz="0" w:space="0" w:color="auto"/>
          </w:divBdr>
        </w:div>
      </w:divsChild>
    </w:div>
    <w:div w:id="414323404">
      <w:bodyDiv w:val="1"/>
      <w:marLeft w:val="0"/>
      <w:marRight w:val="0"/>
      <w:marTop w:val="0"/>
      <w:marBottom w:val="0"/>
      <w:divBdr>
        <w:top w:val="none" w:sz="0" w:space="0" w:color="auto"/>
        <w:left w:val="none" w:sz="0" w:space="0" w:color="auto"/>
        <w:bottom w:val="none" w:sz="0" w:space="0" w:color="auto"/>
        <w:right w:val="none" w:sz="0" w:space="0" w:color="auto"/>
      </w:divBdr>
      <w:divsChild>
        <w:div w:id="754208681">
          <w:marLeft w:val="0"/>
          <w:marRight w:val="0"/>
          <w:marTop w:val="0"/>
          <w:marBottom w:val="0"/>
          <w:divBdr>
            <w:top w:val="none" w:sz="0" w:space="0" w:color="auto"/>
            <w:left w:val="none" w:sz="0" w:space="0" w:color="auto"/>
            <w:bottom w:val="none" w:sz="0" w:space="0" w:color="auto"/>
            <w:right w:val="none" w:sz="0" w:space="0" w:color="auto"/>
          </w:divBdr>
          <w:divsChild>
            <w:div w:id="86278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242375">
      <w:bodyDiv w:val="1"/>
      <w:marLeft w:val="0"/>
      <w:marRight w:val="0"/>
      <w:marTop w:val="0"/>
      <w:marBottom w:val="0"/>
      <w:divBdr>
        <w:top w:val="none" w:sz="0" w:space="0" w:color="auto"/>
        <w:left w:val="none" w:sz="0" w:space="0" w:color="auto"/>
        <w:bottom w:val="none" w:sz="0" w:space="0" w:color="auto"/>
        <w:right w:val="none" w:sz="0" w:space="0" w:color="auto"/>
      </w:divBdr>
    </w:div>
    <w:div w:id="654648169">
      <w:bodyDiv w:val="1"/>
      <w:marLeft w:val="0"/>
      <w:marRight w:val="0"/>
      <w:marTop w:val="0"/>
      <w:marBottom w:val="0"/>
      <w:divBdr>
        <w:top w:val="none" w:sz="0" w:space="0" w:color="auto"/>
        <w:left w:val="none" w:sz="0" w:space="0" w:color="auto"/>
        <w:bottom w:val="none" w:sz="0" w:space="0" w:color="auto"/>
        <w:right w:val="none" w:sz="0" w:space="0" w:color="auto"/>
      </w:divBdr>
    </w:div>
    <w:div w:id="717515422">
      <w:bodyDiv w:val="1"/>
      <w:marLeft w:val="0"/>
      <w:marRight w:val="0"/>
      <w:marTop w:val="0"/>
      <w:marBottom w:val="0"/>
      <w:divBdr>
        <w:top w:val="none" w:sz="0" w:space="0" w:color="auto"/>
        <w:left w:val="none" w:sz="0" w:space="0" w:color="auto"/>
        <w:bottom w:val="none" w:sz="0" w:space="0" w:color="auto"/>
        <w:right w:val="none" w:sz="0" w:space="0" w:color="auto"/>
      </w:divBdr>
    </w:div>
    <w:div w:id="805507809">
      <w:bodyDiv w:val="1"/>
      <w:marLeft w:val="0"/>
      <w:marRight w:val="0"/>
      <w:marTop w:val="0"/>
      <w:marBottom w:val="0"/>
      <w:divBdr>
        <w:top w:val="none" w:sz="0" w:space="0" w:color="auto"/>
        <w:left w:val="none" w:sz="0" w:space="0" w:color="auto"/>
        <w:bottom w:val="none" w:sz="0" w:space="0" w:color="auto"/>
        <w:right w:val="none" w:sz="0" w:space="0" w:color="auto"/>
      </w:divBdr>
    </w:div>
    <w:div w:id="864636320">
      <w:bodyDiv w:val="1"/>
      <w:marLeft w:val="0"/>
      <w:marRight w:val="0"/>
      <w:marTop w:val="0"/>
      <w:marBottom w:val="0"/>
      <w:divBdr>
        <w:top w:val="none" w:sz="0" w:space="0" w:color="auto"/>
        <w:left w:val="none" w:sz="0" w:space="0" w:color="auto"/>
        <w:bottom w:val="none" w:sz="0" w:space="0" w:color="auto"/>
        <w:right w:val="none" w:sz="0" w:space="0" w:color="auto"/>
      </w:divBdr>
    </w:div>
    <w:div w:id="879054960">
      <w:bodyDiv w:val="1"/>
      <w:marLeft w:val="0"/>
      <w:marRight w:val="0"/>
      <w:marTop w:val="0"/>
      <w:marBottom w:val="0"/>
      <w:divBdr>
        <w:top w:val="none" w:sz="0" w:space="0" w:color="auto"/>
        <w:left w:val="none" w:sz="0" w:space="0" w:color="auto"/>
        <w:bottom w:val="none" w:sz="0" w:space="0" w:color="auto"/>
        <w:right w:val="none" w:sz="0" w:space="0" w:color="auto"/>
      </w:divBdr>
      <w:divsChild>
        <w:div w:id="139275712">
          <w:marLeft w:val="0"/>
          <w:marRight w:val="0"/>
          <w:marTop w:val="0"/>
          <w:marBottom w:val="0"/>
          <w:divBdr>
            <w:top w:val="none" w:sz="0" w:space="0" w:color="auto"/>
            <w:left w:val="none" w:sz="0" w:space="0" w:color="auto"/>
            <w:bottom w:val="none" w:sz="0" w:space="0" w:color="auto"/>
            <w:right w:val="none" w:sz="0" w:space="0" w:color="auto"/>
          </w:divBdr>
          <w:divsChild>
            <w:div w:id="95691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96244">
      <w:bodyDiv w:val="1"/>
      <w:marLeft w:val="0"/>
      <w:marRight w:val="0"/>
      <w:marTop w:val="0"/>
      <w:marBottom w:val="0"/>
      <w:divBdr>
        <w:top w:val="none" w:sz="0" w:space="0" w:color="auto"/>
        <w:left w:val="none" w:sz="0" w:space="0" w:color="auto"/>
        <w:bottom w:val="none" w:sz="0" w:space="0" w:color="auto"/>
        <w:right w:val="none" w:sz="0" w:space="0" w:color="auto"/>
      </w:divBdr>
    </w:div>
    <w:div w:id="893002352">
      <w:bodyDiv w:val="1"/>
      <w:marLeft w:val="0"/>
      <w:marRight w:val="0"/>
      <w:marTop w:val="0"/>
      <w:marBottom w:val="0"/>
      <w:divBdr>
        <w:top w:val="none" w:sz="0" w:space="0" w:color="auto"/>
        <w:left w:val="none" w:sz="0" w:space="0" w:color="auto"/>
        <w:bottom w:val="none" w:sz="0" w:space="0" w:color="auto"/>
        <w:right w:val="none" w:sz="0" w:space="0" w:color="auto"/>
      </w:divBdr>
    </w:div>
    <w:div w:id="954869512">
      <w:bodyDiv w:val="1"/>
      <w:marLeft w:val="0"/>
      <w:marRight w:val="0"/>
      <w:marTop w:val="0"/>
      <w:marBottom w:val="0"/>
      <w:divBdr>
        <w:top w:val="none" w:sz="0" w:space="0" w:color="auto"/>
        <w:left w:val="none" w:sz="0" w:space="0" w:color="auto"/>
        <w:bottom w:val="none" w:sz="0" w:space="0" w:color="auto"/>
        <w:right w:val="none" w:sz="0" w:space="0" w:color="auto"/>
      </w:divBdr>
    </w:div>
    <w:div w:id="980161404">
      <w:bodyDiv w:val="1"/>
      <w:marLeft w:val="0"/>
      <w:marRight w:val="0"/>
      <w:marTop w:val="0"/>
      <w:marBottom w:val="0"/>
      <w:divBdr>
        <w:top w:val="none" w:sz="0" w:space="0" w:color="auto"/>
        <w:left w:val="none" w:sz="0" w:space="0" w:color="auto"/>
        <w:bottom w:val="none" w:sz="0" w:space="0" w:color="auto"/>
        <w:right w:val="none" w:sz="0" w:space="0" w:color="auto"/>
      </w:divBdr>
    </w:div>
    <w:div w:id="1060984276">
      <w:bodyDiv w:val="1"/>
      <w:marLeft w:val="0"/>
      <w:marRight w:val="0"/>
      <w:marTop w:val="0"/>
      <w:marBottom w:val="0"/>
      <w:divBdr>
        <w:top w:val="none" w:sz="0" w:space="0" w:color="auto"/>
        <w:left w:val="none" w:sz="0" w:space="0" w:color="auto"/>
        <w:bottom w:val="none" w:sz="0" w:space="0" w:color="auto"/>
        <w:right w:val="none" w:sz="0" w:space="0" w:color="auto"/>
      </w:divBdr>
    </w:div>
    <w:div w:id="1102145988">
      <w:bodyDiv w:val="1"/>
      <w:marLeft w:val="0"/>
      <w:marRight w:val="0"/>
      <w:marTop w:val="0"/>
      <w:marBottom w:val="0"/>
      <w:divBdr>
        <w:top w:val="none" w:sz="0" w:space="0" w:color="auto"/>
        <w:left w:val="none" w:sz="0" w:space="0" w:color="auto"/>
        <w:bottom w:val="none" w:sz="0" w:space="0" w:color="auto"/>
        <w:right w:val="none" w:sz="0" w:space="0" w:color="auto"/>
      </w:divBdr>
    </w:div>
    <w:div w:id="1187057025">
      <w:bodyDiv w:val="1"/>
      <w:marLeft w:val="0"/>
      <w:marRight w:val="0"/>
      <w:marTop w:val="0"/>
      <w:marBottom w:val="0"/>
      <w:divBdr>
        <w:top w:val="none" w:sz="0" w:space="0" w:color="auto"/>
        <w:left w:val="none" w:sz="0" w:space="0" w:color="auto"/>
        <w:bottom w:val="none" w:sz="0" w:space="0" w:color="auto"/>
        <w:right w:val="none" w:sz="0" w:space="0" w:color="auto"/>
      </w:divBdr>
    </w:div>
    <w:div w:id="1252743571">
      <w:bodyDiv w:val="1"/>
      <w:marLeft w:val="0"/>
      <w:marRight w:val="0"/>
      <w:marTop w:val="0"/>
      <w:marBottom w:val="0"/>
      <w:divBdr>
        <w:top w:val="none" w:sz="0" w:space="0" w:color="auto"/>
        <w:left w:val="none" w:sz="0" w:space="0" w:color="auto"/>
        <w:bottom w:val="none" w:sz="0" w:space="0" w:color="auto"/>
        <w:right w:val="none" w:sz="0" w:space="0" w:color="auto"/>
      </w:divBdr>
      <w:divsChild>
        <w:div w:id="207690342">
          <w:marLeft w:val="0"/>
          <w:marRight w:val="0"/>
          <w:marTop w:val="0"/>
          <w:marBottom w:val="0"/>
          <w:divBdr>
            <w:top w:val="none" w:sz="0" w:space="0" w:color="auto"/>
            <w:left w:val="none" w:sz="0" w:space="0" w:color="auto"/>
            <w:bottom w:val="none" w:sz="0" w:space="0" w:color="auto"/>
            <w:right w:val="none" w:sz="0" w:space="0" w:color="auto"/>
          </w:divBdr>
          <w:divsChild>
            <w:div w:id="101372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665977">
      <w:bodyDiv w:val="1"/>
      <w:marLeft w:val="0"/>
      <w:marRight w:val="0"/>
      <w:marTop w:val="0"/>
      <w:marBottom w:val="0"/>
      <w:divBdr>
        <w:top w:val="none" w:sz="0" w:space="0" w:color="auto"/>
        <w:left w:val="none" w:sz="0" w:space="0" w:color="auto"/>
        <w:bottom w:val="none" w:sz="0" w:space="0" w:color="auto"/>
        <w:right w:val="none" w:sz="0" w:space="0" w:color="auto"/>
      </w:divBdr>
    </w:div>
    <w:div w:id="1313019361">
      <w:bodyDiv w:val="1"/>
      <w:marLeft w:val="0"/>
      <w:marRight w:val="0"/>
      <w:marTop w:val="0"/>
      <w:marBottom w:val="0"/>
      <w:divBdr>
        <w:top w:val="none" w:sz="0" w:space="0" w:color="auto"/>
        <w:left w:val="none" w:sz="0" w:space="0" w:color="auto"/>
        <w:bottom w:val="none" w:sz="0" w:space="0" w:color="auto"/>
        <w:right w:val="none" w:sz="0" w:space="0" w:color="auto"/>
      </w:divBdr>
    </w:div>
    <w:div w:id="1340693407">
      <w:bodyDiv w:val="1"/>
      <w:marLeft w:val="0"/>
      <w:marRight w:val="0"/>
      <w:marTop w:val="0"/>
      <w:marBottom w:val="0"/>
      <w:divBdr>
        <w:top w:val="none" w:sz="0" w:space="0" w:color="auto"/>
        <w:left w:val="none" w:sz="0" w:space="0" w:color="auto"/>
        <w:bottom w:val="none" w:sz="0" w:space="0" w:color="auto"/>
        <w:right w:val="none" w:sz="0" w:space="0" w:color="auto"/>
      </w:divBdr>
    </w:div>
    <w:div w:id="1376544473">
      <w:bodyDiv w:val="1"/>
      <w:marLeft w:val="0"/>
      <w:marRight w:val="0"/>
      <w:marTop w:val="0"/>
      <w:marBottom w:val="0"/>
      <w:divBdr>
        <w:top w:val="none" w:sz="0" w:space="0" w:color="auto"/>
        <w:left w:val="none" w:sz="0" w:space="0" w:color="auto"/>
        <w:bottom w:val="none" w:sz="0" w:space="0" w:color="auto"/>
        <w:right w:val="none" w:sz="0" w:space="0" w:color="auto"/>
      </w:divBdr>
    </w:div>
    <w:div w:id="1384794553">
      <w:bodyDiv w:val="1"/>
      <w:marLeft w:val="0"/>
      <w:marRight w:val="0"/>
      <w:marTop w:val="0"/>
      <w:marBottom w:val="0"/>
      <w:divBdr>
        <w:top w:val="none" w:sz="0" w:space="0" w:color="auto"/>
        <w:left w:val="none" w:sz="0" w:space="0" w:color="auto"/>
        <w:bottom w:val="none" w:sz="0" w:space="0" w:color="auto"/>
        <w:right w:val="none" w:sz="0" w:space="0" w:color="auto"/>
      </w:divBdr>
    </w:div>
    <w:div w:id="1398669964">
      <w:bodyDiv w:val="1"/>
      <w:marLeft w:val="0"/>
      <w:marRight w:val="0"/>
      <w:marTop w:val="0"/>
      <w:marBottom w:val="0"/>
      <w:divBdr>
        <w:top w:val="none" w:sz="0" w:space="0" w:color="auto"/>
        <w:left w:val="none" w:sz="0" w:space="0" w:color="auto"/>
        <w:bottom w:val="none" w:sz="0" w:space="0" w:color="auto"/>
        <w:right w:val="none" w:sz="0" w:space="0" w:color="auto"/>
      </w:divBdr>
    </w:div>
    <w:div w:id="1461411569">
      <w:bodyDiv w:val="1"/>
      <w:marLeft w:val="0"/>
      <w:marRight w:val="0"/>
      <w:marTop w:val="0"/>
      <w:marBottom w:val="0"/>
      <w:divBdr>
        <w:top w:val="none" w:sz="0" w:space="0" w:color="auto"/>
        <w:left w:val="none" w:sz="0" w:space="0" w:color="auto"/>
        <w:bottom w:val="none" w:sz="0" w:space="0" w:color="auto"/>
        <w:right w:val="none" w:sz="0" w:space="0" w:color="auto"/>
      </w:divBdr>
    </w:div>
    <w:div w:id="1471438696">
      <w:bodyDiv w:val="1"/>
      <w:marLeft w:val="0"/>
      <w:marRight w:val="0"/>
      <w:marTop w:val="0"/>
      <w:marBottom w:val="0"/>
      <w:divBdr>
        <w:top w:val="none" w:sz="0" w:space="0" w:color="auto"/>
        <w:left w:val="none" w:sz="0" w:space="0" w:color="auto"/>
        <w:bottom w:val="none" w:sz="0" w:space="0" w:color="auto"/>
        <w:right w:val="none" w:sz="0" w:space="0" w:color="auto"/>
      </w:divBdr>
    </w:div>
    <w:div w:id="1478230860">
      <w:bodyDiv w:val="1"/>
      <w:marLeft w:val="0"/>
      <w:marRight w:val="0"/>
      <w:marTop w:val="0"/>
      <w:marBottom w:val="0"/>
      <w:divBdr>
        <w:top w:val="none" w:sz="0" w:space="0" w:color="auto"/>
        <w:left w:val="none" w:sz="0" w:space="0" w:color="auto"/>
        <w:bottom w:val="none" w:sz="0" w:space="0" w:color="auto"/>
        <w:right w:val="none" w:sz="0" w:space="0" w:color="auto"/>
      </w:divBdr>
    </w:div>
    <w:div w:id="1480877627">
      <w:bodyDiv w:val="1"/>
      <w:marLeft w:val="0"/>
      <w:marRight w:val="0"/>
      <w:marTop w:val="0"/>
      <w:marBottom w:val="0"/>
      <w:divBdr>
        <w:top w:val="none" w:sz="0" w:space="0" w:color="auto"/>
        <w:left w:val="none" w:sz="0" w:space="0" w:color="auto"/>
        <w:bottom w:val="none" w:sz="0" w:space="0" w:color="auto"/>
        <w:right w:val="none" w:sz="0" w:space="0" w:color="auto"/>
      </w:divBdr>
    </w:div>
    <w:div w:id="1516265517">
      <w:bodyDiv w:val="1"/>
      <w:marLeft w:val="0"/>
      <w:marRight w:val="0"/>
      <w:marTop w:val="0"/>
      <w:marBottom w:val="0"/>
      <w:divBdr>
        <w:top w:val="none" w:sz="0" w:space="0" w:color="auto"/>
        <w:left w:val="none" w:sz="0" w:space="0" w:color="auto"/>
        <w:bottom w:val="none" w:sz="0" w:space="0" w:color="auto"/>
        <w:right w:val="none" w:sz="0" w:space="0" w:color="auto"/>
      </w:divBdr>
    </w:div>
    <w:div w:id="1536457988">
      <w:bodyDiv w:val="1"/>
      <w:marLeft w:val="0"/>
      <w:marRight w:val="0"/>
      <w:marTop w:val="0"/>
      <w:marBottom w:val="0"/>
      <w:divBdr>
        <w:top w:val="none" w:sz="0" w:space="0" w:color="auto"/>
        <w:left w:val="none" w:sz="0" w:space="0" w:color="auto"/>
        <w:bottom w:val="none" w:sz="0" w:space="0" w:color="auto"/>
        <w:right w:val="none" w:sz="0" w:space="0" w:color="auto"/>
      </w:divBdr>
    </w:div>
    <w:div w:id="1573462458">
      <w:bodyDiv w:val="1"/>
      <w:marLeft w:val="0"/>
      <w:marRight w:val="0"/>
      <w:marTop w:val="0"/>
      <w:marBottom w:val="0"/>
      <w:divBdr>
        <w:top w:val="none" w:sz="0" w:space="0" w:color="auto"/>
        <w:left w:val="none" w:sz="0" w:space="0" w:color="auto"/>
        <w:bottom w:val="none" w:sz="0" w:space="0" w:color="auto"/>
        <w:right w:val="none" w:sz="0" w:space="0" w:color="auto"/>
      </w:divBdr>
    </w:div>
    <w:div w:id="1590967593">
      <w:bodyDiv w:val="1"/>
      <w:marLeft w:val="0"/>
      <w:marRight w:val="0"/>
      <w:marTop w:val="0"/>
      <w:marBottom w:val="0"/>
      <w:divBdr>
        <w:top w:val="none" w:sz="0" w:space="0" w:color="auto"/>
        <w:left w:val="none" w:sz="0" w:space="0" w:color="auto"/>
        <w:bottom w:val="none" w:sz="0" w:space="0" w:color="auto"/>
        <w:right w:val="none" w:sz="0" w:space="0" w:color="auto"/>
      </w:divBdr>
    </w:div>
    <w:div w:id="1606645019">
      <w:bodyDiv w:val="1"/>
      <w:marLeft w:val="0"/>
      <w:marRight w:val="0"/>
      <w:marTop w:val="0"/>
      <w:marBottom w:val="0"/>
      <w:divBdr>
        <w:top w:val="none" w:sz="0" w:space="0" w:color="auto"/>
        <w:left w:val="none" w:sz="0" w:space="0" w:color="auto"/>
        <w:bottom w:val="none" w:sz="0" w:space="0" w:color="auto"/>
        <w:right w:val="none" w:sz="0" w:space="0" w:color="auto"/>
      </w:divBdr>
    </w:div>
    <w:div w:id="1627734848">
      <w:bodyDiv w:val="1"/>
      <w:marLeft w:val="0"/>
      <w:marRight w:val="0"/>
      <w:marTop w:val="0"/>
      <w:marBottom w:val="0"/>
      <w:divBdr>
        <w:top w:val="none" w:sz="0" w:space="0" w:color="auto"/>
        <w:left w:val="none" w:sz="0" w:space="0" w:color="auto"/>
        <w:bottom w:val="none" w:sz="0" w:space="0" w:color="auto"/>
        <w:right w:val="none" w:sz="0" w:space="0" w:color="auto"/>
      </w:divBdr>
    </w:div>
    <w:div w:id="1640571032">
      <w:bodyDiv w:val="1"/>
      <w:marLeft w:val="0"/>
      <w:marRight w:val="0"/>
      <w:marTop w:val="0"/>
      <w:marBottom w:val="0"/>
      <w:divBdr>
        <w:top w:val="none" w:sz="0" w:space="0" w:color="auto"/>
        <w:left w:val="none" w:sz="0" w:space="0" w:color="auto"/>
        <w:bottom w:val="none" w:sz="0" w:space="0" w:color="auto"/>
        <w:right w:val="none" w:sz="0" w:space="0" w:color="auto"/>
      </w:divBdr>
    </w:div>
    <w:div w:id="1641574173">
      <w:bodyDiv w:val="1"/>
      <w:marLeft w:val="0"/>
      <w:marRight w:val="0"/>
      <w:marTop w:val="0"/>
      <w:marBottom w:val="0"/>
      <w:divBdr>
        <w:top w:val="none" w:sz="0" w:space="0" w:color="auto"/>
        <w:left w:val="none" w:sz="0" w:space="0" w:color="auto"/>
        <w:bottom w:val="none" w:sz="0" w:space="0" w:color="auto"/>
        <w:right w:val="none" w:sz="0" w:space="0" w:color="auto"/>
      </w:divBdr>
    </w:div>
    <w:div w:id="1909803511">
      <w:bodyDiv w:val="1"/>
      <w:marLeft w:val="0"/>
      <w:marRight w:val="0"/>
      <w:marTop w:val="0"/>
      <w:marBottom w:val="0"/>
      <w:divBdr>
        <w:top w:val="none" w:sz="0" w:space="0" w:color="auto"/>
        <w:left w:val="none" w:sz="0" w:space="0" w:color="auto"/>
        <w:bottom w:val="none" w:sz="0" w:space="0" w:color="auto"/>
        <w:right w:val="none" w:sz="0" w:space="0" w:color="auto"/>
      </w:divBdr>
    </w:div>
    <w:div w:id="1922064551">
      <w:bodyDiv w:val="1"/>
      <w:marLeft w:val="0"/>
      <w:marRight w:val="0"/>
      <w:marTop w:val="0"/>
      <w:marBottom w:val="0"/>
      <w:divBdr>
        <w:top w:val="none" w:sz="0" w:space="0" w:color="auto"/>
        <w:left w:val="none" w:sz="0" w:space="0" w:color="auto"/>
        <w:bottom w:val="none" w:sz="0" w:space="0" w:color="auto"/>
        <w:right w:val="none" w:sz="0" w:space="0" w:color="auto"/>
      </w:divBdr>
    </w:div>
    <w:div w:id="2057850108">
      <w:bodyDiv w:val="1"/>
      <w:marLeft w:val="0"/>
      <w:marRight w:val="0"/>
      <w:marTop w:val="0"/>
      <w:marBottom w:val="0"/>
      <w:divBdr>
        <w:top w:val="none" w:sz="0" w:space="0" w:color="auto"/>
        <w:left w:val="none" w:sz="0" w:space="0" w:color="auto"/>
        <w:bottom w:val="none" w:sz="0" w:space="0" w:color="auto"/>
        <w:right w:val="none" w:sz="0" w:space="0" w:color="auto"/>
      </w:divBdr>
    </w:div>
    <w:div w:id="2117869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C6CFB3372454023A23D233B233758F7"/>
        <w:category>
          <w:name w:val="General"/>
          <w:gallery w:val="placeholder"/>
        </w:category>
        <w:types>
          <w:type w:val="bbPlcHdr"/>
        </w:types>
        <w:behaviors>
          <w:behavior w:val="content"/>
        </w:behaviors>
        <w:guid w:val="{AF578874-CB6D-4A1D-8D81-C215D0752E68}"/>
      </w:docPartPr>
      <w:docPartBody>
        <w:p w:rsidR="00455626" w:rsidRDefault="00455626" w:rsidP="00455626">
          <w:pPr>
            <w:pStyle w:val="3C6CFB3372454023A23D233B233758F7"/>
          </w:pPr>
          <w:r w:rsidRPr="00161266">
            <w:rPr>
              <w:rStyle w:val="PlaceholderText"/>
            </w:rPr>
            <w:t>Click or tap here to enter text.</w:t>
          </w:r>
        </w:p>
      </w:docPartBody>
    </w:docPart>
    <w:docPart>
      <w:docPartPr>
        <w:name w:val="8078D5DCE3C04354B149B266F90D064C"/>
        <w:category>
          <w:name w:val="General"/>
          <w:gallery w:val="placeholder"/>
        </w:category>
        <w:types>
          <w:type w:val="bbPlcHdr"/>
        </w:types>
        <w:behaviors>
          <w:behavior w:val="content"/>
        </w:behaviors>
        <w:guid w:val="{2270EF17-4D51-4408-A7E7-BC8B895449C3}"/>
      </w:docPartPr>
      <w:docPartBody>
        <w:p w:rsidR="00455626" w:rsidRDefault="00455626" w:rsidP="00455626">
          <w:pPr>
            <w:pStyle w:val="8078D5DCE3C04354B149B266F90D064C"/>
          </w:pPr>
          <w:r w:rsidRPr="00161266">
            <w:rPr>
              <w:rStyle w:val="PlaceholderText"/>
            </w:rPr>
            <w:t>Click or tap here to enter text.</w:t>
          </w:r>
        </w:p>
      </w:docPartBody>
    </w:docPart>
    <w:docPart>
      <w:docPartPr>
        <w:name w:val="F19EB7B60E2448B4AF7A6993AFDE7C44"/>
        <w:category>
          <w:name w:val="General"/>
          <w:gallery w:val="placeholder"/>
        </w:category>
        <w:types>
          <w:type w:val="bbPlcHdr"/>
        </w:types>
        <w:behaviors>
          <w:behavior w:val="content"/>
        </w:behaviors>
        <w:guid w:val="{0C353A8E-98BD-4801-95E9-9DA7A3120AD7}"/>
      </w:docPartPr>
      <w:docPartBody>
        <w:p w:rsidR="00455626" w:rsidRDefault="00455626" w:rsidP="00455626">
          <w:pPr>
            <w:pStyle w:val="F19EB7B60E2448B4AF7A6993AFDE7C44"/>
          </w:pPr>
          <w:r w:rsidRPr="00161266">
            <w:rPr>
              <w:rStyle w:val="PlaceholderText"/>
            </w:rPr>
            <w:t>Click or tap here to enter text.</w:t>
          </w:r>
        </w:p>
      </w:docPartBody>
    </w:docPart>
    <w:docPart>
      <w:docPartPr>
        <w:name w:val="D51A02D052A24DA188F62623C7A16511"/>
        <w:category>
          <w:name w:val="General"/>
          <w:gallery w:val="placeholder"/>
        </w:category>
        <w:types>
          <w:type w:val="bbPlcHdr"/>
        </w:types>
        <w:behaviors>
          <w:behavior w:val="content"/>
        </w:behaviors>
        <w:guid w:val="{D963215D-3169-4172-85A7-3DCE472508E6}"/>
      </w:docPartPr>
      <w:docPartBody>
        <w:p w:rsidR="00455626" w:rsidRDefault="00455626" w:rsidP="00455626">
          <w:pPr>
            <w:pStyle w:val="D51A02D052A24DA188F62623C7A16511"/>
          </w:pPr>
          <w:r w:rsidRPr="00161266">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1D403131-2129-4F60-AEDD-75C93B68D861}"/>
      </w:docPartPr>
      <w:docPartBody>
        <w:p w:rsidR="00455626" w:rsidRDefault="00455626">
          <w:r w:rsidRPr="0080358A">
            <w:rPr>
              <w:rStyle w:val="PlaceholderText"/>
            </w:rPr>
            <w:t>Click or tap here to enter text.</w:t>
          </w:r>
        </w:p>
      </w:docPartBody>
    </w:docPart>
    <w:docPart>
      <w:docPartPr>
        <w:name w:val="1DDA9ABAE9B24F7799668919E55B0694"/>
        <w:category>
          <w:name w:val="General"/>
          <w:gallery w:val="placeholder"/>
        </w:category>
        <w:types>
          <w:type w:val="bbPlcHdr"/>
        </w:types>
        <w:behaviors>
          <w:behavior w:val="content"/>
        </w:behaviors>
        <w:guid w:val="{711F66B7-0D81-430C-8FEC-A0401435B3E5}"/>
      </w:docPartPr>
      <w:docPartBody>
        <w:p w:rsidR="007F6BE6" w:rsidRDefault="000C209A" w:rsidP="000C209A">
          <w:pPr>
            <w:pStyle w:val="1DDA9ABAE9B24F7799668919E55B0694"/>
          </w:pPr>
          <w:r w:rsidRPr="0080358A">
            <w:rPr>
              <w:rStyle w:val="PlaceholderText"/>
            </w:rPr>
            <w:t>Click or tap here to enter text.</w:t>
          </w:r>
        </w:p>
      </w:docPartBody>
    </w:docPart>
    <w:docPart>
      <w:docPartPr>
        <w:name w:val="6CE44C1B49534B718093D22687C202E3"/>
        <w:category>
          <w:name w:val="General"/>
          <w:gallery w:val="placeholder"/>
        </w:category>
        <w:types>
          <w:type w:val="bbPlcHdr"/>
        </w:types>
        <w:behaviors>
          <w:behavior w:val="content"/>
        </w:behaviors>
        <w:guid w:val="{86851561-E334-4196-AA68-BCB36944132F}"/>
      </w:docPartPr>
      <w:docPartBody>
        <w:p w:rsidR="001523ED" w:rsidRDefault="00455626">
          <w:pPr>
            <w:pStyle w:val="6CE44C1B49534B718093D22687C202E3"/>
          </w:pPr>
          <w:r w:rsidRPr="0016126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626"/>
    <w:rsid w:val="00077773"/>
    <w:rsid w:val="00085450"/>
    <w:rsid w:val="000C209A"/>
    <w:rsid w:val="000C4318"/>
    <w:rsid w:val="000E121D"/>
    <w:rsid w:val="001143F5"/>
    <w:rsid w:val="001523ED"/>
    <w:rsid w:val="00172B91"/>
    <w:rsid w:val="002331DD"/>
    <w:rsid w:val="002354D7"/>
    <w:rsid w:val="00235C64"/>
    <w:rsid w:val="00347ECA"/>
    <w:rsid w:val="0042259B"/>
    <w:rsid w:val="00437A92"/>
    <w:rsid w:val="00455626"/>
    <w:rsid w:val="00476446"/>
    <w:rsid w:val="0049224A"/>
    <w:rsid w:val="004C406D"/>
    <w:rsid w:val="005C3D08"/>
    <w:rsid w:val="007F6BE6"/>
    <w:rsid w:val="00936012"/>
    <w:rsid w:val="00973941"/>
    <w:rsid w:val="009E3912"/>
    <w:rsid w:val="009F1E18"/>
    <w:rsid w:val="00A97137"/>
    <w:rsid w:val="00AE3DC4"/>
    <w:rsid w:val="00B730E3"/>
    <w:rsid w:val="00C207DA"/>
    <w:rsid w:val="00C324D9"/>
    <w:rsid w:val="00CB7A75"/>
    <w:rsid w:val="00CD497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C209A"/>
    <w:rPr>
      <w:color w:val="808080"/>
    </w:rPr>
  </w:style>
  <w:style w:type="paragraph" w:customStyle="1" w:styleId="3C6CFB3372454023A23D233B233758F7">
    <w:name w:val="3C6CFB3372454023A23D233B233758F7"/>
    <w:rsid w:val="00455626"/>
  </w:style>
  <w:style w:type="paragraph" w:customStyle="1" w:styleId="8078D5DCE3C04354B149B266F90D064C">
    <w:name w:val="8078D5DCE3C04354B149B266F90D064C"/>
    <w:rsid w:val="00455626"/>
  </w:style>
  <w:style w:type="paragraph" w:customStyle="1" w:styleId="F19EB7B60E2448B4AF7A6993AFDE7C44">
    <w:name w:val="F19EB7B60E2448B4AF7A6993AFDE7C44"/>
    <w:rsid w:val="00455626"/>
  </w:style>
  <w:style w:type="paragraph" w:customStyle="1" w:styleId="D51A02D052A24DA188F62623C7A16511">
    <w:name w:val="D51A02D052A24DA188F62623C7A16511"/>
    <w:rsid w:val="00455626"/>
  </w:style>
  <w:style w:type="paragraph" w:customStyle="1" w:styleId="1DDA9ABAE9B24F7799668919E55B0694">
    <w:name w:val="1DDA9ABAE9B24F7799668919E55B0694"/>
    <w:rsid w:val="000C209A"/>
  </w:style>
  <w:style w:type="paragraph" w:customStyle="1" w:styleId="6CE44C1B49534B718093D22687C202E3">
    <w:name w:val="6CE44C1B49534B718093D22687C202E3"/>
    <w:pPr>
      <w:spacing w:line="278" w:lineRule="auto"/>
    </w:pPr>
    <w:rPr>
      <w:sz w:val="24"/>
      <w:szCs w:val="24"/>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872205B-F784-4648-8952-2A09B4CB7F5A}">
  <we:reference id="wa104382081" version="1.55.1.0" store="en-001" storeType="OMEX"/>
  <we:alternateReferences>
    <we:reference id="WA104382081" version="1.55.1.0" store="" storeType="OMEX"/>
  </we:alternateReferences>
  <we:properties>
    <we:property name="MENDELEY_CITATIONS" value="[{&quot;citationID&quot;:&quot;MENDELEY_CITATION_448f60b1-40cd-4440-a18c-7c2adfc066ee&quot;,&quot;properties&quot;:{&quot;noteIndex&quot;:0},&quot;isEdited&quot;:false,&quot;manualOverride&quot;:{&quot;isManuallyOverridden&quot;:false,&quot;citeprocText&quot;:&quot;(Stehfest et al., 2014)&quot;,&quot;manualOverrideText&quot;:&quot;&quot;},&quot;citationTag&quot;:&quot;MENDELEY_CITATION_v3_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&quot;,&quot;citationItems&quot;:[{&quot;id&quot;:&quot;5d7ce39a-bb0a-384b-813a-a68cba8ea2e9&quot;,&quot;itemData&quot;:{&quot;type&quot;:&quot;book&quot;,&quot;id&quot;:&quot;5d7ce39a-bb0a-384b-813a-a68cba8ea2e9&quot;,&quot;title&quot;:&quot;Integrated assessment of global environmental change with IMAGE 3.0. Model description and policy applications&quot;,&quot;author&quot;:[{&quot;family&quot;:&quot;Stehfest&quot;,&quot;given&quot;:&quot;E&quot;,&quot;parse-names&quot;:false,&quot;dropping-particle&quot;:&quot;&quot;,&quot;non-dropping-particle&quot;:&quot;&quot;},{&quot;family&quot;:&quot;Vuuren&quot;,&quot;given&quot;:&quot;DP&quot;,&quot;parse-names&quot;:false,&quot;dropping-particle&quot;:&quot;&quot;,&quot;non-dropping-particle&quot;:&quot;van&quot;},{&quot;family&quot;:&quot;Kram&quot;,&quot;given&quot;:&quot;T&quot;,&quot;parse-names&quot;:false,&quot;dropping-particle&quot;:&quot;&quot;,&quot;non-dropping-particle&quot;:&quot;&quot;},{&quot;family&quot;:&quot;Bouwman&quot;,&quot;given&quot;:&quot;L&quot;,&quot;parse-names&quot;:false,&quot;dropping-particle&quot;:&quot;&quot;,&quot;non-dropping-particle&quot;:&quot;&quot;},{&quot;family&quot;:&quot;Alkemade&quot;,&quot;given&quot;:&quot;R&quot;,&quot;parse-names&quot;:false,&quot;dropping-particle&quot;:&quot;&quot;,&quot;non-dropping-particle&quot;:&quot;&quot;},{&quot;family&quot;:&quot;Bakkenes&quot;,&quot;given&quot;:&quot;M&quot;,&quot;parse-names&quot;:false,&quot;dropping-particle&quot;:&quot;&quot;,&quot;non-dropping-particle&quot;:&quot;&quot;},{&quot;family&quot;:&quot;Biemans&quot;,&quot;given&quot;:&quot;H&quot;,&quot;parse-names&quot;:false,&quot;dropping-particle&quot;:&quot;&quot;,&quot;non-dropping-particle&quot;:&quot;&quot;},{&quot;family&quot;:&quot;Bouwman&quot;,&quot;given&quot;:&quot;A&quot;,&quot;parse-names&quot;:false,&quot;dropping-particle&quot;:&quot;&quot;,&quot;non-dropping-particle&quot;:&quot;&quot;},{&quot;family&quot;:&quot;Elzen&quot;,&quot;given&quot;:&quot;M&quot;,&quot;parse-names&quot;:false,&quot;dropping-particle&quot;:&quot;&quot;,&quot;non-dropping-particle&quot;:&quot;Den&quot;},{&quot;family&quot;:&quot;Janse&quot;,&quot;given&quot;:&quot;J&quot;,&quot;parse-names&quot;:false,&quot;dropping-particle&quot;:&quot;&quot;,&quot;non-dropping-particle&quot;:&quot;&quot;},{&quot;family&quot;:&quot;Lucas&quot;,&quot;given&quot;:&quot;P&quot;,&quot;parse-names&quot;:false,&quot;dropping-particle&quot;:&quot;&quot;,&quot;non-dropping-particle&quot;:&quot;&quot;},{&quot;family&quot;:&quot;Minnen&quot;,&quot;given&quot;:&quot;J&quot;,&quot;parse-names&quot;:false,&quot;dropping-particle&quot;:&quot;&quot;,&quot;non-dropping-particle&quot;:&quot;Van&quot;},{&quot;family&quot;:&quot;Müller&quot;,&quot;given&quot;:&quot;M&quot;,&quot;parse-names&quot;:false,&quot;dropping-particle&quot;:&quot;&quot;,&quot;non-dropping-particle&quot;:&quot;&quot;},{&quot;family&quot;:&quot;Prins&quot;,&quot;given&quot;:&quot;A&quot;,&quot;parse-names&quot;:false,&quot;dropping-particle&quot;:&quot;&quot;,&quot;non-dropping-particle&quot;:&quot;&quot;}],&quot;ISBN&quot;:&quot;9789491506710&quot;,&quot;issued&quot;:{&quot;date-parts&quot;:[[2014]]},&quot;publisher&quot;:&quot;PBL Netherlands Environmental Assessment Agency, The Hague. The Netherlands.&quot;,&quot;container-title-short&quot;:&quot;&quot;},&quot;isTemporary&quot;:false}]},{&quot;citationID&quot;:&quot;MENDELEY_CITATION_589df3bc-c487-4db0-9201-15d5f2ed7484&quot;,&quot;properties&quot;:{&quot;noteIndex&quot;:0},&quot;isEdited&quot;:false,&quot;manualOverride&quot;:{&quot;isManuallyOverridden&quot;:false,&quot;citeprocText&quot;:&quot;(Daioglou et al., 2013)&quot;,&quot;manualOverrideText&quot;:&quot;&quot;},&quot;citationTag&quot;:&quot;MENDELEY_CITATION_v3_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&quot;,&quot;citationItems&quot;:[{&quot;id&quot;:&quot;249b2c48-ce5c-3da5-addf-10855ba6db07&quot;,&quot;itemData&quot;:{&quot;type&quot;:&quot;article-journal&quot;,&quot;id&quot;:&quot;249b2c48-ce5c-3da5-addf-10855ba6db07&quot;,&quot;title&quot;:&quot;Energy demand and emissions of the non-energy sector&quot;,&quot;author&quot;:[{&quot;family&quot;:&quot;Daioglou&quot;,&quot;given&quot;:&quot;Vassilis&quot;,&quot;parse-names&quot;:false,&quot;dropping-particle&quot;:&quot;&quot;,&quot;non-dropping-particle&quot;:&quot;&quot;},{&quot;family&quot;:&quot;Faaij&quot;,&quot;given&quot;:&quot;Andre P.C.&quot;,&quot;parse-names&quot;:false,&quot;dropping-particle&quot;:&quot;&quot;,&quot;non-dropping-particle&quot;:&quot;&quot;},{&quot;family&quot;:&quot;Saygin&quot;,&quot;given&quot;:&quot;Deger&quot;,&quot;parse-names&quot;:false,&quot;dropping-particle&quot;:&quot;&quot;,&quot;non-dropping-particle&quot;:&quot;&quot;},{&quot;family&quot;:&quot;Patel&quot;,&quot;given&quot;:&quot;Martin K.&quot;,&quot;parse-names&quot;:false,&quot;dropping-particle&quot;:&quot;&quot;,&quot;non-dropping-particle&quot;:&quot;&quot;},{&quot;family&quot;:&quot;Wicke&quot;,&quot;given&quot;:&quot;Birka&quot;,&quot;parse-names&quot;:false,&quot;dropping-particle&quot;:&quot;&quot;,&quot;non-dropping-particle&quot;:&quot;&quot;},{&quot;family&quot;:&quot;Vuuren&quot;,&quot;given&quot;:&quot;Detlef P.&quot;,&quot;parse-names&quot;:false,&quot;dropping-particle&quot;:&quot;&quot;,&quot;non-dropping-particle&quot;:&quot;van&quot;}],&quot;container-title&quot;:&quot;Energy and Environmental Science&quot;,&quot;container-title-short&quot;:&quot;Energy Environ Sci&quot;,&quot;DOI&quot;:&quot;10.1039/c3ee42667j&quot;,&quot;ISSN&quot;:&quot;17545706&quot;,&quot;issued&quot;:{&quot;date-parts&quot;:[[2013]]},&quot;page&quot;:&quot;482-498&quot;,&quot;abstract&quot;:&quot;The demand for fossil fuels for non-energy purposes such as production of bulk chemicals is poorly understood. In this study we analyse data on non-energy demand and disaggregate it across key services or products. We construct a simulation model for the main products of non-energy use and project the global demand for primary fuels used as feedstocks and the resulting carbon emissions until 2100. The model is then applied to estimate the potential emission reductions by increased use of biomass, a more ambitious climate policy and advanced post-consumer waste management. We project that the global gross demand for feedstocks more than triples from 30 EJ in 2010 to over 100 EJ in 2100, mainly due to the increased demand for high value chemicals such as ethylene. Carbon emissions increase disproportionately (from 160 MtC per year in 2010 to over 650 MtC per year in 2100) due to greater use of coal, especially in ammonia and methanol production. If biomass is used, it can supply a large portion of the required primary energy and reduce carbon emissions by up to 20% in 2100 compared to the reference development. Climate policy can further reduce emissions by over 30%. Post-consumer waste management options such as recycling or incineration with energy recovery do not necessarily reduce energy demand or carbon emissions. © The Royal Society of Chemistry.&quot;,&quot;issue&quot;:&quot;2&quot;,&quot;volume&quot;:&quot;7&quot;},&quot;isTemporary&quot;:false}]},{&quot;citationID&quot;:&quot;MENDELEY_CITATION_50ab0256-ea42-421b-8ac5-25027c0c33c9&quot;,&quot;properties&quot;:{&quot;noteIndex&quot;:0},&quot;isEdited&quot;:false,&quot;manualOverride&quot;:{&quot;isManuallyOverridden&quot;:false,&quot;citeprocText&quot;:&quot;(Mulders et al., 2006; Rogner, 1997; van Vuuren et al., 2011)&quot;,&quot;manualOverrideText&quot;:&quot;&quot;},&quot;citationTag&quot;:&quot;MENDELEY_CITATION_v3_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&quot;,&quot;citationItems&quot;:[{&quot;id&quot;:&quot;965aa444-5ca2-3153-86e2-bbb6060b03ad&quot;,&quot;itemData&quot;:{&quot;type&quot;:&quot;report&quot;,&quot;id&quot;:&quot;965aa444-5ca2-3153-86e2-bbb6060b03ad&quot;,&quot;title&quot;:&quot;Assessment of the global fossil fuel reserves and resources for TIMER&quot;,&quot;author&quot;:[{&quot;family&quot;:&quot;Mulders&quot;,&quot;given&quot;:&quot;F. M. M.&quot;,&quot;parse-names&quot;:false,&quot;dropping-particle&quot;:&quot;&quot;,&quot;non-dropping-particle&quot;:&quot;&quot;},{&quot;family&quot;:&quot;Hettelar&quot;,&quot;given&quot;:&quot;J. M. M.&quot;,&quot;parse-names&quot;:false,&quot;dropping-particle&quot;:&quot;&quot;,&quot;non-dropping-particle&quot;:&quot;&quot;},{&quot;family&quot;:&quot;Bergen&quot;,&quot;given&quot;:&quot;F.&quot;,&quot;parse-names&quot;:false,&quot;dropping-particle&quot;:&quot;&quot;,&quot;non-dropping-particle&quot;:&quot;Van&quot;}],&quot;issued&quot;:{&quot;date-parts&quot;:[[2006]]},&quot;publisher-place&quot;:&quot;Utrecht, The Netherlands&quot;,&quot;number-of-pages&quot;:&quot;98&quot;,&quot;container-title-short&quot;:&quot;&quot;},&quot;isTemporary&quot;:false},{&quot;id&quot;:&quot;aeb59243-9129-3042-aacf-135dfeeacaec&quot;,&quot;itemData&quot;:{&quot;type&quot;:&quot;article-journal&quot;,&quot;id&quot;:&quot;aeb59243-9129-3042-aacf-135dfeeacaec&quot;,&quot;title&quot;:&quot;An assessment of world hydrocarbon resources&quot;,&quot;author&quot;:[{&quot;family&quot;:&quot;Rogner&quot;,&quot;given&quot;:&quot;H.-H.&quot;,&quot;parse-names&quot;:false,&quot;dropping-particle&quot;:&quot;&quot;,&quot;non-dropping-particle&quot;:&quot;&quot;}],&quot;container-title&quot;:&quot;Annual review of energy and the environment&quot;,&quot;issued&quot;:{&quot;date-parts&quot;:[[1997]]},&quot;page&quot;:&quot;217-262&quot;,&quot;issue&quot;:&quot;1&quot;,&quot;volume&quot;:&quot;22&quot;,&quot;container-title-short&quot;:&quot;&quot;},&quot;isTemporary&quot;:false},{&quot;id&quot;:&quot;dc8c7bfe-e1b0-3de9-952c-d1cea1846936&quot;,&quot;itemData&quot;:{&quot;type&quot;:&quot;article-journal&quot;,&quot;id&quot;:&quot;dc8c7bfe-e1b0-3de9-952c-d1cea1846936&quot;,&quot;title&quot;:&quot;A proposal for a new scenario framework to support research and assessment in different climate research communities&quot;,&quot;author&quot;:[{&quot;family&quot;:&quot;Vuuren&quot;,&quot;given&quot;:&quot;Detlef P.&quot;,&quot;parse-names&quot;:false,&quot;dropping-particle&quot;:&quot;&quot;,&quot;non-dropping-particle&quot;:&quot;van&quot;},{&quot;family&quot;:&quot;Riahi&quot;,&quot;given&quot;:&quot;Keywan&quot;,&quot;parse-names&quot;:false,&quot;dropping-particle&quot;:&quot;&quot;,&quot;non-dropping-particle&quot;:&quot;&quot;},{&quot;family&quot;:&quot;Moss&quot;,&quot;given&quot;:&quot;Richard&quot;,&quot;parse-names&quot;:false,&quot;dropping-particle&quot;:&quot;&quot;,&quot;non-dropping-particle&quot;:&quot;&quot;},{&quot;family&quot;:&quot;Edmonds&quot;,&quot;given&quot;:&quot;Jae&quot;,&quot;parse-names&quot;:false,&quot;dropping-particle&quot;:&quot;&quot;,&quot;non-dropping-particle&quot;:&quot;&quot;},{&quot;family&quot;:&quot;Thomson&quot;,&quot;given&quot;:&quot;Allison&quot;,&quot;parse-names&quot;:false,&quot;dropping-particle&quot;:&quot;&quot;,&quot;non-dropping-particle&quot;:&quot;&quot;},{&quot;family&quot;:&quot;Nakicenovic&quot;,&quot;given&quot;:&quot;Nebojsa&quot;,&quot;parse-names&quot;:false,&quot;dropping-particle&quot;:&quot;&quot;,&quot;non-dropping-particle&quot;:&quot;&quot;},{&quot;family&quot;:&quot;Kram&quot;,&quot;given&quot;:&quot;Tom&quot;,&quot;parse-names&quot;:false,&quot;dropping-particle&quot;:&quot;&quot;,&quot;non-dropping-particle&quot;:&quot;&quot;},{&quot;family&quot;:&quot;Berkhout&quot;,&quot;given&quot;:&quot;Frans&quot;,&quot;parse-names&quot;:false,&quot;dropping-particle&quot;:&quot;&quot;,&quot;non-dropping-particle&quot;:&quot;&quot;},{&quot;family&quot;:&quot;Swart&quot;,&quot;given&quot;:&quot;Rob&quot;,&quot;parse-names&quot;:false,&quot;dropping-particle&quot;:&quot;&quot;,&quot;non-dropping-particle&quot;:&quot;&quot;},{&quot;family&quot;:&quot;Janetos&quot;,&quot;given&quot;:&quot;Anthony&quot;,&quot;parse-names&quot;:false,&quot;dropping-particle&quot;:&quot;&quot;,&quot;non-dropping-particle&quot;:&quot;&quot;},{&quot;family&quot;:&quot;Rose&quot;,&quot;given&quot;:&quot;Steven K.&quot;,&quot;parse-names&quot;:false,&quot;dropping-particle&quot;:&quot;&quot;,&quot;non-dropping-particle&quot;:&quot;&quot;},{&quot;family&quot;:&quot;Arnell&quot;,&quot;given&quot;:&quot;Nigel&quot;,&quot;parse-names&quot;:false,&quot;dropping-particle&quot;:&quot;&quot;,&quot;non-dropping-particle&quot;:&quot;&quot;}],&quot;container-title&quot;:&quot;Global Environmental Change&quot;,&quot;DOI&quot;:&quot;10.1016/j.gloenvcha.2011.08.002&quot;,&quot;ISSN&quot;:&quot;09593780&quot;,&quot;URL&quot;:&quot;http://dx.doi.org/10.1016/j.gloenvcha.2011.08.002&quot;,&quot;issued&quot;:{&quot;date-parts&quot;:[[2011]]},&quot;page&quot;:&quot;21-35&quot;,&quot;abstract&quot;:&quot;In this paper, we propose a scenario framework that could provide a scenario \&quot; thread\&quot; through the different climate research communities (climate change - vulnerability, impact, and adaptation - and mitigation) in order to support assessment of mitigation and adaptation strategies and climate impacts. The scenario framework is organized around a matrix with two main axes: radiative forcing levels and socio-economic conditions. The radiative forcing levels (and the associated climate signal) are described by the new Representative Concentration Pathways. The second axis, socio-economic developments comprises elements that affect the capacity for mitigation and adaptation, as well as the exposure to climate impacts. The proposed scenarios derived from this framework are limited in number, allow for comparison across various mitigation and adaptation levels, address a range of vulnerability characteristics, provide information across climate forcing and vulnerability states and span a full century time scale. Assessments based on the proposed scenario framework would strengthen cooperation between integrated-assessment modelers, climate modelers and vulnerability, impact and adaptation researchers, and most importantly, facilitate the development of more consistent and comparable research within and across these research communities. © 2011 Elsevier Ltd.&quot;,&quot;publisher&quot;:&quot;Elsevier Ltd&quot;,&quot;issue&quot;:&quot;1&quot;,&quot;volume&quot;:&quot;22&quot;,&quot;container-title-short&quot;:&quot;&quot;},&quot;isTemporary&quot;:false}]},{&quot;citationID&quot;:&quot;MENDELEY_CITATION_1cf81c88-a60d-4650-970b-de3f251344eb&quot;,&quot;properties&quot;:{&quot;noteIndex&quot;:0},&quot;isEdited&quot;:false,&quot;manualOverride&quot;:{&quot;isManuallyOverridden&quot;:false,&quot;citeprocText&quot;:&quot;(Daioglou et al., 2012)&quot;,&quot;manualOverrideText&quot;:&quot;&quot;},&quot;citationTag&quot;:&quot;MENDELEY_CITATION_v3_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&quot;,&quot;citationItems&quot;:[{&quot;id&quot;:&quot;548b145e-2072-3a44-8688-891a43f9cd45&quot;,&quot;itemData&quot;:{&quot;type&quot;:&quot;article-journal&quot;,&quot;id&quot;:&quot;548b145e-2072-3a44-8688-891a43f9cd45&quot;,&quot;title&quot;:&quot;Model projections for household energy use in developing countries&quot;,&quot;author&quot;:[{&quot;family&quot;:&quot;Daioglou&quot;,&quot;given&quot;:&quot;Vassilis&quot;,&quot;parse-names&quot;:false,&quot;dropping-particle&quot;:&quot;&quot;,&quot;non-dropping-particle&quot;:&quot;&quot;},{&quot;family&quot;:&quot;Ruijven&quot;,&quot;given&quot;:&quot;Bas J.&quot;,&quot;parse-names&quot;:false,&quot;dropping-particle&quot;:&quot;&quot;,&quot;non-dropping-particle&quot;:&quot;van&quot;},{&quot;family&quot;:&quot;Vuuren&quot;,&quot;given&quot;:&quot;Detlef P.&quot;,&quot;parse-names&quot;:false,&quot;dropping-particle&quot;:&quot;&quot;,&quot;non-dropping-particle&quot;:&quot;van&quot;}],&quot;container-title&quot;:&quot;Energy&quot;,&quot;DOI&quot;:&quot;10.1016/j.energy.2011.10.044&quot;,&quot;ISSN&quot;:&quot;03605442&quot;,&quot;URL&quot;:&quot;http://dx.doi.org/10.1016/j.energy.2011.10.044&quot;,&quot;issued&quot;:{&quot;date-parts&quot;:[[2012]]},&quot;page&quot;:&quot;601-615&quot;,&quot;abstract&quot;:&quot;The residential sector plays an important role in the energy system of developing countries. In this paper we introduce a bottom up simulation model for household energy use. The model describes energy demand for several end-use functions based on a set of physical drivers, such as floor space and heating degree days. The model also recognizes different population groups: i.e. urban and rural households, each distinguishing five income quintiles. The model is applied to analyze possible future developments of residential energy use in five developing world regions: India, China, South East Asia, South Africa and Brazil. We find that in each of these regions cooking is currently the main end-use function, but that other functions, such as space heating, cooling and appliances become more important. At the same time, energy consumption slowly shifts towards modern fuels. The model also shows that climate policy can reduce residential energy emissions, but could also slow down the energy transition away from traditional fuels in low income classes. © 2011 Elsevier Ltd.&quot;,&quot;publisher&quot;:&quot;Elsevier Ltd&quot;,&quot;issue&quot;:&quot;1&quot;,&quot;volume&quot;:&quot;37&quot;,&quot;container-title-short&quot;:&quot;&quot;},&quot;isTemporary&quot;:false}]},{&quot;citationID&quot;:&quot;MENDELEY_CITATION_0b8afc2d-e664-4838-9bc0-146bb12f1a6c&quot;,&quot;properties&quot;:{&quot;noteIndex&quot;:0},&quot;isEdited&quot;:false,&quot;manualOverride&quot;:{&quot;isManuallyOverridden&quot;:false,&quot;citeprocText&quot;:&quot;(van Vuuren et al., 2011)&quot;,&quot;manualOverrideText&quot;:&quot;&quot;},&quot;citationTag&quot;:&quot;MENDELEY_CITATION_v3_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&quot;,&quot;citationItems&quot;:[{&quot;id&quot;:&quot;dc8c7bfe-e1b0-3de9-952c-d1cea1846936&quot;,&quot;itemData&quot;:{&quot;type&quot;:&quot;article-journal&quot;,&quot;id&quot;:&quot;dc8c7bfe-e1b0-3de9-952c-d1cea1846936&quot;,&quot;title&quot;:&quot;A proposal for a new scenario framework to support research and assessment in different climate research communities&quot;,&quot;author&quot;:[{&quot;family&quot;:&quot;Vuuren&quot;,&quot;given&quot;:&quot;Detlef P.&quot;,&quot;parse-names&quot;:false,&quot;dropping-particle&quot;:&quot;&quot;,&quot;non-dropping-particle&quot;:&quot;van&quot;},{&quot;family&quot;:&quot;Riahi&quot;,&quot;given&quot;:&quot;Keywan&quot;,&quot;parse-names&quot;:false,&quot;dropping-particle&quot;:&quot;&quot;,&quot;non-dropping-particle&quot;:&quot;&quot;},{&quot;family&quot;:&quot;Moss&quot;,&quot;given&quot;:&quot;Richard&quot;,&quot;parse-names&quot;:false,&quot;dropping-particle&quot;:&quot;&quot;,&quot;non-dropping-particle&quot;:&quot;&quot;},{&quot;family&quot;:&quot;Edmonds&quot;,&quot;given&quot;:&quot;Jae&quot;,&quot;parse-names&quot;:false,&quot;dropping-particle&quot;:&quot;&quot;,&quot;non-dropping-particle&quot;:&quot;&quot;},{&quot;family&quot;:&quot;Thomson&quot;,&quot;given&quot;:&quot;Allison&quot;,&quot;parse-names&quot;:false,&quot;dropping-particle&quot;:&quot;&quot;,&quot;non-dropping-particle&quot;:&quot;&quot;},{&quot;family&quot;:&quot;Nakicenovic&quot;,&quot;given&quot;:&quot;Nebojsa&quot;,&quot;parse-names&quot;:false,&quot;dropping-particle&quot;:&quot;&quot;,&quot;non-dropping-particle&quot;:&quot;&quot;},{&quot;family&quot;:&quot;Kram&quot;,&quot;given&quot;:&quot;Tom&quot;,&quot;parse-names&quot;:false,&quot;dropping-particle&quot;:&quot;&quot;,&quot;non-dropping-particle&quot;:&quot;&quot;},{&quot;family&quot;:&quot;Berkhout&quot;,&quot;given&quot;:&quot;Frans&quot;,&quot;parse-names&quot;:false,&quot;dropping-particle&quot;:&quot;&quot;,&quot;non-dropping-particle&quot;:&quot;&quot;},{&quot;family&quot;:&quot;Swart&quot;,&quot;given&quot;:&quot;Rob&quot;,&quot;parse-names&quot;:false,&quot;dropping-particle&quot;:&quot;&quot;,&quot;non-dropping-particle&quot;:&quot;&quot;},{&quot;family&quot;:&quot;Janetos&quot;,&quot;given&quot;:&quot;Anthony&quot;,&quot;parse-names&quot;:false,&quot;dropping-particle&quot;:&quot;&quot;,&quot;non-dropping-particle&quot;:&quot;&quot;},{&quot;family&quot;:&quot;Rose&quot;,&quot;given&quot;:&quot;Steven K.&quot;,&quot;parse-names&quot;:false,&quot;dropping-particle&quot;:&quot;&quot;,&quot;non-dropping-particle&quot;:&quot;&quot;},{&quot;family&quot;:&quot;Arnell&quot;,&quot;given&quot;:&quot;Nigel&quot;,&quot;parse-names&quot;:false,&quot;dropping-particle&quot;:&quot;&quot;,&quot;non-dropping-particle&quot;:&quot;&quot;}],&quot;container-title&quot;:&quot;Global Environmental Change&quot;,&quot;DOI&quot;:&quot;10.1016/j.gloenvcha.2011.08.002&quot;,&quot;ISSN&quot;:&quot;09593780&quot;,&quot;URL&quot;:&quot;http://dx.doi.org/10.1016/j.gloenvcha.2011.08.002&quot;,&quot;issued&quot;:{&quot;date-parts&quot;:[[2011]]},&quot;page&quot;:&quot;21-35&quot;,&quot;abstract&quot;:&quot;In this paper, we propose a scenario framework that could provide a scenario \&quot; thread\&quot; through the different climate research communities (climate change - vulnerability, impact, and adaptation - and mitigation) in order to support assessment of mitigation and adaptation strategies and climate impacts. The scenario framework is organized around a matrix with two main axes: radiative forcing levels and socio-economic conditions. The radiative forcing levels (and the associated climate signal) are described by the new Representative Concentration Pathways. The second axis, socio-economic developments comprises elements that affect the capacity for mitigation and adaptation, as well as the exposure to climate impacts. The proposed scenarios derived from this framework are limited in number, allow for comparison across various mitigation and adaptation levels, address a range of vulnerability characteristics, provide information across climate forcing and vulnerability states and span a full century time scale. Assessments based on the proposed scenario framework would strengthen cooperation between integrated-assessment modelers, climate modelers and vulnerability, impact and adaptation researchers, and most importantly, facilitate the development of more consistent and comparable research within and across these research communities. © 2011 Elsevier Ltd.&quot;,&quot;publisher&quot;:&quot;Elsevier Ltd&quot;,&quot;issue&quot;:&quot;1&quot;,&quot;volume&quot;:&quot;22&quot;,&quot;container-title-short&quot;:&quot;&quot;},&quot;isTemporary&quot;:false}]},{&quot;citationID&quot;:&quot;MENDELEY_CITATION_2f128bf5-a2b4-420f-ab62-1ecb923f48fa&quot;,&quot;properties&quot;:{&quot;noteIndex&quot;:0},&quot;isEdited&quot;:false,&quot;manualOverride&quot;:{&quot;isManuallyOverridden&quot;:false,&quot;citeprocText&quot;:&quot;(Mulders et al., 2006; Rogner, 1997)&quot;,&quot;manualOverrideText&quot;:&quot;&quot;},&quot;citationTag&quot;:&quot;MENDELEY_CITATION_v3_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&quot;,&quot;citationItems&quot;:[{&quot;id&quot;:&quot;965aa444-5ca2-3153-86e2-bbb6060b03ad&quot;,&quot;itemData&quot;:{&quot;type&quot;:&quot;report&quot;,&quot;id&quot;:&quot;965aa444-5ca2-3153-86e2-bbb6060b03ad&quot;,&quot;title&quot;:&quot;Assessment of the global fossil fuel reserves and resources for TIMER&quot;,&quot;author&quot;:[{&quot;family&quot;:&quot;Mulders&quot;,&quot;given&quot;:&quot;F. M. M.&quot;,&quot;parse-names&quot;:false,&quot;dropping-particle&quot;:&quot;&quot;,&quot;non-dropping-particle&quot;:&quot;&quot;},{&quot;family&quot;:&quot;Hettelar&quot;,&quot;given&quot;:&quot;J. M. M.&quot;,&quot;parse-names&quot;:false,&quot;dropping-particle&quot;:&quot;&quot;,&quot;non-dropping-particle&quot;:&quot;&quot;},{&quot;family&quot;:&quot;Bergen&quot;,&quot;given&quot;:&quot;F.&quot;,&quot;parse-names&quot;:false,&quot;dropping-particle&quot;:&quot;&quot;,&quot;non-dropping-particle&quot;:&quot;Van&quot;}],&quot;issued&quot;:{&quot;date-parts&quot;:[[2006]]},&quot;publisher-place&quot;:&quot;Utrecht, The Netherlands&quot;,&quot;number-of-pages&quot;:&quot;98&quot;,&quot;container-title-short&quot;:&quot;&quot;},&quot;isTemporary&quot;:false},{&quot;id&quot;:&quot;aeb59243-9129-3042-aacf-135dfeeacaec&quot;,&quot;itemData&quot;:{&quot;type&quot;:&quot;article-journal&quot;,&quot;id&quot;:&quot;aeb59243-9129-3042-aacf-135dfeeacaec&quot;,&quot;title&quot;:&quot;An assessment of world hydrocarbon resources&quot;,&quot;author&quot;:[{&quot;family&quot;:&quot;Rogner&quot;,&quot;given&quot;:&quot;H.-H.&quot;,&quot;parse-names&quot;:false,&quot;dropping-particle&quot;:&quot;&quot;,&quot;non-dropping-particle&quot;:&quot;&quot;}],&quot;container-title&quot;:&quot;Annual review of energy and the environment&quot;,&quot;issued&quot;:{&quot;date-parts&quot;:[[1997]]},&quot;page&quot;:&quot;217-262&quot;,&quot;issue&quot;:&quot;1&quot;,&quot;volume&quot;:&quot;22&quot;,&quot;container-title-short&quot;:&quot;&quot;},&quot;isTemporary&quot;:false}]},{&quot;citationID&quot;:&quot;MENDELEY_CITATION_85f17792-d56e-4684-b3bd-0c32d40e9056&quot;,&quot;properties&quot;:{&quot;noteIndex&quot;:0},&quot;isEdited&quot;:false,&quot;manualOverride&quot;:{&quot;isManuallyOverridden&quot;:true,&quot;citeprocText&quot;:&quot;(Daioglou et al., 2022)&quot;,&quot;manualOverrideText&quot;:&quot;Daioglou et al., (2022)&quot;},&quot;citationTag&quot;:&quot;MENDELEY_CITATION_v3_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&quot;,&quot;citationItems&quot;:[{&quot;id&quot;:&quot;758ff83e-ed4f-3d1a-b905-ee25b20e6df1&quot;,&quot;itemData&quot;:{&quot;type&quot;:&quot;article-journal&quot;,&quot;id&quot;:&quot;758ff83e-ed4f-3d1a-b905-ee25b20e6df1&quot;,&quot;title&quot;:&quot;Efficiency improvement and technology choice for energy and emission reductions of the residential sector&quot;,&quot;author&quot;:[{&quot;family&quot;:&quot;Daioglou&quot;,&quot;given&quot;:&quot;Vassilis&quot;,&quot;parse-names&quot;:false,&quot;dropping-particle&quot;:&quot;&quot;,&quot;non-dropping-particle&quot;:&quot;&quot;},{&quot;family&quot;:&quot;Mikropoulos&quot;,&quot;given&quot;:&quot;Efstratios&quot;,&quot;parse-names&quot;:false,&quot;dropping-particle&quot;:&quot;&quot;,&quot;non-dropping-particle&quot;:&quot;&quot;},{&quot;family&quot;:&quot;Gernaat&quot;,&quot;given&quot;:&quot;David&quot;,&quot;parse-names&quot;:false,&quot;dropping-particle&quot;:&quot;&quot;,&quot;non-dropping-particle&quot;:&quot;&quot;},{&quot;family&quot;:&quot;Vuuren&quot;,&quot;given&quot;:&quot;Detlef P.&quot;,&quot;parse-names&quot;:false,&quot;dropping-particle&quot;:&quot;&quot;,&quot;non-dropping-particle&quot;:&quot;van&quot;}],&quot;container-title&quot;:&quot;Energy&quot;,&quot;DOI&quot;:&quot;10.1016/j.energy.2021.122994&quot;,&quot;ISSN&quot;:&quot;03605442&quot;,&quot;URL&quot;:&quot;https://doi.org/10.1016/j.energy.2021.122994&quot;,&quot;issued&quot;:{&quot;date-parts&quot;:[[2022]]},&quot;page&quot;:&quot;122994&quot;,&quot;abstract&quot;:&quot;The residential sector currently accounts for one fifth of global energy use and corresponding greenhouse gas emissions, largely driven by increasing demand for space heating and cooling. Climate change mitigation action requires these to reduce, but the exact decarbonization strategies, the contribution of demand and supply side measures, and their heterogeneity is unclear. Using a regional energy system model with an explicit representation of residential energy use and building stocks, the contribution of this sector in long-term decarbonization pathways is explored. The projections show that in a 2°C scenario, global heating demand is expected to decrease from current levels by 27% and 66% by 2050 and 2100, respectively. However, due to increasing affluence in warmer regions, cooling demand is expected to increase by 176% and 286% respectively. Yet, direct residential emissions are almost eliminated by 2100 by combining increased envelope efficiency and advanced heating technologies in a synergistic manner, where the adoption of high efficiency heating and cooling reduces the need for increased insulation, and vice versa. By combining these measures with rooftop PV, the net energy demand of many household types approaches zero. The exact residential sector strategies vary across local climate, socio-economic, and building stock characteristics.&quot;,&quot;publisher&quot;:&quot;The Author(s)&quot;,&quot;volume&quot;:&quot;243&quot;,&quot;container-title-short&quot;:&quot;&quot;},&quot;isTemporary&quot;:false}]},{&quot;citationID&quot;:&quot;MENDELEY_CITATION_b57ef31d-8b4d-48e8-a026-2dac14ea63a9&quot;,&quot;properties&quot;:{&quot;noteIndex&quot;:0},&quot;isEdited&quot;:false,&quot;manualOverride&quot;:{&quot;isManuallyOverridden&quot;:false,&quot;citeprocText&quot;:&quot;(Edelenbosch et al., 2024; van Vuuren et al., 2017)&quot;,&quot;manualOverrideText&quot;:&quot;&quot;},&quot;citationTag&quot;:&quot;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&quot;,&quot;citationItems&quot;:[{&quot;id&quot;:&quot;fd2f4c0e-c4ea-3c7b-9a3c-e8c1ee8c76a3&quot;,&quot;itemData&quot;:{&quot;type&quot;:&quot;article-journal&quot;,&quot;id&quot;:&quot;fd2f4c0e-c4ea-3c7b-9a3c-e8c1ee8c76a3&quot;,&quot;title&quot;:&quot;Energy, land-use and greenhouse gas emissions trajectories under a green growth paradigm&quot;,&quot;author&quot;:[{&quot;family&quot;:&quot;Vuuren&quot;,&quot;given&quot;:&quot;Detlef P.&quot;,&quot;parse-names&quot;:false,&quot;dropping-particle&quot;:&quot;&quot;,&quot;non-dropping-particle&quot;:&quot;van&quot;},{&quot;family&quot;:&quot;Stehfest&quot;,&quot;given&quot;:&quot;Elke&quot;,&quot;parse-names&quot;:false,&quot;dropping-particle&quot;:&quot;&quot;,&quot;non-dropping-particle&quot;:&quot;&quot;},{&quot;family&quot;:&quot;Gernaat&quot;,&quot;given&quot;:&quot;David E.H.J.&quot;,&quot;parse-names&quot;:false,&quot;dropping-particle&quot;:&quot;&quot;,&quot;non-dropping-particle&quot;:&quot;&quot;},{&quot;family&quot;:&quot;Doelman&quot;,&quot;given&quot;:&quot;Jonathan C.&quot;,&quot;parse-names&quot;:false,&quot;dropping-particle&quot;:&quot;&quot;,&quot;non-dropping-particle&quot;:&quot;&quot;},{&quot;family&quot;:&quot;Berg&quot;,&quot;given&quot;:&quot;Maarten&quot;,&quot;parse-names&quot;:false,&quot;dropping-particle&quot;:&quot;&quot;,&quot;non-dropping-particle&quot;:&quot;van den&quot;},{&quot;family&quot;:&quot;Harmsen&quot;,&quot;given&quot;:&quot;Mathijs&quot;,&quot;parse-names&quot;:false,&quot;dropping-particle&quot;:&quot;&quot;,&quot;non-dropping-particle&quot;:&quot;&quot;},{&quot;family&quot;:&quot;Boer&quot;,&quot;given&quot;:&quot;Harmen Sytze&quot;,&quot;parse-names&quot;:false,&quot;dropping-particle&quot;:&quot;&quot;,&quot;non-dropping-particle&quot;:&quot;de&quot;},{&quot;family&quot;:&quot;Bouwman&quot;,&quot;given&quot;:&quot;Lex F.&quot;,&quot;parse-names&quot;:false,&quot;dropping-particle&quot;:&quot;&quot;,&quot;non-dropping-particle&quot;:&quot;&quot;},{&quot;family&quot;:&quot;Daioglou&quot;,&quot;given&quot;:&quot;Vassilis&quot;,&quot;parse-names&quot;:false,&quot;dropping-particle&quot;:&quot;&quot;,&quot;non-dropping-particle&quot;:&quot;&quot;},{&quot;family&quot;:&quot;Edelenbosch&quot;,&quot;given&quot;:&quot;Oreane Y.&quot;,&quot;parse-names&quot;:false,&quot;dropping-particle&quot;:&quot;&quot;,&quot;non-dropping-particle&quot;:&quot;&quot;},{&quot;family&quot;:&quot;Girod&quot;,&quot;given&quot;:&quot;Bastien&quot;,&quot;parse-names&quot;:false,&quot;dropping-particle&quot;:&quot;&quot;,&quot;non-dropping-particle&quot;:&quot;&quot;},{&quot;family&quot;:&quot;Kram&quot;,&quot;given&quot;:&quot;Tom&quot;,&quot;parse-names&quot;:false,&quot;dropping-particle&quot;:&quot;&quot;,&quot;non-dropping-particle&quot;:&quot;&quot;},{&quot;family&quot;:&quot;Lassaletta&quot;,&quot;given&quot;:&quot;Luis&quot;,&quot;parse-names&quot;:false,&quot;dropping-particle&quot;:&quot;&quot;,&quot;non-dropping-particle&quot;:&quot;&quot;},{&quot;family&quot;:&quot;Lucas&quot;,&quot;given&quot;:&quot;Paul L.&quot;,&quot;parse-names&quot;:false,&quot;dropping-particle&quot;:&quot;&quot;,&quot;non-dropping-particle&quot;:&quot;&quot;},{&quot;family&quot;:&quot;Meijl&quot;,&quot;given&quot;:&quot;Hans&quot;,&quot;parse-names&quot;:false,&quot;dropping-particle&quot;:&quot;&quot;,&quot;non-dropping-particle&quot;:&quot;van&quot;},{&quot;family&quot;:&quot;Müller&quot;,&quot;given&quot;:&quot;Christoph&quot;,&quot;parse-names&quot;:false,&quot;dropping-particle&quot;:&quot;&quot;,&quot;non-dropping-particle&quot;:&quot;&quot;},{&quot;family&quot;:&quot;Ruijven&quot;,&quot;given&quot;:&quot;Bas J.&quot;,&quot;parse-names&quot;:false,&quot;dropping-particle&quot;:&quot;&quot;,&quot;non-dropping-particle&quot;:&quot;van&quot;},{&quot;family&quot;:&quot;Sluis&quot;,&quot;given&quot;:&quot;Sietske&quot;,&quot;parse-names&quot;:false,&quot;dropping-particle&quot;:&quot;&quot;,&quot;non-dropping-particle&quot;:&quot;van der&quot;},{&quot;family&quot;:&quot;Tabeau&quot;,&quot;given&quot;:&quot;Andrzej&quot;,&quot;parse-names&quot;:false,&quot;dropping-particle&quot;:&quot;&quot;,&quot;non-dropping-particle&quot;:&quot;&quot;}],&quot;container-title&quot;:&quot;Global Environmental Change&quot;,&quot;DOI&quot;:&quot;10.1016/j.gloenvcha.2016.05.008&quot;,&quot;ISSN&quot;:&quot;09593780&quot;,&quot;URL&quot;:&quot;http://dx.doi.org/10.1016/j.gloenvcha.2016.05.008&quot;,&quot;issued&quot;:{&quot;date-parts&quot;:[[2017]]},&quot;page&quot;:&quot;237-250&quot;,&quot;abstract&quot;:&quot;This paper describes the possible developments in global energy use and production, land use, emissions and climate changes following the SSP1 storyline, a development consistent with the green growth (or sustainable development) paradigm (a more inclusive development respecting environmental boundaries). The results are based on the implementation using the IMAGE 3.0 integrated assessment model and are compared with a) other IMAGE implementations of the SSPs (SSP2 and SSP3) and b) the SSP1 implementation of other integrated assessment models. The results show that a combination of resource efficiency, preferences for sustainable production methods and investment in human development could lead to a strong transition towards a more renewable energy supply, less land use and lower anthropogenic greenhouse gas emissions in 2100 than in 2010, even in the absence of explicit climate policies. At the same time, climate policy would still be needed to reduce emissions further, in order to reduce the projected increase of global mean temperature from 3 °C (SSP1 reference scenario) to 2 or 1.5 °C (in line with current policy targets). The SSP1 storyline could be a basis for further discussions on how climate policy can be combined with achieving other societal goals.&quot;,&quot;publisher&quot;:&quot;Elsevier Ltd&quot;,&quot;volume&quot;:&quot;42&quot;,&quot;container-title-short&quot;:&quot;&quot;},&quot;isTemporary&quot;:false},{&quot;id&quot;:&quot;c925ce83-53c4-304d-a417-08683d706506&quot;,&quot;itemData&quot;:{&quot;type&quot;:&quot;article-journal&quot;,&quot;id&quot;:&quot;c925ce83-53c4-304d-a417-08683d706506&quot;,&quot;title&quot;:&quot;Reducing sectoral hard-to-abate emissions to limit reliance on carbon dioxide removal&quot;,&quot;author&quot;:[{&quot;family&quot;:&quot;Edelenbosch&quot;,&quot;given&quot;:&quot;Oreane Y.&quot;,&quot;parse-names&quot;:false,&quot;dropping-particle&quot;:&quot;&quot;,&quot;non-dropping-particle&quot;:&quot;&quot;},{&quot;family&quot;:&quot;Hof&quot;,&quot;given&quot;:&quot;Andries F.&quot;,&quot;parse-names&quot;:false,&quot;dropping-particle&quot;:&quot;&quot;,&quot;non-dropping-particle&quot;:&quot;&quot;},{&quot;family&quot;:&quot;Berg&quot;,&quot;given&quot;:&quot;Maarten&quot;,&quot;parse-names&quot;:false,&quot;dropping-particle&quot;:&quot;&quot;,&quot;non-dropping-particle&quot;:&quot;van den&quot;},{&quot;family&quot;:&quot;Boer&quot;,&quot;given&quot;:&quot;Harmen Sytze&quot;,&quot;parse-names&quot;:false,&quot;dropping-particle&quot;:&quot;&quot;,&quot;non-dropping-particle&quot;:&quot;de&quot;},{&quot;family&quot;:&quot;Chen&quot;,&quot;given&quot;:&quot;Hsing Hsuan&quot;,&quot;parse-names&quot;:false,&quot;dropping-particle&quot;:&quot;&quot;,&quot;non-dropping-particle&quot;:&quot;&quot;},{&quot;family&quot;:&quot;Daioglou&quot;,&quot;given&quot;:&quot;Vassilis&quot;,&quot;parse-names&quot;:false,&quot;dropping-particle&quot;:&quot;&quot;,&quot;non-dropping-particle&quot;:&quot;&quot;},{&quot;family&quot;:&quot;Dekker&quot;,&quot;given&quot;:&quot;Mark M.&quot;,&quot;parse-names&quot;:false,&quot;dropping-particle&quot;:&quot;&quot;,&quot;non-dropping-particle&quot;:&quot;&quot;},{&quot;family&quot;:&quot;Doelman&quot;,&quot;given&quot;:&quot;Jonathan C.&quot;,&quot;parse-names&quot;:false,&quot;dropping-particle&quot;:&quot;&quot;,&quot;non-dropping-particle&quot;:&quot;&quot;},{&quot;family&quot;:&quot;Elzen&quot;,&quot;given&quot;:&quot;Michel G.J.&quot;,&quot;parse-names&quot;:false,&quot;dropping-particle&quot;:&quot;&quot;,&quot;non-dropping-particle&quot;:&quot;den&quot;},{&quot;family&quot;:&quot;Harmsen&quot;,&quot;given&quot;:&quot;Mathijs&quot;,&quot;parse-names&quot;:false,&quot;dropping-particle&quot;:&quot;&quot;,&quot;non-dropping-particle&quot;:&quot;&quot;},{&quot;family&quot;:&quot;Mikropoulos&quot;,&quot;given&quot;:&quot;Stratos&quot;,&quot;parse-names&quot;:false,&quot;dropping-particle&quot;:&quot;&quot;,&quot;non-dropping-particle&quot;:&quot;&quot;},{&quot;family&quot;:&quot;Sluisveld&quot;,&quot;given&quot;:&quot;Mariësse A.E.&quot;,&quot;parse-names&quot;:false,&quot;dropping-particle&quot;:&quot;&quot;,&quot;non-dropping-particle&quot;:&quot;van&quot;},{&quot;family&quot;:&quot;Stehfest&quot;,&quot;given&quot;:&quot;Elke&quot;,&quot;parse-names&quot;:false,&quot;dropping-particle&quot;:&quot;&quot;,&quot;non-dropping-particle&quot;:&quot;&quot;},{&quot;family&quot;:&quot;Tagomori&quot;,&quot;given&quot;:&quot;Isabela S.&quot;,&quot;parse-names&quot;:false,&quot;dropping-particle&quot;:&quot;&quot;,&quot;non-dropping-particle&quot;:&quot;&quot;},{&quot;family&quot;:&quot;Zeist&quot;,&quot;given&quot;:&quot;Willem Jan&quot;,&quot;parse-names&quot;:false,&quot;dropping-particle&quot;:&quot;&quot;,&quot;non-dropping-particle&quot;:&quot;van&quot;},{&quot;family&quot;:&quot;Vuuren&quot;,&quot;given&quot;:&quot;Detlef P.&quot;,&quot;parse-names&quot;:false,&quot;dropping-particle&quot;:&quot;&quot;,&quot;non-dropping-particle&quot;:&quot;van&quot;}],&quot;container-title&quot;:&quot;Nature Climate Change&quot;,&quot;container-title-short&quot;:&quot;Nat Clim Chang&quot;,&quot;DOI&quot;:&quot;10.1038/s41558-024-02025-y&quot;,&quot;ISSN&quot;:&quot;17586798&quot;,&quot;URL&quot;:&quot;http://dx.doi.org/10.1038/s41558-024-02025-y&quot;,&quot;issued&quot;:{&quot;date-parts&quot;:[[2024]]},&quot;page&quot;:&quot;715-722&quot;,&quot;abstract&quot;:&quot;To reach net-zero greenhouse gas targets, carbon dioxide removal (CDR) technologies are required to compensate for residual emissions in the hard-to-abate sectors. However, dependencies on CDR technologies involve environmental, technical and social risks, particularly related to increased land requirements for afforestation and bioenergy crops. Here, using scenarios consistent with the 1.5 °C target, we show that demand and technological interventions can substantially lower emission levels in four hard-to-abate sectors (industry, agriculture, buildings and transport) and reduce reliance on the use of bioenergy with carbon capture and storage. Specifically, demand measures and technology-oriented measures could limit peak annual bioenergy with carbon capture and storage use to 0.5–2.2 GtCO2e per year and 1.9–7.0 GtCO2e per year, respectively, compared with 10.3 GtCO2e per year in the default 1.5 °C scenario. Dietary change plays a critical role in the demand measures given its large share in residual agricultural emissions.&quot;,&quot;publisher&quot;:&quot;Springer US&quot;,&quot;issue&quot;:&quot;7&quot;,&quot;volume&quot;:&quot;14&quot;},&quot;isTemporary&quot;:false}]},{&quot;citationID&quot;:&quot;MENDELEY_CITATION_48be41cc-bc11-48dc-9a13-74cdd97d36a8&quot;,&quot;properties&quot;:{&quot;noteIndex&quot;:0},&quot;isEdited&quot;:false,&quot;manualOverride&quot;:{&quot;isManuallyOverridden&quot;:false,&quot;citeprocText&quot;:&quot;(Daioglou et al., 2012)&quot;,&quot;manualOverrideText&quot;:&quot;&quot;},&quot;citationTag&quot;:&quot;MENDELEY_CITATION_v3_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&quot;,&quot;citationItems&quot;:[{&quot;id&quot;:&quot;548b145e-2072-3a44-8688-891a43f9cd45&quot;,&quot;itemData&quot;:{&quot;type&quot;:&quot;article-journal&quot;,&quot;id&quot;:&quot;548b145e-2072-3a44-8688-891a43f9cd45&quot;,&quot;title&quot;:&quot;Model projections for household energy use in developing countries&quot;,&quot;author&quot;:[{&quot;family&quot;:&quot;Daioglou&quot;,&quot;given&quot;:&quot;Vassilis&quot;,&quot;parse-names&quot;:false,&quot;dropping-particle&quot;:&quot;&quot;,&quot;non-dropping-particle&quot;:&quot;&quot;},{&quot;family&quot;:&quot;Ruijven&quot;,&quot;given&quot;:&quot;Bas J.&quot;,&quot;parse-names&quot;:false,&quot;dropping-particle&quot;:&quot;&quot;,&quot;non-dropping-particle&quot;:&quot;van&quot;},{&quot;family&quot;:&quot;Vuuren&quot;,&quot;given&quot;:&quot;Detlef P.&quot;,&quot;parse-names&quot;:false,&quot;dropping-particle&quot;:&quot;&quot;,&quot;non-dropping-particle&quot;:&quot;van&quot;}],&quot;container-title&quot;:&quot;Energy&quot;,&quot;DOI&quot;:&quot;10.1016/j.energy.2011.10.044&quot;,&quot;ISSN&quot;:&quot;03605442&quot;,&quot;URL&quot;:&quot;http://dx.doi.org/10.1016/j.energy.2011.10.044&quot;,&quot;issued&quot;:{&quot;date-parts&quot;:[[2012]]},&quot;page&quot;:&quot;601-615&quot;,&quot;abstract&quot;:&quot;The residential sector plays an important role in the energy system of developing countries. In this paper we introduce a bottom up simulation model for household energy use. The model describes energy demand for several end-use functions based on a set of physical drivers, such as floor space and heating degree days. The model also recognizes different population groups: i.e. urban and rural households, each distinguishing five income quintiles. The model is applied to analyze possible future developments of residential energy use in five developing world regions: India, China, South East Asia, South Africa and Brazil. We find that in each of these regions cooking is currently the main end-use function, but that other functions, such as space heating, cooling and appliances become more important. At the same time, energy consumption slowly shifts towards modern fuels. The model also shows that climate policy can reduce residential energy emissions, but could also slow down the energy transition away from traditional fuels in low income classes. © 2011 Elsevier Ltd.&quot;,&quot;publisher&quot;:&quot;Elsevier Ltd&quot;,&quot;issue&quot;:&quot;1&quot;,&quot;volume&quot;:&quot;37&quot;,&quot;container-title-short&quot;:&quot;&quot;},&quot;isTemporary&quot;:false}]},{&quot;citationID&quot;:&quot;MENDELEY_CITATION_85d4d939-a0dd-48ec-bf12-a92c0ec82a2d&quot;,&quot;properties&quot;:{&quot;noteIndex&quot;:0},&quot;isEdited&quot;:false,&quot;manualOverride&quot;:{&quot;isManuallyOverridden&quot;:false,&quot;citeprocText&quot;:&quot;(Daioglou et al., 2022; van Sluisveld et al., 2016)&quot;,&quot;manualOverrideText&quot;:&quot;&quot;},&quot;citationTag&quot;:&quot;MENDELEY_CITATION_v3_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&quot;,&quot;citationItems&quot;:[{&quot;id&quot;:&quot;6d4c4724-eb6a-34e1-9087-e3373ecc4a3d&quot;,&quot;itemData&quot;:{&quot;type&quot;:&quot;article-journal&quot;,&quot;id&quot;:&quot;6d4c4724-eb6a-34e1-9087-e3373ecc4a3d&quot;,&quot;title&quot;:&quot;Exploring the implications of lifestyle change in 2°C mitigation scenarios using the IMAGE integrated assessment model&quot;,&quot;author&quot;:[{&quot;family&quot;:&quot;Sluisveld&quot;,&quot;given&quot;:&quot;Mariësse A.E.&quot;,&quot;parse-names&quot;:false,&quot;dropping-particle&quot;:&quot;&quot;,&quot;non-dropping-particle&quot;:&quot;van&quot;},{&quot;family&quot;:&quot;Martínez&quot;,&quot;given&quot;:&quot;Sara Herreras&quot;,&quot;parse-names&quot;:false,&quot;dropping-particle&quot;:&quot;&quot;,&quot;non-dropping-particle&quot;:&quot;&quot;},{&quot;family&quot;:&quot;Daioglou&quot;,&quot;given&quot;:&quot;Vassilis&quot;,&quot;parse-names&quot;:false,&quot;dropping-particle&quot;:&quot;&quot;,&quot;non-dropping-particle&quot;:&quot;&quot;},{&quot;family&quot;:&quot;Vuuren&quot;,&quot;given&quot;:&quot;Detlef P.&quot;,&quot;parse-names&quot;:false,&quot;dropping-particle&quot;:&quot;&quot;,&quot;non-dropping-particle&quot;:&quot;van&quot;}],&quot;container-title&quot;:&quot;Technological Forecasting and Social Change&quot;,&quot;container-title-short&quot;:&quot;Technol Forecast Soc Change&quot;,&quot;DOI&quot;:&quot;10.1016/j.techfore.2015.08.013&quot;,&quot;ISSN&quot;:&quot;00401625&quot;,&quot;URL&quot;:&quot;http://dx.doi.org/10.1016/j.techfore.2015.08.013&quot;,&quot;issued&quot;:{&quot;date-parts&quot;:[[2016]]},&quot;page&quot;:&quot;309-319&quot;,&quot;abstract&quot;:&quot;Most model studies focus on technical solutions in order to meet the 2°C climate target, such as renewable, carbon capture and energy efficiency technologies. Such studies show that it becomes increasingly more difficult to attain the 2°C target with carbon price driven technical solutions alone. This indicates the need to focus more on non-economic and non-technological drivers of energy system transformations, which are generally not explicitly included in long-term scenario studies. This study implements a set of lifestyle change measures for residential energy use, mobility and waste management in the integrated assessment model IMAGE. We analyze the implications of these lifestyle changes in a business-as-usual and 2°C climate mitigation reference case. We find that lifestyle change measures included in this study mostly affect the end-use sectors. By 2050, the measures reduce CO2 emissions in the residential sector by about 13% and in the transport sector by about 35% compared to baseline emissions. The indirect implications in the industry and energy supply sectors were found to be negligible. In mitigation scenarios the contribution of lifestyle measures is dampened in end-use sectors as they overlap with more technical measures. Yet, as they may create opportunities to mitigate in sectors without more radical changes in (1) the energy infrastructure and (2) on the short term, it leads to a more cost-efficient mitigation strategy. Further research in how behavior can be internalized into integrated assessment studies is recommendable.&quot;,&quot;publisher&quot;:&quot;Elsevier Inc.&quot;,&quot;volume&quot;:&quot;102&quot;},&quot;isTemporary&quot;:false},{&quot;id&quot;:&quot;758ff83e-ed4f-3d1a-b905-ee25b20e6df1&quot;,&quot;itemData&quot;:{&quot;type&quot;:&quot;article-journal&quot;,&quot;id&quot;:&quot;758ff83e-ed4f-3d1a-b905-ee25b20e6df1&quot;,&quot;title&quot;:&quot;Efficiency improvement and technology choice for energy and emission reductions of the residential sector&quot;,&quot;author&quot;:[{&quot;family&quot;:&quot;Daioglou&quot;,&quot;given&quot;:&quot;Vassilis&quot;,&quot;parse-names&quot;:false,&quot;dropping-particle&quot;:&quot;&quot;,&quot;non-dropping-particle&quot;:&quot;&quot;},{&quot;family&quot;:&quot;Mikropoulos&quot;,&quot;given&quot;:&quot;Efstratios&quot;,&quot;parse-names&quot;:false,&quot;dropping-particle&quot;:&quot;&quot;,&quot;non-dropping-particle&quot;:&quot;&quot;},{&quot;family&quot;:&quot;Gernaat&quot;,&quot;given&quot;:&quot;David&quot;,&quot;parse-names&quot;:false,&quot;dropping-particle&quot;:&quot;&quot;,&quot;non-dropping-particle&quot;:&quot;&quot;},{&quot;family&quot;:&quot;Vuuren&quot;,&quot;given&quot;:&quot;Detlef P.&quot;,&quot;parse-names&quot;:false,&quot;dropping-particle&quot;:&quot;&quot;,&quot;non-dropping-particle&quot;:&quot;van&quot;}],&quot;container-title&quot;:&quot;Energy&quot;,&quot;DOI&quot;:&quot;10.1016/j.energy.2021.122994&quot;,&quot;ISSN&quot;:&quot;03605442&quot;,&quot;URL&quot;:&quot;https://doi.org/10.1016/j.energy.2021.122994&quot;,&quot;issued&quot;:{&quot;date-parts&quot;:[[2022]]},&quot;page&quot;:&quot;122994&quot;,&quot;abstract&quot;:&quot;The residential sector currently accounts for one fifth of global energy use and corresponding greenhouse gas emissions, largely driven by increasing demand for space heating and cooling. Climate change mitigation action requires these to reduce, but the exact decarbonization strategies, the contribution of demand and supply side measures, and their heterogeneity is unclear. Using a regional energy system model with an explicit representation of residential energy use and building stocks, the contribution of this sector in long-term decarbonization pathways is explored. The projections show that in a 2°C scenario, global heating demand is expected to decrease from current levels by 27% and 66% by 2050 and 2100, respectively. However, due to increasing affluence in warmer regions, cooling demand is expected to increase by 176% and 286% respectively. Yet, direct residential emissions are almost eliminated by 2100 by combining increased envelope efficiency and advanced heating technologies in a synergistic manner, where the adoption of high efficiency heating and cooling reduces the need for increased insulation, and vice versa. By combining these measures with rooftop PV, the net energy demand of many household types approaches zero. The exact residential sector strategies vary across local climate, socio-economic, and building stock characteristics.&quot;,&quot;publisher&quot;:&quot;The Author(s)&quot;,&quot;volume&quot;:&quot;243&quot;,&quot;container-title-short&quot;:&quot;&quot;},&quot;isTemporary&quot;:false}]},{&quot;citationID&quot;:&quot;MENDELEY_CITATION_5fab394d-f039-478f-a407-c20ead9ced3e&quot;,&quot;properties&quot;:{&quot;noteIndex&quot;:0},&quot;isEdited&quot;:false,&quot;manualOverride&quot;:{&quot;isManuallyOverridden&quot;:false,&quot;citeprocText&quot;:&quot;(Dagnachew et al., 2018; Daioglou et al., 2013)&quot;,&quot;manualOverrideText&quot;:&quot;&quot;},&quot;citationTag&quot;:&quot;MENDELEY_CITATION_v3_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&quot;,&quot;citationItems&quot;:[{&quot;id&quot;:&quot;249b2c48-ce5c-3da5-addf-10855ba6db07&quot;,&quot;itemData&quot;:{&quot;type&quot;:&quot;article-journal&quot;,&quot;id&quot;:&quot;249b2c48-ce5c-3da5-addf-10855ba6db07&quot;,&quot;title&quot;:&quot;Energy demand and emissions of the non-energy sector&quot;,&quot;author&quot;:[{&quot;family&quot;:&quot;Daioglou&quot;,&quot;given&quot;:&quot;Vassilis&quot;,&quot;parse-names&quot;:false,&quot;dropping-particle&quot;:&quot;&quot;,&quot;non-dropping-particle&quot;:&quot;&quot;},{&quot;family&quot;:&quot;Faaij&quot;,&quot;given&quot;:&quot;Andre P.C.&quot;,&quot;parse-names&quot;:false,&quot;dropping-particle&quot;:&quot;&quot;,&quot;non-dropping-particle&quot;:&quot;&quot;},{&quot;family&quot;:&quot;Saygin&quot;,&quot;given&quot;:&quot;Deger&quot;,&quot;parse-names&quot;:false,&quot;dropping-particle&quot;:&quot;&quot;,&quot;non-dropping-particle&quot;:&quot;&quot;},{&quot;family&quot;:&quot;Patel&quot;,&quot;given&quot;:&quot;Martin K.&quot;,&quot;parse-names&quot;:false,&quot;dropping-particle&quot;:&quot;&quot;,&quot;non-dropping-particle&quot;:&quot;&quot;},{&quot;family&quot;:&quot;Wicke&quot;,&quot;given&quot;:&quot;Birka&quot;,&quot;parse-names&quot;:false,&quot;dropping-particle&quot;:&quot;&quot;,&quot;non-dropping-particle&quot;:&quot;&quot;},{&quot;family&quot;:&quot;Vuuren&quot;,&quot;given&quot;:&quot;Detlef P.&quot;,&quot;parse-names&quot;:false,&quot;dropping-particle&quot;:&quot;&quot;,&quot;non-dropping-particle&quot;:&quot;van&quot;}],&quot;container-title&quot;:&quot;Energy and Environmental Science&quot;,&quot;container-title-short&quot;:&quot;Energy Environ Sci&quot;,&quot;DOI&quot;:&quot;10.1039/c3ee42667j&quot;,&quot;ISSN&quot;:&quot;17545706&quot;,&quot;issued&quot;:{&quot;date-parts&quot;:[[2013]]},&quot;page&quot;:&quot;482-498&quot;,&quot;abstract&quot;:&quot;The demand for fossil fuels for non-energy purposes such as production of bulk chemicals is poorly understood. In this study we analyse data on non-energy demand and disaggregate it across key services or products. We construct a simulation model for the main products of non-energy use and project the global demand for primary fuels used as feedstocks and the resulting carbon emissions until 2100. The model is then applied to estimate the potential emission reductions by increased use of biomass, a more ambitious climate policy and advanced post-consumer waste management. We project that the global gross demand for feedstocks more than triples from 30 EJ in 2010 to over 100 EJ in 2100, mainly due to the increased demand for high value chemicals such as ethylene. Carbon emissions increase disproportionately (from 160 MtC per year in 2010 to over 650 MtC per year in 2100) due to greater use of coal, especially in ammonia and methanol production. If biomass is used, it can supply a large portion of the required primary energy and reduce carbon emissions by up to 20% in 2100 compared to the reference development. Climate policy can further reduce emissions by over 30%. Post-consumer waste management options such as recycling or incineration with energy recovery do not necessarily reduce energy demand or carbon emissions. © The Royal Society of Chemistry.&quot;,&quot;issue&quot;:&quot;2&quot;,&quot;volume&quot;:&quot;7&quot;},&quot;isTemporary&quot;:false},{&quot;id&quot;:&quot;a57fa9f8-68bf-3e61-9753-6bfc0bc46491&quot;,&quot;itemData&quot;:{&quot;type&quot;:&quot;article-journal&quot;,&quot;id&quot;:&quot;a57fa9f8-68bf-3e61-9753-6bfc0bc46491&quot;,&quot;title&quot;:&quot;Trade-offs and synergies between universal electricity access and climate change mitigation in Sub-Saharan Africa&quot;,&quot;author&quot;:[{&quot;family&quot;:&quot;Dagnachew&quot;,&quot;given&quot;:&quot;Anteneh G.&quot;,&quot;parse-names&quot;:false,&quot;dropping-particle&quot;:&quot;&quot;,&quot;non-dropping-particle&quot;:&quot;&quot;},{&quot;family&quot;:&quot;Lucas&quot;,&quot;given&quot;:&quot;Paul L.&quot;,&quot;parse-names&quot;:false,&quot;dropping-particle&quot;:&quot;&quot;,&quot;non-dropping-particle&quot;:&quot;&quot;},{&quot;family&quot;:&quot;Hof&quot;,&quot;given&quot;:&quot;Andries F.&quot;,&quot;parse-names&quot;:false,&quot;dropping-particle&quot;:&quot;&quot;,&quot;non-dropping-particle&quot;:&quot;&quot;},{&quot;family&quot;:&quot;Vuuren&quot;,&quot;given&quot;:&quot;Detlef P.&quot;,&quot;parse-names&quot;:false,&quot;dropping-particle&quot;:&quot;&quot;,&quot;non-dropping-particle&quot;:&quot;van&quot;}],&quot;container-title&quot;:&quot;Energy Policy&quot;,&quot;container-title-short&quot;:&quot;Energy Policy&quot;,&quot;DOI&quot;:&quot;10.1016/j.enpol.2017.12.023&quot;,&quot;ISSN&quot;:&quot;03014215&quot;,&quot;URL&quot;:&quot;https://doi.org/10.1016/j.enpol.2017.12.023&quot;,&quot;issued&quot;:{&quot;date-parts&quot;:[[2018]]},&quot;page&quot;:&quot;355-366&quot;,&quot;abstract&quot;:&quot;Access to electricity services is fundamental to development, as it enables improvements to the quality of human life. At the same time, increasing electricity access can have notable consequences for global climate change. This paper analyses trade-offs and synergies between achieving universal electricity access and climate change mitigation in Sub-Saharan Africa, using the IMAGE-TIMER integrated assessment model. For this purpose, we analysed developments in a number of indicators that describe demand, production, and costs of the future power system under various scenarios with and without climate change mitigation policies. The results show that, achieving universal electricity access requires an annual investment of USD 27–33 billion until 2030 on top of baseline investment. There is a strong synergy in emissions reduction and investment savings, particularly driven by the regions’ efficiency improvements of household appliances (the purchase of efficient appliances and the efficient use of the appliances). On the other hand, climate mitigation policies are projected to increase the cost of electricity per kWh, depending on fossil fuel share in the mix. Therefore, we conclude that, climate policies will need to be combined with complementary policies- e.g. pro-poor tariffs, fuel subsidies, and cross subsidization- to protect the poor from increasing electricity prices.&quot;,&quot;publisher&quot;:&quot;Elsevier Ltd&quot;,&quot;issue&quot;:&quot;November 2017&quot;,&quot;volume&quot;:&quot;114&quot;},&quot;isTemporary&quot;:false}]},{&quot;citationID&quot;:&quot;MENDELEY_CITATION_19a0412d-90f0-453a-93b6-ffc21eb574e3&quot;,&quot;properties&quot;:{&quot;noteIndex&quot;:0},&quot;isEdited&quot;:false,&quot;manualOverride&quot;:{&quot;isManuallyOverridden&quot;:false,&quot;citeprocText&quot;:&quot;(Dagnachew et al., 2017; Lucas et al., 2017)&quot;,&quot;manualOverrideText&quot;:&quot;&quot;},&quot;citationTag&quot;:&quot;MENDELEY_CITATION_v3_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&quot;,&quot;citationItems&quot;:[{&quot;id&quot;:&quot;5ce6f1f8-5e69-323e-a13c-b58b0a6db262&quot;,&quot;itemData&quot;:{&quot;type&quot;:&quot;report&quot;,&quot;id&quot;:&quot;5ce6f1f8-5e69-323e-a13c-b58b0a6db262&quot;,&quot;title&quot;:&quot;Towards universal electricity access in Sub-Saharan Africa&quot;,&quot;author&quot;:[{&quot;family&quot;:&quot;Lucas&quot;,&quot;given&quot;:&quot;Paul&quot;,&quot;parse-names&quot;:false,&quot;dropping-particle&quot;:&quot;&quot;,&quot;non-dropping-particle&quot;:&quot;&quot;},{&quot;family&quot;:&quot;Dagnachew&quot;,&quot;given&quot;:&quot;Anteneh&quot;,&quot;parse-names&quot;:false,&quot;dropping-particle&quot;:&quot;&quot;,&quot;non-dropping-particle&quot;:&quot;&quot;},{&quot;family&quot;:&quot;Hof&quot;,&quot;given&quot;:&quot;Andries&quot;,&quot;parse-names&quot;:false,&quot;dropping-particle&quot;:&quot;&quot;,&quot;non-dropping-particle&quot;:&quot;&quot;}],&quot;URL&quot;:&quot;http://www.pbl.nl/sites/default/files/cms/publicaties/pbl-2017-towards-universal-electricity-access-in-sub-saharan-africa-1952.pdf&quot;,&quot;issued&quot;:{&quot;date-parts&quot;:[[2017]]},&quot;publisher-place&quot;:&quot;The Hague&quot;,&quot;number-of-pages&quot;:&quot;32-41&quot;,&quot;issue&quot;:&quot;August&quot;,&quot;container-title-short&quot;:&quot;&quot;},&quot;isTemporary&quot;:false},{&quot;id&quot;:&quot;d7df6d65-1f56-3c18-9429-34c8abb222e9&quot;,&quot;itemData&quot;:{&quot;type&quot;:&quot;article-journal&quot;,&quot;id&quot;:&quot;d7df6d65-1f56-3c18-9429-34c8abb222e9&quot;,&quot;title&quot;:&quot;The role of decentralized systems in providing universal electricity access in Sub-Saharan Africa – A model-based approach&quot;,&quot;author&quot;:[{&quot;family&quot;:&quot;Dagnachew&quot;,&quot;given&quot;:&quot;Anteneh G.&quot;,&quot;parse-names&quot;:false,&quot;dropping-particle&quot;:&quot;&quot;,&quot;non-dropping-particle&quot;:&quot;&quot;},{&quot;family&quot;:&quot;Lucas&quot;,&quot;given&quot;:&quot;Paul L.&quot;,&quot;parse-names&quot;:false,&quot;dropping-particle&quot;:&quot;&quot;,&quot;non-dropping-particle&quot;:&quot;&quot;},{&quot;family&quot;:&quot;Hof&quot;,&quot;given&quot;:&quot;Andries F.&quot;,&quot;parse-names&quot;:false,&quot;dropping-particle&quot;:&quot;&quot;,&quot;non-dropping-particle&quot;:&quot;&quot;},{&quot;family&quot;:&quot;Gernaat&quot;,&quot;given&quot;:&quot;David E.H.J.&quot;,&quot;parse-names&quot;:false,&quot;dropping-particle&quot;:&quot;&quot;,&quot;non-dropping-particle&quot;:&quot;&quot;},{&quot;family&quot;:&quot;Boer&quot;,&quot;given&quot;:&quot;Harmen Sytze&quot;,&quot;parse-names&quot;:false,&quot;dropping-particle&quot;:&quot;&quot;,&quot;non-dropping-particle&quot;:&quot;de&quot;},{&quot;family&quot;:&quot;Vuuren&quot;,&quot;given&quot;:&quot;Detlef P.&quot;,&quot;parse-names&quot;:false,&quot;dropping-particle&quot;:&quot;&quot;,&quot;non-dropping-particle&quot;:&quot;van&quot;}],&quot;container-title&quot;:&quot;Energy&quot;,&quot;DOI&quot;:&quot;10.1016/j.energy.2017.07.144&quot;,&quot;ISSN&quot;:&quot;03605442&quot;,&quot;URL&quot;:&quot;https://doi.org/10.1016/j.energy.2017.07.144&quot;,&quot;issued&quot;:{&quot;date-parts&quot;:[[2017]]},&quot;page&quot;:&quot;184-195&quot;,&quot;abstract&quot;:&quot;Poverty and lack of access to electricity are highly correlated. In Sub-Saharan Africa, one of the poorest regions in the world, two in every three people have no access to electricity. This paper describes a purpose designed model to explore and project the development in the Sub-Saharan African electricity sector in Baseline and Universal access scenarios. The results provide insight into the role of different systems and technologies in providing access to electricity in the region and associated investment requirements. We project that Baseline developments do not lead to universal access to electricity, especially in Eastern Africa and the rural areas. The results show that central grid extension should be complemented with off-grid systems (mini-grid and stand-alone) to increase access in Sub-Saharan Africa. At the same time, the targeted level of consumption has large implications on the preferred electrification technology and associated investment requirements. For low levels of consumption, off-grid technologies are the most important technologies to increase access rate, while for high levels of consumption, extending the central grid is more economical. Total cumulative investment in the period 2010-2030 amount to 22 billion USD for low levels of consumption and exceed 2.5 trillion USD for high levels of consumption.&quot;,&quot;publisher&quot;:&quot;Elsevier Ltd&quot;,&quot;volume&quot;:&quot;139&quot;,&quot;container-title-short&quot;:&quot;&quot;},&quot;isTemporary&quot;:false}]},{&quot;citationID&quot;:&quot;MENDELEY_CITATION_921b2ff2-cad8-4df0-b0d7-f297d1ea198e&quot;,&quot;properties&quot;:{&quot;noteIndex&quot;:0},&quot;isEdited&quot;:false,&quot;manualOverride&quot;:{&quot;isManuallyOverridden&quot;:false,&quot;citeprocText&quot;:&quot;(Hof et al., 2018)&quot;,&quot;manualOverrideText&quot;:&quot;&quot;},&quot;citationTag&quot;:&quot;MENDELEY_CITATION_v3_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&quot;,&quot;citationItems&quot;:[{&quot;id&quot;:&quot;080eb855-a720-33dc-a425-4adf802d85db&quot;,&quot;itemData&quot;:{&quot;type&quot;:&quot;article-journal&quot;,&quot;id&quot;:&quot;080eb855-a720-33dc-a425-4adf802d85db&quot;,&quot;title&quot;:&quot;Towards universal access to clean cooking solutions in Sub-Saharan Africa: An integrated assessment of the cost, health and environmental implications of policies and targets&quot;,&quot;author&quot;:[{&quot;family&quot;:&quot;Hof&quot;,&quot;given&quot;:&quot;Andries F.&quot;,&quot;parse-names&quot;:false,&quot;dropping-particle&quot;:&quot;&quot;,&quot;non-dropping-particle&quot;:&quot;&quot;},{&quot;family&quot;:&quot;Dagnachew&quot;,&quot;given&quot;:&quot;Anteneh G.&quot;,&quot;parse-names&quot;:false,&quot;dropping-particle&quot;:&quot;&quot;,&quot;non-dropping-particle&quot;:&quot;&quot;},{&quot;family&quot;:&quot;Lucas&quot;,&quot;given&quot;:&quot;Paul L.&quot;,&quot;parse-names&quot;:false,&quot;dropping-particle&quot;:&quot;&quot;,&quot;non-dropping-particle&quot;:&quot;&quot;},{&quot;family&quot;:&quot;Vuuren&quot;,&quot;given&quot;:&quot;Detlef P.&quot;,&quot;parse-names&quot;:false,&quot;dropping-particle&quot;:&quot;van&quot;,&quot;non-dropping-particle&quot;:&quot;&quot;}],&quot;URL&quot;:&quot;https://www.pbl.nl/sites/default/files/cms/publicaties/pbl-2019-clean-cooking-solutions-sub-saharan-africa_3421.pdf&quot;,&quot;issued&quot;:{&quot;date-parts&quot;:[[2018]]},&quot;abstract&quot;:&quot;This report explores the roles and consequences of various technologies and fuels in a transition toward universal access to clean cooking in Sub-Saharan Africa. Various scenarios are developed to explore interactions between affordability of fuels and cookstoves, the availability of fuels, as well as related impacts on health, risk of deforestation and climate change. The study aims to inform policymakers and public and private investors on investment choices and the development of effective policies to bring universal access to clean cooking solutions on track towards 2030, in Sub-Saharan Africa.&quot;,&quot;container-title-short&quot;:&quot;&quot;},&quot;isTemporary&quot;:false}]},{&quot;citationID&quot;:&quot;MENDELEY_CITATION_7a36be64-a171-4e31-87d9-0c97f4ad92c6&quot;,&quot;properties&quot;:{&quot;noteIndex&quot;:0},&quot;isEdited&quot;:false,&quot;manualOverride&quot;:{&quot;isManuallyOverridden&quot;:false,&quot;citeprocText&quot;:&quot;(Gernaat et al., 2020)&quot;,&quot;manualOverrideText&quot;:&quot;&quot;},&quot;citationTag&quot;:&quot;MENDELEY_CITATION_v3_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&quot;,&quot;citationItems&quot;:[{&quot;id&quot;:&quot;27584aaa-b38a-3e2c-911e-68228c298f7d&quot;,&quot;itemData&quot;:{&quot;type&quot;:&quot;article-journal&quot;,&quot;id&quot;:&quot;27584aaa-b38a-3e2c-911e-68228c298f7d&quot;,&quot;title&quot;:&quot;The role of residential rooftop photovoltaic in long-term energy and climate scenarios&quot;,&quot;author&quot;:[{&quot;family&quot;:&quot;Gernaat&quot;,&quot;given&quot;:&quot;David E.H.J.&quot;,&quot;parse-names&quot;:false,&quot;dropping-particle&quot;:&quot;&quot;,&quot;non-dropping-particle&quot;:&quot;&quot;},{&quot;family&quot;:&quot;Boer&quot;,&quot;given&quot;:&quot;Harmen Sytze&quot;,&quot;parse-names&quot;:false,&quot;dropping-particle&quot;:&quot;&quot;,&quot;non-dropping-particle&quot;:&quot;de&quot;},{&quot;family&quot;:&quot;Dammeier&quot;,&quot;given&quot;:&quot;Louise C.&quot;,&quot;parse-names&quot;:false,&quot;dropping-particle&quot;:&quot;&quot;,&quot;non-dropping-particle&quot;:&quot;&quot;},{&quot;family&quot;:&quot;Vuuren&quot;,&quot;given&quot;:&quot;Detlef P.&quot;,&quot;parse-names&quot;:false,&quot;dropping-particle&quot;:&quot;&quot;,&quot;non-dropping-particle&quot;:&quot;van&quot;}],&quot;container-title&quot;:&quot;Applied Energy&quot;,&quot;container-title-short&quot;:&quot;Appl Energy&quot;,&quot;DOI&quot;:&quot;10.1016/j.apenergy.2020.115705&quot;,&quot;ISSN&quot;:&quot;03062619&quot;,&quot;URL&quot;:&quot;https://doi.org/10.1016/j.apenergy.2020.115705&quot;,&quot;issued&quot;:{&quot;date-parts&quot;:[[2020]]},&quot;page&quot;:&quot;115705&quot;,&quot;abstract&quot;:&quot;The use of solar photovoltaic has strongly increased in the last decade. A significant part of this growth comes from home owners installing rooftop photovoltaic. Despite this key role, most long-term model-based scenarios do not consider decentralized supply of rooftop photovoltaic but concentrate on utility-scale photovoltaic instead. In this paper, we implement rooftop photovoltaic in the Integrated Assessment Model IMAGE to study its possible role in energy and climate scenarios. We first calculated the global technical and economic potential to derive regional cost-supply curves for rooftop photovoltaic. Next, we have added a new decision in the IMAGE model allowing household investment in rooftop photovoltaic based on the comparison of the whole-sale electricity price with the price of rooftop photovoltaic. The global suitable roof surface area was assessed at 36 billion m2, or 4.7 m2 capita−1, leading to a potential for rooftop photovoltaic of 8.3 PWh y−1, roughly 1.5 times the 2015 global residential electricity demand. In the baseline scenario, adding rooftop photovoltaic could lead to a 80–280% increased share of photovoltaic electricity production in 2050 (i.e. from 6% to 17% in total power production). This increase depends on regional characteristics that are essential to the deployment of rooftop photovoltaic: differences in social-economic and policy factors (capital costs, household income, and electricity prices) are considerably more important than physical factors, such as solar irradiance.&quot;,&quot;publisher&quot;:&quot;Elsevier Ltd&quot;,&quot;issue&quot;:&quot;September&quot;,&quot;volume&quot;:&quot;279&quot;},&quot;isTemporary&quot;:false}]},{&quot;citationID&quot;:&quot;MENDELEY_CITATION_239d353e-2d1b-4342-95c4-e846b8d1bed0&quot;,&quot;properties&quot;:{&quot;noteIndex&quot;:0},&quot;isEdited&quot;:false,&quot;manualOverride&quot;:{&quot;isManuallyOverridden&quot;:false,&quot;citeprocText&quot;:&quot;(Zhang et al., 2008)&quot;,&quot;manualOverrideText&quot;:&quot;&quot;},&quot;citationTag&quot;:&quot;MENDELEY_CITATION_v3_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&quot;,&quot;citationItems&quot;:[{&quot;id&quot;:&quot;6b42c782-db7e-399a-bb07-ea9d625fb010&quot;,&quot;itemData&quot;:{&quot;type&quot;:&quot;paper-conference&quot;,&quot;id&quot;:&quot;6b42c782-db7e-399a-bb07-ea9d625fb010&quot;,&quot;title&quot;:&quot;A global perspective on renewable energy resources: NASA’s prediction of worldwide energy resources (power) project.&quot;,&quot;author&quot;:[{&quot;family&quot;:&quot;Zhang&quot;,&quot;given&quot;:&quot;Taiping&quot;,&quot;parse-names&quot;:false,&quot;dropping-particle&quot;:&quot;&quot;,&quot;non-dropping-particle&quot;:&quot;&quot;},{&quot;family&quot;:&quot;Chandler&quot;,&quot;given&quot;:&quot;William S.&quot;,&quot;parse-names&quot;:false,&quot;dropping-particle&quot;:&quot;&quot;,&quot;non-dropping-particle&quot;:&quot;&quot;},{&quot;family&quot;:&quot;Hoell, M.&quot;,&quot;given&quot;:&quot;James&quot;,&quot;parse-names&quot;:false,&quot;dropping-particle&quot;:&quot;&quot;,&quot;non-dropping-particle&quot;:&quot;&quot;},{&quot;family&quot;:&quot;Westberg&quot;,&quot;given&quot;:&quot;David&quot;,&quot;parse-names&quot;:false,&quot;dropping-particle&quot;:&quot;&quot;,&quot;non-dropping-particle&quot;:&quot;&quot;},{&quot;family&quot;:&quot;Whitlock&quot;,&quot;given&quot;:&quot;Charles H.&quot;,&quot;parse-names&quot;:false,&quot;dropping-particle&quot;:&quot;&quot;,&quot;non-dropping-particle&quot;:&quot;&quot;},{&quot;family&quot;:&quot;Stackhouse&quot;,&quot;given&quot;:&quot;Paul W. Jr&quot;,&quot;parse-names&quot;:false,&quot;dropping-particle&quot;:&quot;&quot;,&quot;non-dropping-particle&quot;:&quot;&quot;}],&quot;container-title&quot;:&quot;Proceedings of ISES World Congress 2007 (Vol. I–Vol. V) Solar Energy and Human Settlement&quot;,&quot;issued&quot;:{&quot;date-parts&quot;:[[2008]]},&quot;publisher-place&quot;:&quot;Berlin, Heidelberg&quot;,&quot;page&quot;:&quot;2636-2640&quot;,&quot;publisher&quot;:&quot;Springer&quot;,&quot;container-title-short&quot;:&quot;&quot;},&quot;isTemporary&quot;:false}]},{&quot;citationID&quot;:&quot;MENDELEY_CITATION_89d31ee0-fd14-4a11-be89-e26f029a4963&quot;,&quot;properties&quot;:{&quot;noteIndex&quot;:0},&quot;isEdited&quot;:false,&quot;manualOverride&quot;:{&quot;isManuallyOverridden&quot;:false,&quot;citeprocText&quot;:&quot;(Reddy, 1996)&quot;,&quot;manualOverrideText&quot;:&quot;&quot;},&quot;citationTag&quot;:&quot;MENDELEY_CITATION_v3_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&quot;,&quot;citationItems&quot;:[{&quot;id&quot;:&quot;ba7db241-c8fc-3b50-b9f8-75342fefd71a&quot;,&quot;itemData&quot;:{&quot;type&quot;:&quot;article-journal&quot;,&quot;id&quot;:&quot;ba7db241-c8fc-3b50-b9f8-75342fefd71a&quot;,&quot;title&quot;:&quot;Consumer discount rates and energy carrier choices in urban households&quot;,&quot;author&quot;:[{&quot;family&quot;:&quot;Reddy&quot;,&quot;given&quot;:&quot;B. Sudhakara&quot;,&quot;parse-names&quot;:false,&quot;dropping-particle&quot;:&quot;&quot;,&quot;non-dropping-particle&quot;:&quot;&quot;}],&quot;container-title&quot;:&quot;International Journal of Energy Research&quot;,&quot;container-title-short&quot;:&quot;Int J Energy Res&quot;,&quot;DOI&quot;:&quot;https://doi.org/10.1002/(SICI)1099-114X(199603)20:3%3C187::AID-ER112%3E3.0.CO;2-4&quot;,&quot;issued&quot;:{&quot;date-parts&quot;:[[1996]]},&quot;page&quot;:&quot;187-195&quot;,&quot;volume&quot;:&quot;20&quot;},&quot;isTemporary&quot;:false}]},{&quot;citationID&quot;:&quot;MENDELEY_CITATION_822b9e01-50f7-489c-ba01-3b2025fed642&quot;,&quot;properties&quot;:{&quot;noteIndex&quot;:0},&quot;isEdited&quot;:false,&quot;manualOverride&quot;:{&quot;isManuallyOverridden&quot;:false,&quot;citeprocText&quot;:&quot;(Daioglou et al., 2022)&quot;,&quot;manualOverrideText&quot;:&quot;&quot;},&quot;citationTag&quot;:&quot;MENDELEY_CITATION_v3_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&quot;,&quot;citationItems&quot;:[{&quot;id&quot;:&quot;758ff83e-ed4f-3d1a-b905-ee25b20e6df1&quot;,&quot;itemData&quot;:{&quot;type&quot;:&quot;article-journal&quot;,&quot;id&quot;:&quot;758ff83e-ed4f-3d1a-b905-ee25b20e6df1&quot;,&quot;title&quot;:&quot;Efficiency improvement and technology choice for energy and emission reductions of the residential sector&quot;,&quot;author&quot;:[{&quot;family&quot;:&quot;Daioglou&quot;,&quot;given&quot;:&quot;Vassilis&quot;,&quot;parse-names&quot;:false,&quot;dropping-particle&quot;:&quot;&quot;,&quot;non-dropping-particle&quot;:&quot;&quot;},{&quot;family&quot;:&quot;Mikropoulos&quot;,&quot;given&quot;:&quot;Efstratios&quot;,&quot;parse-names&quot;:false,&quot;dropping-particle&quot;:&quot;&quot;,&quot;non-dropping-particle&quot;:&quot;&quot;},{&quot;family&quot;:&quot;Gernaat&quot;,&quot;given&quot;:&quot;David&quot;,&quot;parse-names&quot;:false,&quot;dropping-particle&quot;:&quot;&quot;,&quot;non-dropping-particle&quot;:&quot;&quot;},{&quot;family&quot;:&quot;Vuuren&quot;,&quot;given&quot;:&quot;Detlef P.&quot;,&quot;parse-names&quot;:false,&quot;dropping-particle&quot;:&quot;&quot;,&quot;non-dropping-particle&quot;:&quot;van&quot;}],&quot;container-title&quot;:&quot;Energy&quot;,&quot;DOI&quot;:&quot;10.1016/j.energy.2021.122994&quot;,&quot;ISSN&quot;:&quot;03605442&quot;,&quot;URL&quot;:&quot;https://doi.org/10.1016/j.energy.2021.122994&quot;,&quot;issued&quot;:{&quot;date-parts&quot;:[[2022]]},&quot;page&quot;:&quot;122994&quot;,&quot;abstract&quot;:&quot;The residential sector currently accounts for one fifth of global energy use and corresponding greenhouse gas emissions, largely driven by increasing demand for space heating and cooling. Climate change mitigation action requires these to reduce, but the exact decarbonization strategies, the contribution of demand and supply side measures, and their heterogeneity is unclear. Using a regional energy system model with an explicit representation of residential energy use and building stocks, the contribution of this sector in long-term decarbonization pathways is explored. The projections show that in a 2°C scenario, global heating demand is expected to decrease from current levels by 27% and 66% by 2050 and 2100, respectively. However, due to increasing affluence in warmer regions, cooling demand is expected to increase by 176% and 286% respectively. Yet, direct residential emissions are almost eliminated by 2100 by combining increased envelope efficiency and advanced heating technologies in a synergistic manner, where the adoption of high efficiency heating and cooling reduces the need for increased insulation, and vice versa. By combining these measures with rooftop PV, the net energy demand of many household types approaches zero. The exact residential sector strategies vary across local climate, socio-economic, and building stock characteristics.&quot;,&quot;publisher&quot;:&quot;The Author(s)&quot;,&quot;volume&quot;:&quot;243&quot;,&quot;container-title-short&quot;:&quot;&quot;},&quot;isTemporary&quot;:false}]},{&quot;citationID&quot;:&quot;MENDELEY_CITATION_3236742c-02bc-46f5-96f8-6c2c594a1694&quot;,&quot;properties&quot;:{&quot;noteIndex&quot;:0},&quot;isEdited&quot;:false,&quot;manualOverride&quot;:{&quot;isManuallyOverridden&quot;:false,&quot;citeprocText&quot;:&quot;(Hassett &amp;#38; Metcalf, 1993; Howarth &amp;#38; Sanstad, 1995; Kozlovas et al., 2023; Sigrin, 2013)&quot;,&quot;manualOverrideText&quot;:&quot;&quot;},&quot;citationTag&quot;:&quot;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&quot;,&quot;citationItems&quot;:[{&quot;id&quot;:&quot;be843be1-5536-3fab-b7d5-3d15c65f65f4&quot;,&quot;itemData&quot;:{&quot;type&quot;:&quot;article-journal&quot;,&quot;id&quot;:&quot;be843be1-5536-3fab-b7d5-3d15c65f65f4&quot;,&quot;title&quot;:&quot;Assessment of Technical and Economic Potential of Urban Rooftop Solar Photovoltaic Systems in Lithuania&quot;,&quot;author&quot;:[{&quot;family&quot;:&quot;Kozlovas&quot;,&quot;given&quot;:&quot;Paulius&quot;,&quot;parse-names&quot;:false,&quot;dropping-particle&quot;:&quot;&quot;,&quot;non-dropping-particle&quot;:&quot;&quot;},{&quot;family&quot;:&quot;Gudzius&quot;,&quot;given&quot;:&quot;Saulius&quot;,&quot;parse-names&quot;:false,&quot;dropping-particle&quot;:&quot;&quot;,&quot;non-dropping-particle&quot;:&quot;&quot;},{&quot;family&quot;:&quot;Ciurlionis&quot;,&quot;given&quot;:&quot;Jokubas&quot;,&quot;parse-names&quot;:false,&quot;dropping-particle&quot;:&quot;&quot;,&quot;non-dropping-particle&quot;:&quot;&quot;},{&quot;family&quot;:&quot;Jonaitis&quot;,&quot;given&quot;:&quot;Audrius&quot;,&quot;parse-names&quot;:false,&quot;dropping-particle&quot;:&quot;&quot;,&quot;non-dropping-particle&quot;:&quot;&quot;},{&quot;family&quot;:&quot;Konstantinaviciute&quot;,&quot;given&quot;:&quot;Inga&quot;,&quot;parse-names&quot;:false,&quot;dropping-particle&quot;:&quot;&quot;,&quot;non-dropping-particle&quot;:&quot;&quot;},{&quot;family&quot;:&quot;Bobinaite&quot;,&quot;given&quot;:&quot;Viktorija&quot;,&quot;parse-names&quot;:false,&quot;dropping-particle&quot;:&quot;&quot;,&quot;non-dropping-particle&quot;:&quot;&quot;}],&quot;container-title&quot;:&quot;Energies&quot;,&quot;container-title-short&quot;:&quot;Energies (Basel)&quot;,&quot;DOI&quot;:&quot;10.3390/en16145410&quot;,&quot;ISSN&quot;:&quot;19961073&quot;,&quot;issued&quot;:{&quot;date-parts&quot;:[[2023]]},&quot;abstract&quot;:&quot;This paper aimed at assessing the technical and economic potential of using rooftop solar photovoltaic (PV) systems in Lithuanian urban areas to support energy and climate policy formation and its implementation in the country. A bottom-up approach was applied. A number of apartment (AP), commercial (COM) and public (PUB) buildings, electric vehicle (EV) charging infrastructures and solar PV systems in the largest Lithuanian cities were analyzed, and the results were tailored to national-wide estimates. LiDAR and photogrammetry data of building topologies, geographical information systems (GIS), digital maps for rooftop measurements, factual solar photovoltaic (PV) performance modeling, average profiles of solar PV systems, statistical data of energy consumption in buildings, levelized cost of energy (LCOE) models and the literature review method were used. The results of the assessment of selected buildings and their categories reveal that the rooftop area per installed PV unit was 14.1–18.3 m2/kW in AP buildings, followed by 18.0–18.6 m2/kW in COM and 6.1–18.3 m2/kW in PUB buildings; the factor of rooftop suitability for solar PV system installation varied in ranges of 31.5–85.4%, 48.9–99.4% and 50.1–88.2%, respectively. Corrected by expert judgement, these estimates served as inputs for the assessment of technical and economic potentials. Furthermore, energy generated by solar PV could be consumed locally with little supplied to the distribution grid, resulting in no or a limited need for expensive investments in infrastructure. In addition, locating an EV charger on the premises of COM or PUB buildings could improve the localized consumption of solar energy. Thus, rooftop solar PV systems in urban Lithuanian areas are preferable. The results of the technical potential analysis show that, on the rooftops of AP buildings, 272 MW could be installed, followed by 78 MW on roofs of PUB and 67 MW on COM buildings. If technical potential is extracted, EUR 332.7 million can be invested. The cost of energy produced by solar PV systems was estimated at 2.34–5.25 EURct/kWh, which is significantly lower than the prices of market and retail electricity, standing at 23 EURct/kWh and 24 EURct/kWh (with support from the government) in 2022, respectively. The research’s limitations are defined by the fact that average values were applied to estimate the technical and economic potential of rooftop solar PV systems; a limited number of building categories were analyzed; the category of private houses, which is minor in cities, was missed, and rural areas with a great number of private houses were not covered by this study.&quot;,&quot;issue&quot;:&quot;14&quot;,&quot;volume&quot;:&quot;16&quot;},&quot;isTemporary&quot;:false},{&quot;id&quot;:&quot;4ff1fd0e-6371-383d-9664-cd8f7784b075&quot;,&quot;itemData&quot;:{&quot;type&quot;:&quot;article-journal&quot;,&quot;id&quot;:&quot;4ff1fd0e-6371-383d-9664-cd8f7784b075&quot;,&quot;title&quot;:&quot;Financial Modeling of Consumer Discount Rate in Residential Solar Photovoltaic Purchasing Decisions&quot;,&quot;author&quot;:[{&quot;family&quot;:&quot;Sigrin&quot;,&quot;given&quot;:&quot;Benjamin O.&quot;,&quot;parse-names&quot;:false,&quot;dropping-particle&quot;:&quot;&quot;,&quot;non-dropping-particle&quot;:&quot;&quot;}],&quot;URL&quot;:&quot;https://repositories.lib.utexas.edu/handle/2152/21759&quot;,&quot;issued&quot;:{&quot;date-parts&quot;:[[2013]]},&quot;page&quot;:&quot;66&quot;,&quot;abstract&quot;:&quot;Page 1. Copyright by Benjamin O'Gorman Sigrin 2013 Page 2. The Thesis Committee for Benjamin O'Gorman Sigrin certifies that this is the approved version of the following thesis: Financial Modeling of Consumer Discount Rate in Residential Solar …&quot;,&quot;container-title-short&quot;:&quot;&quot;},&quot;isTemporary&quot;:false},{&quot;id&quot;:&quot;41836902-cb55-3f50-b779-4b8a4b60d0b3&quot;,&quot;itemData&quot;:{&quot;type&quot;:&quot;article-journal&quot;,&quot;id&quot;:&quot;41836902-cb55-3f50-b779-4b8a4b60d0b3&quot;,&quot;title&quot;:&quot;Energy conservation investment&quot;,&quot;author&quot;:[{&quot;family&quot;:&quot;Hassett&quot;,&quot;given&quot;:&quot;Kevin A.&quot;,&quot;parse-names&quot;:false,&quot;dropping-particle&quot;:&quot;&quot;,&quot;non-dropping-particle&quot;:&quot;&quot;},{&quot;family&quot;:&quot;Metcalf&quot;,&quot;given&quot;:&quot;Gilbert E.&quot;,&quot;parse-names&quot;:false,&quot;dropping-particle&quot;:&quot;&quot;,&quot;non-dropping-particle&quot;:&quot;&quot;}],&quot;container-title&quot;:&quot;Energy Policy&quot;,&quot;container-title-short&quot;:&quot;Energy Policy&quot;,&quot;DOI&quot;:&quot;10.1016/0301-4215(93)90294-p&quot;,&quot;ISSN&quot;:&quot;03014215&quot;,&quot;issued&quot;:{&quot;date-parts&quot;:[[1993]]},&quot;page&quot;:&quot;710-716&quot;,&quot;abstract&quot;:&quot;We argue that the apparently high discount rates attributed to investors making energy conservation investments are not irrational or the result of some market failure. Rather they may result from an investor recognizing that many conservation investments entail substantial sunk costs. In the presence of these costs and uncertainty over future conservation savings, consumers should use a higher hurdle rate for investment than if there were no uncertainty. Simulations suggest that the hurdle rate should be about four times greater than the standard rate. An implication of our model is that tax subsidies for the purchase of conservation capital are likely to be ineffective. We discuss alternative policy approaches which are more likely to increase energy-efficient investment, namely mandatory efficiency standards and energy taxes.&quot;,&quot;issue&quot;:&quot;6&quot;,&quot;volume&quot;:&quot;21&quot;},&quot;isTemporary&quot;:false},{&quot;id&quot;:&quot;f6631450-1143-364d-a49d-d6787a2dc292&quot;,&quot;itemData&quot;:{&quot;type&quot;:&quot;article-journal&quot;,&quot;id&quot;:&quot;f6631450-1143-364d-a49d-d6787a2dc292&quot;,&quot;title&quot;:&quot;DISCOUNT RATES AND ENERGY EFFICIENCY&quot;,&quot;author&quot;:[{&quot;family&quot;:&quot;Howarth&quot;,&quot;given&quot;:&quot;R.B.&quot;,&quot;parse-names&quot;:false,&quot;dropping-particle&quot;:&quot;&quot;,&quot;non-dropping-particle&quot;:&quot;&quot;},{&quot;family&quot;:&quot;Sanstad&quot;,&quot;given&quot;:&quot;A.H.&quot;,&quot;parse-names&quot;:false,&quot;dropping-particle&quot;:&quot;&quot;,&quot;non-dropping-particle&quot;:&quot;&quot;}],&quot;container-title&quot;:&quot;Contemporary Economic Policy&quot;,&quot;container-title-short&quot;:&quot;Contemp Econ Policy&quot;,&quot;DOI&quot;:&quot;https://doi.org/10.1111/j.1465-7287.1995.tb00726.x&quot;,&quot;issued&quot;:{&quot;date-parts&quot;:[[1995]]},&quot;page&quot;:&quot;101-109&quot;,&quot;abstract&quot;:&quot;Empirical studies provide compelling evidence that economic agents do not adopt the complete range of energy-efficient technologies that are cost-effective under prevailing prices and market conditions. Analysts commonly attribute this anomaly to the use of high discount rates in energy-related decisions-an interpretation that is difficult to reconcile with standard models of rational choice. This paper recasts the controversy from the perspective of economic theory and finds that market failures related to asymmetric information, bounded rationality, and transaction costs are major contributors to the so-called “efficiency gap.”&quot;,&quot;volume&quot;:&quot;13&quot;},&quot;isTemporary&quot;:false}]},{&quot;citationID&quot;:&quot;MENDELEY_CITATION_96079690-ff63-4ac4-ae3f-5c531ad00a00&quot;,&quot;properties&quot;:{&quot;noteIndex&quot;:0},&quot;isEdited&quot;:false,&quot;manualOverride&quot;:{&quot;isManuallyOverridden&quot;:false,&quot;citeprocText&quot;:&quot;(Tarigan, 2023)&quot;,&quot;manualOverrideText&quot;:&quot;&quot;},&quot;citationTag&quot;:&quot;MENDELEY_CITATION_v3_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&quot;,&quot;citationItems&quot;:[{&quot;id&quot;:&quot;a422d772-e0ad-3f57-ac78-d37c077ee507&quot;,&quot;itemData&quot;:{&quot;type&quot;:&quot;article-journal&quot;,&quot;id&quot;:&quot;a422d772-e0ad-3f57-ac78-d37c077ee507&quot;,&quot;title&quot;:&quot;Financial Analysis of Solar Rooftop PV System: Case Study in Indonesia&quot;,&quot;author&quot;:[{&quot;family&quot;:&quot;Tarigan&quot;,&quot;given&quot;:&quot;Elieser&quot;,&quot;parse-names&quot;:false,&quot;dropping-particle&quot;:&quot;&quot;,&quot;non-dropping-particle&quot;:&quot;&quot;}],&quot;container-title&quot;:&quot;International Journal of Energy Economics and Policy&quot;,&quot;DOI&quot;:&quot;10.32479/ijeep.14214&quot;,&quot;ISSN&quot;:&quot;21464553&quot;,&quot;issued&quot;:{&quot;date-parts&quot;:[[2023]]},&quot;page&quot;:&quot;15-19&quot;,&quot;abstract&quot;:&quot;The primary barrier to the dissemination of photovoltaic (PV) technology is its high cost as compared to other alternative options. This paper discusses some financial aspects of rooftop PV systems: module cost, BOS cost, useful lifetime, minimum attractive rate of return, and O&amp;M cost. An equation and numerical calculation were made for estimating the unit cost of electricity of a rooftop system. The numerical calculation and simulation were made by taking the condition of Indonesia as the case study. It was assumed that (i) the useful lifetime of the PV system is 20 years, (ii) the annual maintenance cost is 2% of the total capital cost of the system, (iii) taxes and insurance costs are not to be paid, and (iv) capacity utilization is 20%. It is found that rooftop PV systems have the potential to provide power at competitive prices for residential with other alternative options for power generation.&quot;,&quot;issue&quot;:&quot;3&quot;,&quot;volume&quot;:&quot;13&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2E75B7-D92F-47CD-87FE-71591CB64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3580</Words>
  <Characters>20409</Characters>
  <Application>Microsoft Office Word</Application>
  <DocSecurity>0</DocSecurity>
  <Lines>170</Lines>
  <Paragraphs>47</Paragraphs>
  <ScaleCrop>false</ScaleCrop>
  <Company/>
  <LinksUpToDate>false</LinksUpToDate>
  <CharactersWithSpaces>23942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Kulkarni, S.G. (Shridhar)</dc:creator>
  <cp:keywords/>
  <dc:description/>
  <cp:lastModifiedBy>Kulkarni, S.G. (Shridhar)</cp:lastModifiedBy>
  <cp:revision>816</cp:revision>
  <cp:lastPrinted>2025-08-01T13:44:00Z</cp:lastPrinted>
  <dcterms:created xsi:type="dcterms:W3CDTF">2025-04-01T04:43:00Z</dcterms:created>
  <dcterms:modified xsi:type="dcterms:W3CDTF">2025-08-01T13:44:00Z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http://www.zotero.org/styles/national-library-of-medicine</vt:lpwstr>
  </property>
  <property fmtid="{D5CDD505-2E9C-101B-9397-08002B2CF9AE}" pid="15" name="Mendeley Recent Style Name 6_1">
    <vt:lpwstr>National Library of Medicine</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http://www.zotero.org/styles/plos-medicine</vt:lpwstr>
  </property>
  <property fmtid="{D5CDD505-2E9C-101B-9397-08002B2CF9AE}" pid="19" name="Mendeley Recent Style Name 8_1">
    <vt:lpwstr>PLOS Medicine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