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5B6" w14:textId="77777777" w:rsidR="00955750" w:rsidRDefault="00955750" w:rsidP="00955750">
      <w:pPr>
        <w:rPr>
          <w:b/>
          <w:lang w:val="en-US"/>
        </w:rPr>
      </w:pPr>
      <w:r w:rsidRPr="00245A6D">
        <w:rPr>
          <w:b/>
          <w:lang w:val="en-US"/>
        </w:rPr>
        <w:t>Supplementary Table 1</w:t>
      </w:r>
      <w:sdt>
        <w:sdtPr>
          <w:tag w:val="goog_rdk_10"/>
          <w:id w:val="89290684"/>
        </w:sdtPr>
        <w:sdtContent/>
      </w:sdt>
      <w:r w:rsidRPr="00245A6D">
        <w:rPr>
          <w:b/>
          <w:lang w:val="en-US"/>
        </w:rPr>
        <w:t>. Primary and secondary antibodies used in this study</w:t>
      </w:r>
    </w:p>
    <w:p w14:paraId="2946F995" w14:textId="77777777" w:rsidR="00955750" w:rsidRDefault="00955750" w:rsidP="00955750">
      <w:pPr>
        <w:rPr>
          <w:b/>
          <w:lang w:val="en-US"/>
        </w:rPr>
      </w:pPr>
    </w:p>
    <w:p w14:paraId="1ABD3920" w14:textId="4360EA05" w:rsidR="00955750" w:rsidRDefault="00955750" w:rsidP="00955750">
      <w:pPr>
        <w:rPr>
          <w:b/>
          <w:lang w:val="en-US"/>
        </w:rPr>
      </w:pPr>
    </w:p>
    <w:tbl>
      <w:tblPr>
        <w:tblpPr w:leftFromText="141" w:rightFromText="141" w:vertAnchor="text" w:horzAnchor="margin" w:tblpXSpec="center" w:tblpY="-126"/>
        <w:tblW w:w="1064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581"/>
        <w:gridCol w:w="2532"/>
        <w:gridCol w:w="1107"/>
        <w:gridCol w:w="1424"/>
        <w:gridCol w:w="1424"/>
      </w:tblGrid>
      <w:tr w:rsidR="00955750" w14:paraId="479FC290" w14:textId="77777777" w:rsidTr="00955750">
        <w:trPr>
          <w:trHeight w:val="275"/>
          <w:tblHeader/>
        </w:trPr>
        <w:tc>
          <w:tcPr>
            <w:tcW w:w="2580" w:type="dxa"/>
            <w:shd w:val="clear" w:color="auto" w:fill="F2F2F2"/>
            <w:vAlign w:val="center"/>
          </w:tcPr>
          <w:p w14:paraId="6AB71615" w14:textId="77777777" w:rsidR="00955750" w:rsidRPr="00245A6D" w:rsidRDefault="00955750" w:rsidP="00955750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shd w:val="clear" w:color="auto" w:fill="F2F2F2"/>
            <w:vAlign w:val="center"/>
          </w:tcPr>
          <w:p w14:paraId="0CD70783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Origin</w:t>
            </w:r>
            <w:proofErr w:type="spellEnd"/>
          </w:p>
        </w:tc>
        <w:tc>
          <w:tcPr>
            <w:tcW w:w="2532" w:type="dxa"/>
            <w:shd w:val="clear" w:color="auto" w:fill="F2F2F2"/>
            <w:vAlign w:val="center"/>
          </w:tcPr>
          <w:p w14:paraId="3047E4F0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</w:t>
            </w:r>
          </w:p>
        </w:tc>
        <w:tc>
          <w:tcPr>
            <w:tcW w:w="1107" w:type="dxa"/>
            <w:shd w:val="clear" w:color="auto" w:fill="F2F2F2"/>
            <w:vAlign w:val="center"/>
          </w:tcPr>
          <w:p w14:paraId="51269571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Dilution</w:t>
            </w:r>
            <w:proofErr w:type="spellEnd"/>
          </w:p>
        </w:tc>
        <w:tc>
          <w:tcPr>
            <w:tcW w:w="1424" w:type="dxa"/>
            <w:shd w:val="clear" w:color="auto" w:fill="F2F2F2"/>
            <w:vAlign w:val="center"/>
          </w:tcPr>
          <w:p w14:paraId="503FEA1D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Antigen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retrieval</w:t>
            </w:r>
            <w:proofErr w:type="spellEnd"/>
          </w:p>
        </w:tc>
        <w:tc>
          <w:tcPr>
            <w:tcW w:w="1424" w:type="dxa"/>
            <w:shd w:val="clear" w:color="auto" w:fill="F2F2F2"/>
            <w:vAlign w:val="center"/>
          </w:tcPr>
          <w:p w14:paraId="3F05411D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Source</w:t>
            </w:r>
            <w:proofErr w:type="spellEnd"/>
          </w:p>
        </w:tc>
      </w:tr>
      <w:tr w:rsidR="00955750" w14:paraId="7ADE9EB4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56F7DDA9" w14:textId="77777777" w:rsidR="00955750" w:rsidRDefault="00955750" w:rsidP="0095575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CD68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DFF83F1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 (</w:t>
            </w:r>
            <w:proofErr w:type="spellStart"/>
            <w:r>
              <w:rPr>
                <w:sz w:val="20"/>
                <w:szCs w:val="20"/>
              </w:rPr>
              <w:t>mAB</w:t>
            </w:r>
            <w:proofErr w:type="spellEnd"/>
            <w:r>
              <w:rPr>
                <w:sz w:val="20"/>
                <w:szCs w:val="20"/>
              </w:rPr>
              <w:t>, IgG3)</w:t>
            </w:r>
          </w:p>
        </w:tc>
        <w:tc>
          <w:tcPr>
            <w:tcW w:w="2532" w:type="dxa"/>
            <w:shd w:val="clear" w:color="auto" w:fill="FFFFFF"/>
            <w:vAlign w:val="center"/>
          </w:tcPr>
          <w:p w14:paraId="4E75B5CD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Cluster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Differentiation</w:t>
            </w:r>
            <w:proofErr w:type="spellEnd"/>
            <w:r>
              <w:rPr>
                <w:sz w:val="20"/>
                <w:szCs w:val="20"/>
              </w:rPr>
              <w:t xml:space="preserve"> 68 (CD68)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14CC600D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F8D9FBF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EDTA pH 9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7365819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M087601-2; Agilent</w:t>
            </w:r>
          </w:p>
        </w:tc>
      </w:tr>
      <w:tr w:rsidR="00955750" w14:paraId="03F09B92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497B67AF" w14:textId="77777777" w:rsidR="00955750" w:rsidRDefault="00955750" w:rsidP="0095575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PLP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E458E00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 (</w:t>
            </w:r>
            <w:proofErr w:type="spellStart"/>
            <w:r>
              <w:rPr>
                <w:sz w:val="20"/>
                <w:szCs w:val="20"/>
              </w:rPr>
              <w:t>mAB</w:t>
            </w:r>
            <w:proofErr w:type="spellEnd"/>
            <w:r>
              <w:rPr>
                <w:sz w:val="20"/>
                <w:szCs w:val="20"/>
              </w:rPr>
              <w:t>, IgG2a)</w:t>
            </w:r>
          </w:p>
        </w:tc>
        <w:tc>
          <w:tcPr>
            <w:tcW w:w="2532" w:type="dxa"/>
            <w:shd w:val="clear" w:color="auto" w:fill="FFFFFF"/>
            <w:vAlign w:val="center"/>
          </w:tcPr>
          <w:p w14:paraId="6D655F47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Proteolipid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 (PLP)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505195B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1:500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0FAAADED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EDTA pH 9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21DF05DC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MCA839G; </w:t>
            </w:r>
            <w:proofErr w:type="spellStart"/>
            <w:r>
              <w:rPr>
                <w:sz w:val="20"/>
                <w:szCs w:val="20"/>
              </w:rPr>
              <w:t>BioRad</w:t>
            </w:r>
            <w:proofErr w:type="spellEnd"/>
          </w:p>
        </w:tc>
      </w:tr>
      <w:tr w:rsidR="00955750" w14:paraId="53CD45AC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408CF0ED" w14:textId="77777777" w:rsidR="00955750" w:rsidRDefault="00955750" w:rsidP="0095575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CD20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A039979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 (</w:t>
            </w:r>
            <w:proofErr w:type="spellStart"/>
            <w:r>
              <w:rPr>
                <w:sz w:val="20"/>
                <w:szCs w:val="20"/>
              </w:rPr>
              <w:t>mAB</w:t>
            </w:r>
            <w:proofErr w:type="spellEnd"/>
            <w:r>
              <w:rPr>
                <w:sz w:val="20"/>
                <w:szCs w:val="20"/>
              </w:rPr>
              <w:t>, IgG1)</w:t>
            </w:r>
          </w:p>
        </w:tc>
        <w:tc>
          <w:tcPr>
            <w:tcW w:w="2532" w:type="dxa"/>
            <w:shd w:val="clear" w:color="auto" w:fill="FFFFFF"/>
            <w:vAlign w:val="center"/>
          </w:tcPr>
          <w:p w14:paraId="7723ADF1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Cluster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Differentiation</w:t>
            </w:r>
            <w:proofErr w:type="spellEnd"/>
            <w:r>
              <w:rPr>
                <w:sz w:val="20"/>
                <w:szCs w:val="20"/>
              </w:rPr>
              <w:t xml:space="preserve"> 20 (CD20)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2ED4E17A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1:250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37DAC097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EDTA pH 9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5E1B2E54" w14:textId="77777777" w:rsidR="00955750" w:rsidRDefault="00955750" w:rsidP="0095575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MAB348; Merck</w:t>
            </w:r>
          </w:p>
        </w:tc>
      </w:tr>
      <w:tr w:rsidR="00955750" w14:paraId="5C253A2C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04F6CCAD" w14:textId="77777777" w:rsidR="00955750" w:rsidRDefault="00955750" w:rsidP="0095575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CD3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B16BFA0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Rabbit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pAB</w:t>
            </w:r>
            <w:proofErr w:type="spellEnd"/>
            <w:r>
              <w:rPr>
                <w:sz w:val="20"/>
                <w:szCs w:val="20"/>
              </w:rPr>
              <w:t xml:space="preserve">) 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32" w:type="dxa"/>
            <w:shd w:val="clear" w:color="auto" w:fill="FFFFFF"/>
            <w:vAlign w:val="center"/>
          </w:tcPr>
          <w:p w14:paraId="02C20823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Cluster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Differentiation</w:t>
            </w:r>
            <w:proofErr w:type="spellEnd"/>
            <w:r>
              <w:rPr>
                <w:sz w:val="20"/>
                <w:szCs w:val="20"/>
              </w:rPr>
              <w:t xml:space="preserve"> 3 (CD3)</w:t>
            </w:r>
          </w:p>
        </w:tc>
        <w:tc>
          <w:tcPr>
            <w:tcW w:w="1107" w:type="dxa"/>
            <w:shd w:val="clear" w:color="auto" w:fill="FFFFFF"/>
            <w:vAlign w:val="center"/>
          </w:tcPr>
          <w:p w14:paraId="68BEE43B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E468A24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EDTA pH 9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732E8EB2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A0452; Agilent</w:t>
            </w:r>
          </w:p>
        </w:tc>
      </w:tr>
      <w:tr w:rsidR="00955750" w14:paraId="60E7E0E4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1B359F66" w14:textId="77777777" w:rsidR="00955750" w:rsidRPr="00245A6D" w:rsidRDefault="00955750" w:rsidP="0095575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45A6D">
              <w:rPr>
                <w:sz w:val="20"/>
                <w:szCs w:val="20"/>
                <w:lang w:val="en-US"/>
              </w:rPr>
              <w:t xml:space="preserve">Goat </w:t>
            </w:r>
            <w:r>
              <w:rPr>
                <w:sz w:val="20"/>
                <w:szCs w:val="20"/>
              </w:rPr>
              <w:t>α</w:t>
            </w:r>
            <w:r w:rsidRPr="00245A6D">
              <w:rPr>
                <w:sz w:val="20"/>
                <w:szCs w:val="20"/>
                <w:lang w:val="en-US"/>
              </w:rPr>
              <w:t>-mouse. Biotinylated secondary antibody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330D7BB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Goat</w:t>
            </w:r>
            <w:proofErr w:type="spellEnd"/>
          </w:p>
        </w:tc>
        <w:tc>
          <w:tcPr>
            <w:tcW w:w="2532" w:type="dxa"/>
            <w:shd w:val="clear" w:color="auto" w:fill="FFFFFF"/>
            <w:vAlign w:val="center"/>
          </w:tcPr>
          <w:p w14:paraId="33D10C4F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75D1F169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2274AA0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08668ACF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Vector BA-9200</w:t>
            </w:r>
          </w:p>
        </w:tc>
      </w:tr>
      <w:tr w:rsidR="00955750" w14:paraId="3B059137" w14:textId="77777777" w:rsidTr="00955750">
        <w:trPr>
          <w:trHeight w:val="275"/>
        </w:trPr>
        <w:tc>
          <w:tcPr>
            <w:tcW w:w="2580" w:type="dxa"/>
            <w:shd w:val="clear" w:color="auto" w:fill="FFFFFF"/>
            <w:vAlign w:val="center"/>
          </w:tcPr>
          <w:p w14:paraId="3AAB85C9" w14:textId="77777777" w:rsidR="00955750" w:rsidRPr="00245A6D" w:rsidRDefault="00955750" w:rsidP="0095575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45A6D">
              <w:rPr>
                <w:sz w:val="20"/>
                <w:szCs w:val="20"/>
                <w:lang w:val="en-US"/>
              </w:rPr>
              <w:t xml:space="preserve">Goat </w:t>
            </w:r>
            <w:r>
              <w:rPr>
                <w:sz w:val="20"/>
                <w:szCs w:val="20"/>
              </w:rPr>
              <w:t>α</w:t>
            </w:r>
            <w:r w:rsidRPr="00245A6D">
              <w:rPr>
                <w:sz w:val="20"/>
                <w:szCs w:val="20"/>
                <w:lang w:val="en-US"/>
              </w:rPr>
              <w:t>-rabbit.  Biotinylated secondary antibody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1384CA1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Goat</w:t>
            </w:r>
            <w:proofErr w:type="spellEnd"/>
          </w:p>
        </w:tc>
        <w:tc>
          <w:tcPr>
            <w:tcW w:w="2532" w:type="dxa"/>
            <w:shd w:val="clear" w:color="auto" w:fill="FFFFFF"/>
            <w:vAlign w:val="center"/>
          </w:tcPr>
          <w:p w14:paraId="47E0A9CF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/>
            <w:vAlign w:val="center"/>
          </w:tcPr>
          <w:p w14:paraId="10DF4491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0562466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63BF3FF5" w14:textId="77777777" w:rsidR="00955750" w:rsidRDefault="00955750" w:rsidP="0095575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Vector BA-1000</w:t>
            </w:r>
          </w:p>
        </w:tc>
      </w:tr>
    </w:tbl>
    <w:p w14:paraId="77FEA1B9" w14:textId="7E8F2339" w:rsidR="00955750" w:rsidRDefault="00955750" w:rsidP="00955750">
      <w:pPr>
        <w:rPr>
          <w:b/>
          <w:lang w:val="en-US"/>
        </w:rPr>
      </w:pPr>
    </w:p>
    <w:p w14:paraId="54474CFF" w14:textId="4E61C640" w:rsidR="00955750" w:rsidRDefault="00955750" w:rsidP="00955750">
      <w:pPr>
        <w:rPr>
          <w:b/>
          <w:lang w:val="en-US"/>
        </w:rPr>
      </w:pPr>
    </w:p>
    <w:p w14:paraId="17FF6982" w14:textId="3C7F550D" w:rsidR="00955750" w:rsidRDefault="00955750" w:rsidP="00955750">
      <w:pPr>
        <w:rPr>
          <w:b/>
          <w:lang w:val="en-US"/>
        </w:rPr>
      </w:pPr>
    </w:p>
    <w:p w14:paraId="7BEEAFBB" w14:textId="0ED89B3D" w:rsidR="00955750" w:rsidRDefault="00955750" w:rsidP="00955750">
      <w:pPr>
        <w:rPr>
          <w:b/>
          <w:lang w:val="en-US"/>
        </w:rPr>
      </w:pPr>
    </w:p>
    <w:p w14:paraId="26C821D8" w14:textId="77777777" w:rsidR="00955750" w:rsidRDefault="00955750" w:rsidP="00955750">
      <w:pPr>
        <w:rPr>
          <w:b/>
          <w:lang w:val="en-US"/>
        </w:rPr>
      </w:pPr>
    </w:p>
    <w:sectPr w:rsidR="0095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50"/>
    <w:rsid w:val="00955750"/>
    <w:rsid w:val="00A85BB5"/>
    <w:rsid w:val="00A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27AC2"/>
  <w15:chartTrackingRefBased/>
  <w15:docId w15:val="{A81422F6-4930-E94A-83D8-49D68D36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5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7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Cubas Nuñez</dc:creator>
  <cp:keywords/>
  <dc:description/>
  <cp:lastModifiedBy>Laura Cubas Nuñez</cp:lastModifiedBy>
  <cp:revision>2</cp:revision>
  <dcterms:created xsi:type="dcterms:W3CDTF">2025-05-13T16:42:00Z</dcterms:created>
  <dcterms:modified xsi:type="dcterms:W3CDTF">2025-05-13T16:43:00Z</dcterms:modified>
</cp:coreProperties>
</file>