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21110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SUPPLEMENTAL DATA </w:t>
      </w:r>
    </w:p>
    <w:p w14:paraId="2775629D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drawing>
          <wp:inline distT="0" distB="0" distL="0" distR="0" wp14:anchorId="5CE20812" wp14:editId="3C09E122">
            <wp:extent cx="5942830" cy="2581425"/>
            <wp:effectExtent l="0" t="0" r="1270" b="0"/>
            <wp:docPr id="162457840" name="Picture 8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7840" name="Picture 8" descr="A screenshot of a cell phone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7" b="5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4E5AB" w14:textId="77777777" w:rsidR="00706DE9" w:rsidRPr="00F33B47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Figure S1. </w:t>
      </w:r>
      <w:r w:rsidRPr="00182826">
        <w:rPr>
          <w:rFonts w:ascii="Arial" w:hAnsi="Arial" w:cs="Arial"/>
          <w:b/>
          <w:bCs/>
          <w:color w:val="202020"/>
          <w:shd w:val="clear" w:color="auto" w:fill="FFFFFF"/>
        </w:rPr>
        <w:t>Als3p and Hyr1p encapsulation into GCP particles.</w:t>
      </w:r>
      <w:r>
        <w:rPr>
          <w:rFonts w:ascii="Arial" w:hAnsi="Arial" w:cs="Arial"/>
          <w:color w:val="202020"/>
          <w:shd w:val="clear" w:color="auto" w:fill="FFFFFF"/>
        </w:rPr>
        <w:t xml:space="preserve"> The encapsulation of the Als3p and Hyr1p was verified by estimating protein contents in the pellet and supernatant fractions. The GCP </w:t>
      </w:r>
      <w:proofErr w:type="gramStart"/>
      <w:r>
        <w:rPr>
          <w:rFonts w:ascii="Arial" w:hAnsi="Arial" w:cs="Arial"/>
          <w:color w:val="202020"/>
          <w:shd w:val="clear" w:color="auto" w:fill="FFFFFF"/>
        </w:rPr>
        <w:t>encapsulating</w:t>
      </w:r>
      <w:proofErr w:type="gramEnd"/>
      <w:r>
        <w:rPr>
          <w:rFonts w:ascii="Arial" w:hAnsi="Arial" w:cs="Arial"/>
          <w:color w:val="202020"/>
          <w:shd w:val="clear" w:color="auto" w:fill="FFFFFF"/>
        </w:rPr>
        <w:t xml:space="preserve"> Als3p or Hyr1p antigen was centrifuged at 4000g for 20 minutes, and pellets and supernatant were collected and loaded on SDS-PAGE and bovine serum albumin as a loading control. </w:t>
      </w:r>
    </w:p>
    <w:p w14:paraId="1CFBB9A6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000DD7B2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2E187898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7BD72A25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0878CD7F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1D7044F3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7711E083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03DEF150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lastRenderedPageBreak/>
        <w:drawing>
          <wp:inline distT="0" distB="0" distL="0" distR="0" wp14:anchorId="0872CAAB" wp14:editId="206E218D">
            <wp:extent cx="5943600" cy="7924800"/>
            <wp:effectExtent l="0" t="0" r="0" b="0"/>
            <wp:docPr id="294598966" name="Picture 9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98966" name="Picture 9" descr="A close-up of a graph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36F2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lastRenderedPageBreak/>
        <w:t xml:space="preserve">Figure S2. </w:t>
      </w:r>
      <w:r w:rsidRPr="00D02DE0">
        <w:rPr>
          <w:rFonts w:ascii="Arial" w:hAnsi="Arial" w:cs="Arial"/>
          <w:b/>
          <w:bCs/>
          <w:color w:val="202020"/>
          <w:shd w:val="clear" w:color="auto" w:fill="FFFFFF"/>
        </w:rPr>
        <w:t xml:space="preserve">Anti-Als3p 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and Hyr1p </w:t>
      </w:r>
      <w:r w:rsidRPr="00D02DE0">
        <w:rPr>
          <w:rFonts w:ascii="Arial" w:hAnsi="Arial" w:cs="Arial"/>
          <w:b/>
          <w:bCs/>
          <w:color w:val="202020"/>
          <w:shd w:val="clear" w:color="auto" w:fill="FFFFFF"/>
        </w:rPr>
        <w:t>IgG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 endpoint</w:t>
      </w:r>
      <w:r w:rsidRPr="00D02DE0">
        <w:rPr>
          <w:rFonts w:ascii="Arial" w:hAnsi="Arial" w:cs="Arial"/>
          <w:b/>
          <w:bCs/>
          <w:color w:val="202020"/>
          <w:shd w:val="clear" w:color="auto" w:fill="FFFFFF"/>
        </w:rPr>
        <w:t xml:space="preserve"> titers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 in mice vaccinated with different adjuvant vaccine formulations. </w:t>
      </w:r>
      <w:r>
        <w:rPr>
          <w:rFonts w:ascii="Arial" w:hAnsi="Arial" w:cs="Arial"/>
          <w:color w:val="202020"/>
          <w:shd w:val="clear" w:color="auto" w:fill="FFFFFF"/>
        </w:rPr>
        <w:t xml:space="preserve">The ICR </w:t>
      </w:r>
      <w:r w:rsidRPr="006A69BE">
        <w:rPr>
          <w:rFonts w:ascii="Arial" w:hAnsi="Arial" w:cs="Arial"/>
          <w:color w:val="202020"/>
          <w:shd w:val="clear" w:color="auto" w:fill="FFFFFF"/>
        </w:rPr>
        <w:t xml:space="preserve">CD-1 mice (N= 5/group) </w:t>
      </w:r>
      <w:r>
        <w:rPr>
          <w:rFonts w:ascii="Arial" w:hAnsi="Arial" w:cs="Arial"/>
          <w:color w:val="202020"/>
          <w:shd w:val="clear" w:color="auto" w:fill="FFFFFF"/>
        </w:rPr>
        <w:t xml:space="preserve">were </w:t>
      </w:r>
      <w:r w:rsidRPr="006A69BE">
        <w:rPr>
          <w:rFonts w:ascii="Arial" w:hAnsi="Arial" w:cs="Arial"/>
          <w:color w:val="202020"/>
          <w:shd w:val="clear" w:color="auto" w:fill="FFFFFF"/>
        </w:rPr>
        <w:t xml:space="preserve">vaccinated </w:t>
      </w:r>
      <w:r>
        <w:rPr>
          <w:rFonts w:ascii="Arial" w:hAnsi="Arial" w:cs="Arial"/>
          <w:color w:val="202020"/>
          <w:shd w:val="clear" w:color="auto" w:fill="FFFFFF"/>
        </w:rPr>
        <w:t>subcutaneously</w:t>
      </w:r>
      <w:r w:rsidRPr="006A69BE">
        <w:rPr>
          <w:rFonts w:ascii="Arial" w:hAnsi="Arial" w:cs="Arial"/>
          <w:color w:val="202020"/>
          <w:shd w:val="clear" w:color="auto" w:fill="FFFFFF"/>
        </w:rPr>
        <w:t xml:space="preserve"> </w:t>
      </w:r>
      <w:r>
        <w:rPr>
          <w:rFonts w:ascii="Arial" w:hAnsi="Arial" w:cs="Arial"/>
          <w:color w:val="202020"/>
          <w:shd w:val="clear" w:color="auto" w:fill="FFFFFF"/>
        </w:rPr>
        <w:t xml:space="preserve">(except BDX100, which was administered intranasally) </w:t>
      </w:r>
      <w:r w:rsidRPr="006A69BE">
        <w:rPr>
          <w:rFonts w:ascii="Arial" w:hAnsi="Arial" w:cs="Arial"/>
          <w:color w:val="202020"/>
          <w:shd w:val="clear" w:color="auto" w:fill="FFFFFF"/>
        </w:rPr>
        <w:t xml:space="preserve">with different </w:t>
      </w:r>
      <w:r>
        <w:rPr>
          <w:rFonts w:ascii="Arial" w:hAnsi="Arial" w:cs="Arial"/>
          <w:color w:val="202020"/>
          <w:shd w:val="clear" w:color="auto" w:fill="FFFFFF"/>
        </w:rPr>
        <w:t xml:space="preserve">adjuvant </w:t>
      </w:r>
      <w:r w:rsidRPr="006A69BE">
        <w:rPr>
          <w:rFonts w:ascii="Arial" w:hAnsi="Arial" w:cs="Arial"/>
          <w:color w:val="202020"/>
          <w:shd w:val="clear" w:color="auto" w:fill="FFFFFF"/>
        </w:rPr>
        <w:t>vaccine formulations on day</w:t>
      </w:r>
      <w:r>
        <w:rPr>
          <w:rFonts w:ascii="Arial" w:hAnsi="Arial" w:cs="Arial"/>
          <w:color w:val="202020"/>
          <w:shd w:val="clear" w:color="auto" w:fill="FFFFFF"/>
        </w:rPr>
        <w:t>s</w:t>
      </w:r>
      <w:r w:rsidRPr="006A69BE">
        <w:rPr>
          <w:rFonts w:ascii="Arial" w:hAnsi="Arial" w:cs="Arial"/>
          <w:color w:val="202020"/>
          <w:shd w:val="clear" w:color="auto" w:fill="FFFFFF"/>
        </w:rPr>
        <w:t xml:space="preserve"> 0 and 21. Two weeks after </w:t>
      </w:r>
      <w:r>
        <w:rPr>
          <w:rFonts w:ascii="Arial" w:hAnsi="Arial" w:cs="Arial"/>
          <w:color w:val="202020"/>
          <w:shd w:val="clear" w:color="auto" w:fill="FFFFFF"/>
        </w:rPr>
        <w:t xml:space="preserve">the </w:t>
      </w:r>
      <w:r w:rsidRPr="006A69BE">
        <w:rPr>
          <w:rFonts w:ascii="Arial" w:hAnsi="Arial" w:cs="Arial"/>
          <w:color w:val="202020"/>
          <w:shd w:val="clear" w:color="auto" w:fill="FFFFFF"/>
        </w:rPr>
        <w:t xml:space="preserve">final vaccination, serum </w:t>
      </w:r>
      <w:r>
        <w:rPr>
          <w:rFonts w:ascii="Arial" w:hAnsi="Arial" w:cs="Arial"/>
          <w:color w:val="202020"/>
          <w:shd w:val="clear" w:color="auto" w:fill="FFFFFF"/>
        </w:rPr>
        <w:t xml:space="preserve">antigen-specific </w:t>
      </w:r>
      <w:r w:rsidRPr="006A69BE">
        <w:rPr>
          <w:rFonts w:ascii="Arial" w:hAnsi="Arial" w:cs="Arial"/>
          <w:color w:val="202020"/>
          <w:shd w:val="clear" w:color="auto" w:fill="FFFFFF"/>
        </w:rPr>
        <w:t>IgG titers were evaluated using ELISA.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6A69BE">
        <w:rPr>
          <w:rFonts w:ascii="Arial" w:hAnsi="Arial" w:cs="Arial"/>
          <w:color w:val="202020"/>
          <w:shd w:val="clear" w:color="auto" w:fill="FFFFFF"/>
        </w:rPr>
        <w:t xml:space="preserve">Als3 and Hyr1 antigens ratio </w:t>
      </w:r>
      <w:r>
        <w:rPr>
          <w:rFonts w:ascii="Arial" w:hAnsi="Arial" w:cs="Arial"/>
          <w:color w:val="202020"/>
          <w:shd w:val="clear" w:color="auto" w:fill="FFFFFF"/>
        </w:rPr>
        <w:t xml:space="preserve">in the vaccine formulations are represented </w:t>
      </w:r>
      <w:r w:rsidRPr="006A69BE">
        <w:rPr>
          <w:rFonts w:ascii="Arial" w:hAnsi="Arial" w:cs="Arial"/>
          <w:color w:val="202020"/>
          <w:shd w:val="clear" w:color="auto" w:fill="FFFFFF"/>
        </w:rPr>
        <w:t xml:space="preserve">on </w:t>
      </w:r>
      <w:r>
        <w:rPr>
          <w:rFonts w:ascii="Arial" w:hAnsi="Arial" w:cs="Arial"/>
          <w:color w:val="202020"/>
          <w:shd w:val="clear" w:color="auto" w:fill="FFFFFF"/>
        </w:rPr>
        <w:t xml:space="preserve">the </w:t>
      </w:r>
      <w:r w:rsidRPr="006A69BE">
        <w:rPr>
          <w:rFonts w:ascii="Arial" w:hAnsi="Arial" w:cs="Arial"/>
          <w:color w:val="202020"/>
          <w:shd w:val="clear" w:color="auto" w:fill="FFFFFF"/>
        </w:rPr>
        <w:t>x-axis</w:t>
      </w:r>
      <w:r>
        <w:rPr>
          <w:rFonts w:ascii="Arial" w:hAnsi="Arial" w:cs="Arial"/>
          <w:color w:val="202020"/>
          <w:shd w:val="clear" w:color="auto" w:fill="FFFFFF"/>
        </w:rPr>
        <w:t xml:space="preserve">. </w:t>
      </w:r>
      <w:r w:rsidRPr="0059475B">
        <w:rPr>
          <w:rFonts w:ascii="Arial" w:hAnsi="Arial" w:cs="Arial"/>
          <w:b/>
          <w:bCs/>
          <w:color w:val="202020"/>
          <w:shd w:val="clear" w:color="auto" w:fill="FFFFFF"/>
        </w:rPr>
        <w:t>(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>A</w:t>
      </w:r>
      <w:r w:rsidRPr="0059475B">
        <w:rPr>
          <w:rFonts w:ascii="Arial" w:hAnsi="Arial" w:cs="Arial"/>
          <w:b/>
          <w:bCs/>
          <w:color w:val="202020"/>
          <w:shd w:val="clear" w:color="auto" w:fill="FFFFFF"/>
        </w:rPr>
        <w:t>).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59475B">
        <w:rPr>
          <w:rFonts w:ascii="Arial" w:hAnsi="Arial" w:cs="Arial"/>
          <w:color w:val="202020"/>
          <w:shd w:val="clear" w:color="auto" w:fill="FFFFFF"/>
        </w:rPr>
        <w:t>Anti-Als3p IgG titers comparison among different adjuvant formulations</w:t>
      </w:r>
      <w:r>
        <w:rPr>
          <w:rFonts w:ascii="Arial" w:hAnsi="Arial" w:cs="Arial"/>
          <w:color w:val="202020"/>
          <w:shd w:val="clear" w:color="auto" w:fill="FFFFFF"/>
        </w:rPr>
        <w:t xml:space="preserve">; </w:t>
      </w:r>
      <w:r w:rsidRPr="00274D87">
        <w:rPr>
          <w:rFonts w:ascii="Arial" w:hAnsi="Arial" w:cs="Arial"/>
          <w:b/>
          <w:bCs/>
          <w:color w:val="202020"/>
          <w:shd w:val="clear" w:color="auto" w:fill="FFFFFF"/>
        </w:rPr>
        <w:t>(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>B</w:t>
      </w:r>
      <w:r w:rsidRPr="00274D87">
        <w:rPr>
          <w:rFonts w:ascii="Arial" w:hAnsi="Arial" w:cs="Arial"/>
          <w:b/>
          <w:bCs/>
          <w:color w:val="202020"/>
          <w:shd w:val="clear" w:color="auto" w:fill="FFFFFF"/>
        </w:rPr>
        <w:t>).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274D87">
        <w:rPr>
          <w:rFonts w:ascii="Arial" w:hAnsi="Arial" w:cs="Arial"/>
          <w:color w:val="202020"/>
          <w:shd w:val="clear" w:color="auto" w:fill="FFFFFF"/>
        </w:rPr>
        <w:t>Anti-Hyr1p IgG titers comparison among different adjuvant formulations</w:t>
      </w:r>
      <w:r>
        <w:rPr>
          <w:rFonts w:ascii="Arial" w:hAnsi="Arial" w:cs="Arial"/>
          <w:color w:val="202020"/>
          <w:shd w:val="clear" w:color="auto" w:fill="FFFFFF"/>
        </w:rPr>
        <w:t xml:space="preserve">. </w:t>
      </w:r>
      <w:r w:rsidRPr="003C35C2">
        <w:rPr>
          <w:rFonts w:ascii="Arial" w:hAnsi="Arial" w:cs="Arial"/>
          <w:b/>
          <w:bCs/>
          <w:color w:val="202020"/>
          <w:shd w:val="clear" w:color="auto" w:fill="FFFFFF"/>
        </w:rPr>
        <w:t>(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>C</w:t>
      </w:r>
      <w:r w:rsidRPr="003C35C2">
        <w:rPr>
          <w:rFonts w:ascii="Arial" w:hAnsi="Arial" w:cs="Arial"/>
          <w:b/>
          <w:bCs/>
          <w:color w:val="202020"/>
          <w:shd w:val="clear" w:color="auto" w:fill="FFFFFF"/>
        </w:rPr>
        <w:t>).</w:t>
      </w:r>
      <w:r>
        <w:rPr>
          <w:rFonts w:ascii="Arial" w:hAnsi="Arial" w:cs="Arial"/>
          <w:color w:val="202020"/>
          <w:shd w:val="clear" w:color="auto" w:fill="FFFFFF"/>
        </w:rPr>
        <w:t xml:space="preserve"> Co</w:t>
      </w:r>
      <w:r w:rsidRPr="00CD16A2">
        <w:rPr>
          <w:rFonts w:ascii="Arial" w:hAnsi="Arial" w:cs="Arial"/>
          <w:color w:val="202020"/>
          <w:shd w:val="clear" w:color="auto" w:fill="FFFFFF"/>
        </w:rPr>
        <w:t xml:space="preserve">mparing </w:t>
      </w:r>
      <w:r>
        <w:rPr>
          <w:rFonts w:ascii="Arial" w:hAnsi="Arial" w:cs="Arial"/>
          <w:color w:val="202020"/>
          <w:shd w:val="clear" w:color="auto" w:fill="FFFFFF"/>
        </w:rPr>
        <w:t xml:space="preserve">serum </w:t>
      </w:r>
      <w:r w:rsidRPr="00CD16A2">
        <w:rPr>
          <w:rFonts w:ascii="Arial" w:hAnsi="Arial" w:cs="Arial"/>
          <w:color w:val="202020"/>
          <w:shd w:val="clear" w:color="auto" w:fill="FFFFFF"/>
        </w:rPr>
        <w:t>Anti-Als3p and Anti-Hyr1p IgG endpoint titers in different adjuvant vaccine formulations.</w:t>
      </w:r>
      <w:r w:rsidRPr="00D472EB">
        <w:rPr>
          <w:rFonts w:ascii="Arial" w:hAnsi="Arial" w:cs="Arial"/>
          <w:b/>
          <w:bCs/>
          <w:color w:val="202020"/>
          <w:shd w:val="clear" w:color="auto" w:fill="FFFFFF"/>
        </w:rPr>
        <w:t xml:space="preserve"> </w:t>
      </w:r>
      <w:r>
        <w:rPr>
          <w:rFonts w:ascii="Arial" w:hAnsi="Arial" w:cs="Arial"/>
          <w:color w:val="202020"/>
          <w:shd w:val="clear" w:color="auto" w:fill="FFFFFF"/>
        </w:rPr>
        <w:t xml:space="preserve">Mean endpoint </w:t>
      </w:r>
      <w:proofErr w:type="gramStart"/>
      <w:r>
        <w:rPr>
          <w:rFonts w:ascii="Arial" w:hAnsi="Arial" w:cs="Arial"/>
          <w:color w:val="202020"/>
          <w:shd w:val="clear" w:color="auto" w:fill="FFFFFF"/>
        </w:rPr>
        <w:t>titers</w:t>
      </w:r>
      <w:proofErr w:type="gramEnd"/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ED6B03">
        <w:rPr>
          <w:rFonts w:ascii="Arial" w:hAnsi="Arial" w:cs="Arial"/>
          <w:color w:val="202020"/>
          <w:u w:val="single"/>
          <w:shd w:val="clear" w:color="auto" w:fill="FFFFFF"/>
        </w:rPr>
        <w:t>+</w:t>
      </w:r>
      <w:r>
        <w:rPr>
          <w:rFonts w:ascii="Arial" w:hAnsi="Arial" w:cs="Arial"/>
          <w:color w:val="202020"/>
          <w:shd w:val="clear" w:color="auto" w:fill="FFFFFF"/>
        </w:rPr>
        <w:t xml:space="preserve"> Standard Error </w:t>
      </w:r>
      <w:proofErr w:type="gramStart"/>
      <w:r>
        <w:rPr>
          <w:rFonts w:ascii="Arial" w:hAnsi="Arial" w:cs="Arial"/>
          <w:color w:val="202020"/>
          <w:shd w:val="clear" w:color="auto" w:fill="FFFFFF"/>
        </w:rPr>
        <w:t>is</w:t>
      </w:r>
      <w:proofErr w:type="gramEnd"/>
      <w:r>
        <w:rPr>
          <w:rFonts w:ascii="Arial" w:hAnsi="Arial" w:cs="Arial"/>
          <w:color w:val="202020"/>
          <w:shd w:val="clear" w:color="auto" w:fill="FFFFFF"/>
        </w:rPr>
        <w:t xml:space="preserve"> shown in the bar graph. Each data point represents a biological replicate (animal).  </w:t>
      </w:r>
    </w:p>
    <w:p w14:paraId="39F159D9" w14:textId="4382B842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lastRenderedPageBreak/>
        <w:drawing>
          <wp:inline distT="0" distB="0" distL="0" distR="0" wp14:anchorId="3D48DB6A" wp14:editId="1AB15748">
            <wp:extent cx="5943600" cy="7924800"/>
            <wp:effectExtent l="0" t="0" r="0" b="0"/>
            <wp:docPr id="982853001" name="Picture 10" descr="A close-up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53001" name="Picture 10" descr="A close-up of a char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 xml:space="preserve"> </w:t>
      </w:r>
    </w:p>
    <w:p w14:paraId="26A62297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lastRenderedPageBreak/>
        <w:t>Figure S3. Antigen-specific</w:t>
      </w:r>
      <w:r w:rsidRPr="003D4DB9">
        <w:rPr>
          <w:rFonts w:ascii="Arial" w:hAnsi="Arial" w:cs="Arial"/>
          <w:b/>
          <w:bCs/>
          <w:color w:val="202020"/>
          <w:shd w:val="clear" w:color="auto" w:fill="FFFFFF"/>
        </w:rPr>
        <w:t xml:space="preserve"> IgG 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>endpoint t</w:t>
      </w:r>
      <w:r w:rsidRPr="003D4DB9">
        <w:rPr>
          <w:rFonts w:ascii="Arial" w:hAnsi="Arial" w:cs="Arial"/>
          <w:b/>
          <w:bCs/>
          <w:color w:val="202020"/>
          <w:shd w:val="clear" w:color="auto" w:fill="FFFFFF"/>
        </w:rPr>
        <w:t>iters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 and T cells in different adjuvant vaccine formulations. </w:t>
      </w:r>
      <w:r w:rsidRPr="00B011C7">
        <w:rPr>
          <w:rFonts w:ascii="Arial" w:hAnsi="Arial" w:cs="Arial"/>
          <w:color w:val="202020"/>
          <w:shd w:val="clear" w:color="auto" w:fill="FFFFFF"/>
        </w:rPr>
        <w:t>IgG antibody and T cell responses were analyzed in mice</w:t>
      </w:r>
      <w:r>
        <w:rPr>
          <w:rFonts w:ascii="Arial" w:hAnsi="Arial" w:cs="Arial"/>
          <w:color w:val="202020"/>
          <w:shd w:val="clear" w:color="auto" w:fill="FFFFFF"/>
        </w:rPr>
        <w:t xml:space="preserve"> (n= 5/group)</w:t>
      </w:r>
      <w:r w:rsidRPr="00B011C7">
        <w:rPr>
          <w:rFonts w:ascii="Arial" w:hAnsi="Arial" w:cs="Arial"/>
          <w:color w:val="202020"/>
          <w:shd w:val="clear" w:color="auto" w:fill="FFFFFF"/>
        </w:rPr>
        <w:t xml:space="preserve"> vaccinated </w:t>
      </w:r>
      <w:r>
        <w:rPr>
          <w:rFonts w:ascii="Arial" w:hAnsi="Arial" w:cs="Arial"/>
          <w:color w:val="202020"/>
          <w:shd w:val="clear" w:color="auto" w:fill="FFFFFF"/>
        </w:rPr>
        <w:t xml:space="preserve">on days 0 and 21 </w:t>
      </w:r>
      <w:r w:rsidRPr="00B011C7">
        <w:rPr>
          <w:rFonts w:ascii="Arial" w:hAnsi="Arial" w:cs="Arial"/>
          <w:color w:val="202020"/>
          <w:shd w:val="clear" w:color="auto" w:fill="FFFFFF"/>
        </w:rPr>
        <w:t>with different adjuvant vaccine formulations</w:t>
      </w:r>
      <w:r>
        <w:rPr>
          <w:rFonts w:ascii="Arial" w:hAnsi="Arial" w:cs="Arial"/>
          <w:color w:val="202020"/>
          <w:shd w:val="clear" w:color="auto" w:fill="FFFFFF"/>
        </w:rPr>
        <w:t xml:space="preserve">. </w:t>
      </w:r>
      <w:r w:rsidRPr="0059475B">
        <w:rPr>
          <w:rFonts w:ascii="Arial" w:hAnsi="Arial" w:cs="Arial"/>
          <w:b/>
          <w:bCs/>
          <w:color w:val="202020"/>
          <w:shd w:val="clear" w:color="auto" w:fill="FFFFFF"/>
        </w:rPr>
        <w:t>(A).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54346E">
        <w:rPr>
          <w:rFonts w:ascii="Arial" w:hAnsi="Arial" w:cs="Arial"/>
          <w:color w:val="202020"/>
          <w:shd w:val="clear" w:color="auto" w:fill="FFFFFF"/>
        </w:rPr>
        <w:t>Anti-Als3p IgG titers in different adjuvant formulations</w:t>
      </w:r>
      <w:r>
        <w:rPr>
          <w:rFonts w:ascii="Arial" w:hAnsi="Arial" w:cs="Arial"/>
          <w:color w:val="202020"/>
          <w:shd w:val="clear" w:color="auto" w:fill="FFFFFF"/>
        </w:rPr>
        <w:t xml:space="preserve">; </w:t>
      </w:r>
      <w:r w:rsidRPr="00C463F3">
        <w:rPr>
          <w:rFonts w:ascii="Arial" w:hAnsi="Arial" w:cs="Arial"/>
          <w:b/>
          <w:bCs/>
          <w:color w:val="202020"/>
          <w:shd w:val="clear" w:color="auto" w:fill="FFFFFF"/>
        </w:rPr>
        <w:t>(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>B</w:t>
      </w:r>
      <w:r w:rsidRPr="00C463F3">
        <w:rPr>
          <w:rFonts w:ascii="Arial" w:hAnsi="Arial" w:cs="Arial"/>
          <w:b/>
          <w:bCs/>
          <w:color w:val="202020"/>
          <w:shd w:val="clear" w:color="auto" w:fill="FFFFFF"/>
        </w:rPr>
        <w:t>).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C463F3">
        <w:rPr>
          <w:rFonts w:ascii="Arial" w:hAnsi="Arial" w:cs="Arial"/>
          <w:color w:val="202020"/>
          <w:shd w:val="clear" w:color="auto" w:fill="FFFFFF"/>
        </w:rPr>
        <w:t xml:space="preserve">Anti-Hyr1p IgG </w:t>
      </w:r>
      <w:proofErr w:type="gramStart"/>
      <w:r w:rsidRPr="00C463F3">
        <w:rPr>
          <w:rFonts w:ascii="Arial" w:hAnsi="Arial" w:cs="Arial"/>
          <w:color w:val="202020"/>
          <w:shd w:val="clear" w:color="auto" w:fill="FFFFFF"/>
        </w:rPr>
        <w:t>titers</w:t>
      </w:r>
      <w:proofErr w:type="gramEnd"/>
      <w:r w:rsidRPr="00C463F3">
        <w:rPr>
          <w:rFonts w:ascii="Arial" w:hAnsi="Arial" w:cs="Arial"/>
          <w:color w:val="202020"/>
          <w:shd w:val="clear" w:color="auto" w:fill="FFFFFF"/>
        </w:rPr>
        <w:t xml:space="preserve"> in different adjuvant formulations</w:t>
      </w:r>
      <w:r>
        <w:rPr>
          <w:rFonts w:ascii="Arial" w:hAnsi="Arial" w:cs="Arial"/>
          <w:color w:val="202020"/>
          <w:shd w:val="clear" w:color="auto" w:fill="FFFFFF"/>
        </w:rPr>
        <w:t xml:space="preserve">. The antibody </w:t>
      </w:r>
      <w:proofErr w:type="gramStart"/>
      <w:r>
        <w:rPr>
          <w:rFonts w:ascii="Arial" w:hAnsi="Arial" w:cs="Arial"/>
          <w:color w:val="202020"/>
          <w:shd w:val="clear" w:color="auto" w:fill="FFFFFF"/>
        </w:rPr>
        <w:t>titers</w:t>
      </w:r>
      <w:proofErr w:type="gramEnd"/>
      <w:r>
        <w:rPr>
          <w:rFonts w:ascii="Arial" w:hAnsi="Arial" w:cs="Arial"/>
          <w:color w:val="202020"/>
          <w:shd w:val="clear" w:color="auto" w:fill="FFFFFF"/>
        </w:rPr>
        <w:t xml:space="preserve"> are presented in the bar graphs. Each data point represents a biological replicate (animal).  </w:t>
      </w:r>
      <w:r w:rsidRPr="003C35C2">
        <w:rPr>
          <w:rFonts w:ascii="Arial" w:hAnsi="Arial" w:cs="Arial"/>
          <w:b/>
          <w:bCs/>
          <w:color w:val="202020"/>
          <w:shd w:val="clear" w:color="auto" w:fill="FFFFFF"/>
        </w:rPr>
        <w:t>(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>C</w:t>
      </w:r>
      <w:r w:rsidRPr="003C35C2">
        <w:rPr>
          <w:rFonts w:ascii="Arial" w:hAnsi="Arial" w:cs="Arial"/>
          <w:b/>
          <w:bCs/>
          <w:color w:val="202020"/>
          <w:shd w:val="clear" w:color="auto" w:fill="FFFFFF"/>
        </w:rPr>
        <w:t>).</w:t>
      </w:r>
      <w:r>
        <w:rPr>
          <w:rFonts w:ascii="Arial" w:hAnsi="Arial" w:cs="Arial"/>
          <w:color w:val="202020"/>
          <w:shd w:val="clear" w:color="auto" w:fill="FFFFFF"/>
        </w:rPr>
        <w:t xml:space="preserve"> Splenocytes were stimulated with Als3p or Hyr1p antigens for 24 hours in </w:t>
      </w:r>
      <w:proofErr w:type="spellStart"/>
      <w:r>
        <w:rPr>
          <w:rFonts w:ascii="Arial" w:hAnsi="Arial" w:cs="Arial"/>
          <w:color w:val="202020"/>
          <w:shd w:val="clear" w:color="auto" w:fill="FFFFFF"/>
        </w:rPr>
        <w:t>FluroSpot</w:t>
      </w:r>
      <w:proofErr w:type="spellEnd"/>
      <w:r>
        <w:rPr>
          <w:rFonts w:ascii="Arial" w:hAnsi="Arial" w:cs="Arial"/>
          <w:color w:val="202020"/>
          <w:shd w:val="clear" w:color="auto" w:fill="FFFFFF"/>
        </w:rPr>
        <w:t xml:space="preserve"> plates coated with IFN-gamma, IL-4 and IL-17A capture antibodies. After the incubation, the plates were developed for </w:t>
      </w:r>
      <w:proofErr w:type="spellStart"/>
      <w:r>
        <w:rPr>
          <w:rFonts w:ascii="Arial" w:hAnsi="Arial" w:cs="Arial"/>
          <w:color w:val="202020"/>
          <w:shd w:val="clear" w:color="auto" w:fill="FFFFFF"/>
        </w:rPr>
        <w:t>FluroSpot</w:t>
      </w:r>
      <w:proofErr w:type="spellEnd"/>
      <w:r>
        <w:rPr>
          <w:rFonts w:ascii="Arial" w:hAnsi="Arial" w:cs="Arial"/>
          <w:color w:val="202020"/>
          <w:shd w:val="clear" w:color="auto" w:fill="FFFFFF"/>
        </w:rPr>
        <w:t xml:space="preserve"> and counted in </w:t>
      </w:r>
      <w:proofErr w:type="spellStart"/>
      <w:r>
        <w:rPr>
          <w:rFonts w:ascii="Arial" w:hAnsi="Arial" w:cs="Arial"/>
          <w:color w:val="202020"/>
          <w:shd w:val="clear" w:color="auto" w:fill="FFFFFF"/>
        </w:rPr>
        <w:t>FluroSpot</w:t>
      </w:r>
      <w:proofErr w:type="spellEnd"/>
      <w:r>
        <w:rPr>
          <w:rFonts w:ascii="Arial" w:hAnsi="Arial" w:cs="Arial"/>
          <w:color w:val="202020"/>
          <w:shd w:val="clear" w:color="auto" w:fill="FFFFFF"/>
        </w:rPr>
        <w:t xml:space="preserve"> reader. </w:t>
      </w:r>
      <w:proofErr w:type="spellStart"/>
      <w:r>
        <w:rPr>
          <w:rFonts w:ascii="Arial" w:hAnsi="Arial" w:cs="Arial"/>
          <w:color w:val="202020"/>
          <w:shd w:val="clear" w:color="auto" w:fill="FFFFFF"/>
        </w:rPr>
        <w:t>FluroSpot</w:t>
      </w:r>
      <w:proofErr w:type="spellEnd"/>
      <w:r>
        <w:rPr>
          <w:rFonts w:ascii="Arial" w:hAnsi="Arial" w:cs="Arial"/>
          <w:color w:val="202020"/>
          <w:shd w:val="clear" w:color="auto" w:fill="FFFFFF"/>
        </w:rPr>
        <w:t xml:space="preserve"> counts in unstimulated wells were subtracted from the antigen-stimulated wells (duplicate wells) and represented as mean frequency of antigen-specific Th1 (IFN-gamma), Th2 (IL-4) or Th17 (Il-17) cells in the heat maps. </w:t>
      </w:r>
    </w:p>
    <w:p w14:paraId="08E385A2" w14:textId="77777777" w:rsidR="00706DE9" w:rsidRDefault="00706DE9">
      <w:pPr>
        <w:spacing w:after="160" w:line="278" w:lineRule="auto"/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br w:type="page"/>
      </w:r>
    </w:p>
    <w:p w14:paraId="7B10AD73" w14:textId="67EFFA7C" w:rsidR="00706DE9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lastRenderedPageBreak/>
        <w:drawing>
          <wp:inline distT="0" distB="0" distL="0" distR="0" wp14:anchorId="02BA8503" wp14:editId="09805108">
            <wp:extent cx="5943600" cy="7924800"/>
            <wp:effectExtent l="0" t="0" r="0" b="0"/>
            <wp:docPr id="710670241" name="Picture 11" descr="A graph of different vaccin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70241" name="Picture 11" descr="A graph of different vaccination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</w:p>
    <w:p w14:paraId="4181D9C5" w14:textId="77777777" w:rsidR="00706DE9" w:rsidRPr="001D0F88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lastRenderedPageBreak/>
        <w:t xml:space="preserve">Figure S4. </w:t>
      </w:r>
      <w:r w:rsidRPr="006244F5">
        <w:rPr>
          <w:rFonts w:ascii="Arial" w:hAnsi="Arial" w:cs="Arial"/>
          <w:b/>
          <w:bCs/>
          <w:color w:val="202020"/>
          <w:shd w:val="clear" w:color="auto" w:fill="FFFFFF"/>
        </w:rPr>
        <w:t>Efficacy of different adjuvant vaccine formulations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. </w:t>
      </w:r>
      <w:r>
        <w:rPr>
          <w:rFonts w:ascii="Arial" w:hAnsi="Arial" w:cs="Arial"/>
          <w:color w:val="202020"/>
          <w:shd w:val="clear" w:color="auto" w:fill="FFFFFF"/>
        </w:rPr>
        <w:t>ICR CD-1 mice (N=10 mice/group) were vaccinated two times with Als3p/Hyr1p dual antigens at 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hAnsi="Arial" w:cs="Arial"/>
          <w:color w:val="202020"/>
          <w:shd w:val="clear" w:color="auto" w:fill="FFFFFF"/>
        </w:rPr>
        <w:t>/0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g, 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hAnsi="Arial" w:cs="Arial"/>
          <w:color w:val="202020"/>
          <w:shd w:val="clear" w:color="auto" w:fill="FFFFFF"/>
        </w:rPr>
        <w:t>/30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 or 30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g/30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 dose formulated with different adjuvant. Two weeks after the final vaccination, mice were infected intravenously with 2X10</w:t>
      </w:r>
      <w:r w:rsidRPr="00912D8F">
        <w:rPr>
          <w:rFonts w:ascii="Arial" w:hAnsi="Arial" w:cs="Arial"/>
          <w:color w:val="202020"/>
          <w:shd w:val="clear" w:color="auto" w:fill="FFFFFF"/>
          <w:vertAlign w:val="superscript"/>
        </w:rPr>
        <w:t>5</w:t>
      </w:r>
      <w:r>
        <w:rPr>
          <w:rFonts w:ascii="Arial" w:hAnsi="Arial" w:cs="Arial"/>
          <w:color w:val="202020"/>
          <w:shd w:val="clear" w:color="auto" w:fill="FFFFFF"/>
        </w:rPr>
        <w:t xml:space="preserve"> cells/mouse of </w:t>
      </w:r>
      <w:r w:rsidRPr="00912D8F">
        <w:rPr>
          <w:rFonts w:ascii="Arial" w:hAnsi="Arial" w:cs="Arial"/>
          <w:i/>
          <w:iCs/>
          <w:color w:val="202020"/>
          <w:shd w:val="clear" w:color="auto" w:fill="FFFFFF"/>
        </w:rPr>
        <w:t>C. albicans</w:t>
      </w:r>
      <w:r>
        <w:rPr>
          <w:rFonts w:ascii="Arial" w:hAnsi="Arial" w:cs="Arial"/>
          <w:color w:val="202020"/>
          <w:shd w:val="clear" w:color="auto" w:fill="FFFFFF"/>
        </w:rPr>
        <w:t xml:space="preserve"> or 5X10</w:t>
      </w:r>
      <w:r w:rsidRPr="00912D8F">
        <w:rPr>
          <w:rFonts w:ascii="Arial" w:hAnsi="Arial" w:cs="Arial"/>
          <w:color w:val="202020"/>
          <w:shd w:val="clear" w:color="auto" w:fill="FFFFFF"/>
          <w:vertAlign w:val="superscript"/>
        </w:rPr>
        <w:t>7</w:t>
      </w:r>
      <w:r>
        <w:rPr>
          <w:rFonts w:ascii="Arial" w:hAnsi="Arial" w:cs="Arial"/>
          <w:color w:val="202020"/>
          <w:shd w:val="clear" w:color="auto" w:fill="FFFFFF"/>
        </w:rPr>
        <w:t xml:space="preserve"> cells/mouse of </w:t>
      </w:r>
      <w:r w:rsidRPr="00912D8F">
        <w:rPr>
          <w:rFonts w:ascii="Arial" w:hAnsi="Arial" w:cs="Arial"/>
          <w:i/>
          <w:iCs/>
          <w:color w:val="202020"/>
          <w:shd w:val="clear" w:color="auto" w:fill="FFFFFF"/>
        </w:rPr>
        <w:t>C. auris</w:t>
      </w:r>
      <w:r>
        <w:rPr>
          <w:rFonts w:ascii="Arial" w:hAnsi="Arial" w:cs="Arial"/>
          <w:color w:val="202020"/>
          <w:shd w:val="clear" w:color="auto" w:fill="FFFFFF"/>
        </w:rPr>
        <w:t xml:space="preserve">. For </w:t>
      </w:r>
      <w:r w:rsidRPr="000D4033">
        <w:rPr>
          <w:rFonts w:ascii="Arial" w:hAnsi="Arial" w:cs="Arial"/>
          <w:i/>
          <w:iCs/>
          <w:color w:val="202020"/>
          <w:shd w:val="clear" w:color="auto" w:fill="FFFFFF"/>
        </w:rPr>
        <w:t>C. auris</w:t>
      </w:r>
      <w:r>
        <w:rPr>
          <w:rFonts w:ascii="Arial" w:hAnsi="Arial" w:cs="Arial"/>
          <w:color w:val="202020"/>
          <w:shd w:val="clear" w:color="auto" w:fill="FFFFFF"/>
        </w:rPr>
        <w:t xml:space="preserve"> infection, the mice were immunosuppressed on day -2 relative to infection.  Mice were monitored for their survival for 21 days post infection. </w:t>
      </w:r>
      <w:r w:rsidRPr="00883BD5">
        <w:rPr>
          <w:rFonts w:ascii="Arial" w:hAnsi="Arial" w:cs="Arial"/>
          <w:b/>
          <w:bCs/>
          <w:color w:val="202020"/>
          <w:shd w:val="clear" w:color="auto" w:fill="FFFFFF"/>
        </w:rPr>
        <w:t>(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>A</w:t>
      </w:r>
      <w:r w:rsidRPr="00823904">
        <w:rPr>
          <w:rFonts w:ascii="Arial" w:hAnsi="Arial" w:cs="Arial"/>
          <w:b/>
          <w:bCs/>
          <w:color w:val="202020"/>
          <w:shd w:val="clear" w:color="auto" w:fill="FFFFFF"/>
        </w:rPr>
        <w:t>)</w:t>
      </w:r>
      <w:r w:rsidRPr="001B0E46">
        <w:rPr>
          <w:rFonts w:ascii="Arial" w:hAnsi="Arial" w:cs="Arial"/>
          <w:b/>
          <w:bCs/>
          <w:color w:val="202020"/>
          <w:shd w:val="clear" w:color="auto" w:fill="FFFFFF"/>
        </w:rPr>
        <w:t>.</w:t>
      </w:r>
      <w:r w:rsidRPr="001B0E46">
        <w:rPr>
          <w:rFonts w:ascii="Arial" w:hAnsi="Arial" w:cs="Arial"/>
          <w:color w:val="202020"/>
          <w:shd w:val="clear" w:color="auto" w:fill="FFFFFF"/>
        </w:rPr>
        <w:t xml:space="preserve"> </w:t>
      </w:r>
      <w:r>
        <w:rPr>
          <w:rFonts w:ascii="Arial" w:hAnsi="Arial" w:cs="Arial"/>
          <w:color w:val="202020"/>
          <w:shd w:val="clear" w:color="auto" w:fill="FFFFFF"/>
        </w:rPr>
        <w:t>E</w:t>
      </w:r>
      <w:r w:rsidRPr="001B0E46">
        <w:rPr>
          <w:rFonts w:ascii="Arial" w:hAnsi="Arial" w:cs="Arial"/>
          <w:color w:val="202020"/>
          <w:shd w:val="clear" w:color="auto" w:fill="FFFFFF"/>
        </w:rPr>
        <w:t xml:space="preserve">fficacy against </w:t>
      </w:r>
      <w:r w:rsidRPr="001B0E46">
        <w:rPr>
          <w:rFonts w:ascii="Arial" w:hAnsi="Arial" w:cs="Arial"/>
          <w:i/>
          <w:iCs/>
          <w:color w:val="202020"/>
          <w:shd w:val="clear" w:color="auto" w:fill="FFFFFF"/>
        </w:rPr>
        <w:t xml:space="preserve">C. albicans </w:t>
      </w:r>
      <w:r w:rsidRPr="001B0E46">
        <w:rPr>
          <w:rFonts w:ascii="Arial" w:hAnsi="Arial" w:cs="Arial"/>
          <w:color w:val="202020"/>
          <w:shd w:val="clear" w:color="auto" w:fill="FFFFFF"/>
        </w:rPr>
        <w:t>infection.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883BD5">
        <w:rPr>
          <w:rFonts w:ascii="Arial" w:hAnsi="Arial" w:cs="Arial"/>
          <w:b/>
          <w:bCs/>
          <w:color w:val="202020"/>
          <w:shd w:val="clear" w:color="auto" w:fill="FFFFFF"/>
        </w:rPr>
        <w:t>(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>B</w:t>
      </w:r>
      <w:r w:rsidRPr="00823904">
        <w:rPr>
          <w:rFonts w:ascii="Arial" w:hAnsi="Arial" w:cs="Arial"/>
          <w:b/>
          <w:bCs/>
          <w:color w:val="202020"/>
          <w:shd w:val="clear" w:color="auto" w:fill="FFFFFF"/>
        </w:rPr>
        <w:t>)</w:t>
      </w:r>
      <w:r w:rsidRPr="001B0EA0">
        <w:rPr>
          <w:rFonts w:ascii="Arial" w:hAnsi="Arial" w:cs="Arial"/>
          <w:b/>
          <w:bCs/>
          <w:color w:val="202020"/>
          <w:shd w:val="clear" w:color="auto" w:fill="FFFFFF"/>
        </w:rPr>
        <w:t>.</w:t>
      </w:r>
      <w:r w:rsidRPr="001B0EA0">
        <w:rPr>
          <w:rFonts w:ascii="Arial" w:hAnsi="Arial" w:cs="Arial"/>
          <w:color w:val="202020"/>
          <w:shd w:val="clear" w:color="auto" w:fill="FFFFFF"/>
        </w:rPr>
        <w:t xml:space="preserve"> </w:t>
      </w:r>
      <w:r>
        <w:rPr>
          <w:rFonts w:ascii="Arial" w:hAnsi="Arial" w:cs="Arial"/>
          <w:color w:val="202020"/>
          <w:shd w:val="clear" w:color="auto" w:fill="FFFFFF"/>
        </w:rPr>
        <w:t>E</w:t>
      </w:r>
      <w:r w:rsidRPr="001B0EA0">
        <w:rPr>
          <w:rFonts w:ascii="Arial" w:hAnsi="Arial" w:cs="Arial"/>
          <w:color w:val="202020"/>
          <w:shd w:val="clear" w:color="auto" w:fill="FFFFFF"/>
        </w:rPr>
        <w:t xml:space="preserve">fficacy against </w:t>
      </w:r>
      <w:r w:rsidRPr="001B0EA0">
        <w:rPr>
          <w:rFonts w:ascii="Arial" w:hAnsi="Arial" w:cs="Arial"/>
          <w:i/>
          <w:iCs/>
          <w:color w:val="202020"/>
          <w:shd w:val="clear" w:color="auto" w:fill="FFFFFF"/>
        </w:rPr>
        <w:t>C. a</w:t>
      </w:r>
      <w:r>
        <w:rPr>
          <w:rFonts w:ascii="Arial" w:hAnsi="Arial" w:cs="Arial"/>
          <w:i/>
          <w:iCs/>
          <w:color w:val="202020"/>
          <w:shd w:val="clear" w:color="auto" w:fill="FFFFFF"/>
        </w:rPr>
        <w:t>uris</w:t>
      </w:r>
      <w:r w:rsidRPr="001B0EA0">
        <w:rPr>
          <w:rFonts w:ascii="Arial" w:hAnsi="Arial" w:cs="Arial"/>
          <w:i/>
          <w:iCs/>
          <w:color w:val="202020"/>
          <w:shd w:val="clear" w:color="auto" w:fill="FFFFFF"/>
        </w:rPr>
        <w:t xml:space="preserve"> </w:t>
      </w:r>
      <w:r w:rsidRPr="001B0EA0">
        <w:rPr>
          <w:rFonts w:ascii="Arial" w:hAnsi="Arial" w:cs="Arial"/>
          <w:color w:val="202020"/>
          <w:shd w:val="clear" w:color="auto" w:fill="FFFFFF"/>
        </w:rPr>
        <w:t>infection.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1B0E46">
        <w:rPr>
          <w:rFonts w:ascii="Arial" w:hAnsi="Arial" w:cs="Arial"/>
          <w:color w:val="202020"/>
          <w:shd w:val="clear" w:color="auto" w:fill="FFFFFF"/>
        </w:rPr>
        <w:t xml:space="preserve">Mice survivals were compared by </w:t>
      </w:r>
      <w:r>
        <w:rPr>
          <w:rFonts w:ascii="Arial" w:hAnsi="Arial" w:cs="Arial"/>
          <w:color w:val="202020"/>
          <w:shd w:val="clear" w:color="auto" w:fill="FFFFFF"/>
        </w:rPr>
        <w:t xml:space="preserve">the </w:t>
      </w:r>
      <w:r w:rsidRPr="001B0E46">
        <w:rPr>
          <w:rFonts w:ascii="Arial" w:hAnsi="Arial" w:cs="Arial"/>
          <w:color w:val="202020"/>
          <w:shd w:val="clear" w:color="auto" w:fill="FFFFFF"/>
        </w:rPr>
        <w:t>Mantel-Cox test</w:t>
      </w:r>
      <w:r>
        <w:rPr>
          <w:rFonts w:ascii="Arial" w:hAnsi="Arial" w:cs="Arial"/>
          <w:color w:val="202020"/>
          <w:shd w:val="clear" w:color="auto" w:fill="FFFFFF"/>
        </w:rPr>
        <w:t>, and p&lt;0.5 was considered statistically significant</w:t>
      </w:r>
      <w:r w:rsidRPr="001B0E46">
        <w:rPr>
          <w:rFonts w:ascii="Arial" w:hAnsi="Arial" w:cs="Arial"/>
          <w:color w:val="202020"/>
          <w:shd w:val="clear" w:color="auto" w:fill="FFFFFF"/>
        </w:rPr>
        <w:t>.</w:t>
      </w:r>
      <w:r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 xml:space="preserve"> </w:t>
      </w:r>
    </w:p>
    <w:p w14:paraId="7C694D52" w14:textId="77777777" w:rsidR="00706DE9" w:rsidRDefault="00706DE9">
      <w:pPr>
        <w:spacing w:after="160" w:line="278" w:lineRule="auto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color w:val="202020"/>
          <w:shd w:val="clear" w:color="auto" w:fill="FFFFFF"/>
        </w:rPr>
        <w:br w:type="page"/>
      </w:r>
    </w:p>
    <w:p w14:paraId="49DB09E4" w14:textId="24881A92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lastRenderedPageBreak/>
        <w:drawing>
          <wp:inline distT="0" distB="0" distL="0" distR="0" wp14:anchorId="75AC8D4C" wp14:editId="50F6073B">
            <wp:extent cx="5943600" cy="7924800"/>
            <wp:effectExtent l="0" t="0" r="0" b="0"/>
            <wp:docPr id="1640720122" name="Picture 1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20122" name="Picture 12" descr="A screenshot of a graph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3B2A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lastRenderedPageBreak/>
        <w:t xml:space="preserve">Figure S5. Efficacy of CAF01 and BDX100 vaccine formulation against </w:t>
      </w:r>
      <w:r w:rsidRPr="00712FD3"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 xml:space="preserve">C. </w:t>
      </w:r>
      <w:r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 xml:space="preserve">albicans 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>after one and two boosters</w:t>
      </w:r>
      <w:r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 xml:space="preserve">. </w:t>
      </w:r>
      <w:r>
        <w:rPr>
          <w:rFonts w:ascii="Arial" w:hAnsi="Arial" w:cs="Arial"/>
          <w:color w:val="202020"/>
          <w:shd w:val="clear" w:color="auto" w:fill="FFFFFF"/>
        </w:rPr>
        <w:t>ICR CD-1 mice (N=10 mice/group) were vaccinated two (days 0, 21) or three (days 0, 21, 35) times with Als3p/Hyr1p dual antigens at 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hAnsi="Arial" w:cs="Arial"/>
          <w:color w:val="202020"/>
          <w:shd w:val="clear" w:color="auto" w:fill="FFFFFF"/>
        </w:rPr>
        <w:t>/0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g, 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hAnsi="Arial" w:cs="Arial"/>
          <w:color w:val="202020"/>
          <w:shd w:val="clear" w:color="auto" w:fill="FFFFFF"/>
        </w:rPr>
        <w:t>/10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g, 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hAnsi="Arial" w:cs="Arial"/>
          <w:color w:val="202020"/>
          <w:shd w:val="clear" w:color="auto" w:fill="FFFFFF"/>
        </w:rPr>
        <w:t>/30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 or 30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g/10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 dose formulated with CAF01 or BDX100 adjuvant. Two weeks after the final vaccination, mice were infected intravenously with 2X10</w:t>
      </w:r>
      <w:r w:rsidRPr="00912D8F">
        <w:rPr>
          <w:rFonts w:ascii="Arial" w:hAnsi="Arial" w:cs="Arial"/>
          <w:color w:val="202020"/>
          <w:shd w:val="clear" w:color="auto" w:fill="FFFFFF"/>
          <w:vertAlign w:val="superscript"/>
        </w:rPr>
        <w:t>5</w:t>
      </w:r>
      <w:r>
        <w:rPr>
          <w:rFonts w:ascii="Arial" w:hAnsi="Arial" w:cs="Arial"/>
          <w:color w:val="202020"/>
          <w:shd w:val="clear" w:color="auto" w:fill="FFFFFF"/>
        </w:rPr>
        <w:t xml:space="preserve"> cells/mouse inoculum of </w:t>
      </w:r>
      <w:r w:rsidRPr="00912D8F">
        <w:rPr>
          <w:rFonts w:ascii="Arial" w:hAnsi="Arial" w:cs="Arial"/>
          <w:i/>
          <w:iCs/>
          <w:color w:val="202020"/>
          <w:shd w:val="clear" w:color="auto" w:fill="FFFFFF"/>
        </w:rPr>
        <w:t>C. albicans</w:t>
      </w:r>
      <w:r>
        <w:rPr>
          <w:rFonts w:ascii="Arial" w:hAnsi="Arial" w:cs="Arial"/>
          <w:i/>
          <w:iCs/>
          <w:color w:val="202020"/>
          <w:shd w:val="clear" w:color="auto" w:fill="FFFFFF"/>
        </w:rPr>
        <w:t xml:space="preserve"> </w:t>
      </w:r>
      <w:r w:rsidRPr="006E701F">
        <w:rPr>
          <w:rFonts w:ascii="Arial" w:hAnsi="Arial" w:cs="Arial"/>
          <w:color w:val="202020"/>
          <w:shd w:val="clear" w:color="auto" w:fill="FFFFFF"/>
        </w:rPr>
        <w:t>and</w:t>
      </w:r>
      <w:r>
        <w:rPr>
          <w:rFonts w:ascii="Arial" w:hAnsi="Arial" w:cs="Arial"/>
          <w:i/>
          <w:iCs/>
          <w:color w:val="202020"/>
          <w:shd w:val="clear" w:color="auto" w:fill="FFFFFF"/>
        </w:rPr>
        <w:t xml:space="preserve"> </w:t>
      </w:r>
      <w:r>
        <w:rPr>
          <w:rFonts w:ascii="Arial" w:hAnsi="Arial" w:cs="Arial"/>
          <w:color w:val="202020"/>
          <w:shd w:val="clear" w:color="auto" w:fill="FFFFFF"/>
        </w:rPr>
        <w:t xml:space="preserve">monitored for their survival for 21 days post infection. </w:t>
      </w:r>
      <w:r w:rsidRPr="004100F0">
        <w:rPr>
          <w:rFonts w:ascii="Arial" w:hAnsi="Arial" w:cs="Arial"/>
          <w:b/>
          <w:bCs/>
          <w:color w:val="202020"/>
          <w:shd w:val="clear" w:color="auto" w:fill="FFFFFF"/>
        </w:rPr>
        <w:t>(A).</w:t>
      </w:r>
      <w:r>
        <w:rPr>
          <w:rFonts w:ascii="Arial" w:hAnsi="Arial" w:cs="Arial"/>
          <w:color w:val="202020"/>
          <w:shd w:val="clear" w:color="auto" w:fill="FFFFFF"/>
        </w:rPr>
        <w:t xml:space="preserve"> Survival curves were compared by the </w:t>
      </w:r>
      <w:r w:rsidRPr="001B0E46">
        <w:rPr>
          <w:rFonts w:ascii="Arial" w:hAnsi="Arial" w:cs="Arial"/>
          <w:color w:val="202020"/>
          <w:shd w:val="clear" w:color="auto" w:fill="FFFFFF"/>
        </w:rPr>
        <w:t>Mantel-Cox test</w:t>
      </w:r>
      <w:r>
        <w:rPr>
          <w:rFonts w:ascii="Arial" w:hAnsi="Arial" w:cs="Arial"/>
          <w:color w:val="202020"/>
          <w:shd w:val="clear" w:color="auto" w:fill="FFFFFF"/>
        </w:rPr>
        <w:t>, and p&lt;0.5 was considered statistically significant</w:t>
      </w:r>
      <w:r w:rsidRPr="001B0E46">
        <w:rPr>
          <w:rFonts w:ascii="Arial" w:hAnsi="Arial" w:cs="Arial"/>
          <w:color w:val="202020"/>
          <w:shd w:val="clear" w:color="auto" w:fill="FFFFFF"/>
        </w:rPr>
        <w:t>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EF400E">
        <w:rPr>
          <w:rFonts w:ascii="Arial" w:hAnsi="Arial" w:cs="Arial"/>
          <w:b/>
          <w:bCs/>
          <w:color w:val="202020"/>
          <w:shd w:val="clear" w:color="auto" w:fill="FFFFFF"/>
        </w:rPr>
        <w:t>(B).</w:t>
      </w:r>
      <w:r>
        <w:rPr>
          <w:rFonts w:ascii="Arial" w:hAnsi="Arial" w:cs="Arial"/>
          <w:color w:val="202020"/>
          <w:shd w:val="clear" w:color="auto" w:fill="FFFFFF"/>
        </w:rPr>
        <w:t xml:space="preserve"> Survival data, median survival time in days, and p values for the statistical comparison by the </w:t>
      </w:r>
      <w:r w:rsidRPr="001B0E46">
        <w:rPr>
          <w:rFonts w:ascii="Arial" w:hAnsi="Arial" w:cs="Arial"/>
          <w:color w:val="202020"/>
          <w:shd w:val="clear" w:color="auto" w:fill="FFFFFF"/>
        </w:rPr>
        <w:t>Mantel-Cox test</w:t>
      </w:r>
      <w:r>
        <w:rPr>
          <w:rFonts w:ascii="Arial" w:hAnsi="Arial" w:cs="Arial"/>
          <w:color w:val="202020"/>
          <w:shd w:val="clear" w:color="auto" w:fill="FFFFFF"/>
        </w:rPr>
        <w:t xml:space="preserve"> are shown in the table. </w:t>
      </w:r>
    </w:p>
    <w:p w14:paraId="14701308" w14:textId="77777777" w:rsidR="00706DE9" w:rsidRDefault="00706DE9">
      <w:pPr>
        <w:spacing w:after="160" w:line="278" w:lineRule="auto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br w:type="page"/>
      </w:r>
    </w:p>
    <w:p w14:paraId="73174611" w14:textId="62B3B870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lastRenderedPageBreak/>
        <w:drawing>
          <wp:inline distT="0" distB="0" distL="0" distR="0" wp14:anchorId="0A98E88E" wp14:editId="3A790D0A">
            <wp:extent cx="5943600" cy="7924800"/>
            <wp:effectExtent l="0" t="0" r="0" b="0"/>
            <wp:docPr id="1658402594" name="Picture 13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02594" name="Picture 13" descr="A screenshot of a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8B50" w14:textId="536841BF" w:rsidR="00706DE9" w:rsidRDefault="00706DE9" w:rsidP="00706DE9">
      <w:pPr>
        <w:spacing w:after="160" w:line="278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lastRenderedPageBreak/>
        <w:t xml:space="preserve">Figure S6. Efficacy of CAF01 and BDX100 vaccine formulation against </w:t>
      </w:r>
      <w:r w:rsidRPr="00712FD3"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 xml:space="preserve">C. </w:t>
      </w:r>
      <w:r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 xml:space="preserve">auris 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>after one and two boosters</w:t>
      </w:r>
      <w:r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 xml:space="preserve">. </w:t>
      </w:r>
      <w:r>
        <w:rPr>
          <w:rFonts w:ascii="Arial" w:hAnsi="Arial" w:cs="Arial"/>
          <w:color w:val="202020"/>
          <w:shd w:val="clear" w:color="auto" w:fill="FFFFFF"/>
        </w:rPr>
        <w:t>ICR CD-1 mice (N=10 mice/group) were vaccinated two (days 0, 21) or three (days 0, 21, 35) times with Als3p/Hyr1p dual antigens at 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hAnsi="Arial" w:cs="Arial"/>
          <w:color w:val="202020"/>
          <w:shd w:val="clear" w:color="auto" w:fill="FFFFFF"/>
        </w:rPr>
        <w:t>/0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g, 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hAnsi="Arial" w:cs="Arial"/>
          <w:color w:val="202020"/>
          <w:shd w:val="clear" w:color="auto" w:fill="FFFFFF"/>
        </w:rPr>
        <w:t>/10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g, 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hAnsi="Arial" w:cs="Arial"/>
          <w:color w:val="202020"/>
          <w:shd w:val="clear" w:color="auto" w:fill="FFFFFF"/>
        </w:rPr>
        <w:t>/30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 or 30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g/10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 dose formulated with CAF01 or BDX100 adjuvant. Two weeks after the final vaccination, mice were infected intravenously with 5X10</w:t>
      </w:r>
      <w:r w:rsidRPr="00912D8F">
        <w:rPr>
          <w:rFonts w:ascii="Arial" w:hAnsi="Arial" w:cs="Arial"/>
          <w:color w:val="202020"/>
          <w:shd w:val="clear" w:color="auto" w:fill="FFFFFF"/>
          <w:vertAlign w:val="superscript"/>
        </w:rPr>
        <w:t>7</w:t>
      </w:r>
      <w:r>
        <w:rPr>
          <w:rFonts w:ascii="Arial" w:hAnsi="Arial" w:cs="Arial"/>
          <w:color w:val="202020"/>
          <w:shd w:val="clear" w:color="auto" w:fill="FFFFFF"/>
        </w:rPr>
        <w:t xml:space="preserve"> cells/mouse inoculum of </w:t>
      </w:r>
      <w:r w:rsidRPr="00912D8F">
        <w:rPr>
          <w:rFonts w:ascii="Arial" w:hAnsi="Arial" w:cs="Arial"/>
          <w:i/>
          <w:iCs/>
          <w:color w:val="202020"/>
          <w:shd w:val="clear" w:color="auto" w:fill="FFFFFF"/>
        </w:rPr>
        <w:t>C. auris</w:t>
      </w:r>
      <w:r>
        <w:rPr>
          <w:rFonts w:ascii="Arial" w:hAnsi="Arial" w:cs="Arial"/>
          <w:i/>
          <w:iCs/>
          <w:color w:val="202020"/>
          <w:shd w:val="clear" w:color="auto" w:fill="FFFFFF"/>
        </w:rPr>
        <w:t xml:space="preserve">. </w:t>
      </w:r>
      <w:r w:rsidRPr="00163F5D">
        <w:rPr>
          <w:rFonts w:ascii="Arial" w:hAnsi="Arial" w:cs="Arial"/>
          <w:color w:val="202020"/>
          <w:shd w:val="clear" w:color="auto" w:fill="FFFFFF"/>
        </w:rPr>
        <w:t>T</w:t>
      </w:r>
      <w:r>
        <w:rPr>
          <w:rFonts w:ascii="Arial" w:hAnsi="Arial" w:cs="Arial"/>
          <w:color w:val="202020"/>
          <w:shd w:val="clear" w:color="auto" w:fill="FFFFFF"/>
        </w:rPr>
        <w:t xml:space="preserve">he mice were immunosuppressed on day -2 relative to infection. </w:t>
      </w:r>
      <w:r>
        <w:rPr>
          <w:rFonts w:ascii="Arial" w:hAnsi="Arial" w:cs="Arial"/>
          <w:i/>
          <w:iCs/>
          <w:color w:val="202020"/>
          <w:shd w:val="clear" w:color="auto" w:fill="FFFFFF"/>
        </w:rPr>
        <w:t xml:space="preserve"> </w:t>
      </w:r>
      <w:r w:rsidRPr="004100F0">
        <w:rPr>
          <w:rFonts w:ascii="Arial" w:hAnsi="Arial" w:cs="Arial"/>
          <w:b/>
          <w:bCs/>
          <w:color w:val="202020"/>
          <w:shd w:val="clear" w:color="auto" w:fill="FFFFFF"/>
        </w:rPr>
        <w:t>(A).</w:t>
      </w:r>
      <w:r>
        <w:rPr>
          <w:rFonts w:ascii="Arial" w:hAnsi="Arial" w:cs="Arial"/>
          <w:color w:val="202020"/>
          <w:shd w:val="clear" w:color="auto" w:fill="FFFFFF"/>
        </w:rPr>
        <w:t xml:space="preserve"> Survival curves were compared by the </w:t>
      </w:r>
      <w:r w:rsidRPr="001B0E46">
        <w:rPr>
          <w:rFonts w:ascii="Arial" w:hAnsi="Arial" w:cs="Arial"/>
          <w:color w:val="202020"/>
          <w:shd w:val="clear" w:color="auto" w:fill="FFFFFF"/>
        </w:rPr>
        <w:t>Mantel-Cox test</w:t>
      </w:r>
      <w:r>
        <w:rPr>
          <w:rFonts w:ascii="Arial" w:hAnsi="Arial" w:cs="Arial"/>
          <w:color w:val="202020"/>
          <w:shd w:val="clear" w:color="auto" w:fill="FFFFFF"/>
        </w:rPr>
        <w:t>, and p&lt;0.5 was considered statistically significant</w:t>
      </w:r>
      <w:r w:rsidRPr="001B0E46">
        <w:rPr>
          <w:rFonts w:ascii="Arial" w:hAnsi="Arial" w:cs="Arial"/>
          <w:color w:val="202020"/>
          <w:shd w:val="clear" w:color="auto" w:fill="FFFFFF"/>
        </w:rPr>
        <w:t>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EF400E">
        <w:rPr>
          <w:rFonts w:ascii="Arial" w:hAnsi="Arial" w:cs="Arial"/>
          <w:b/>
          <w:bCs/>
          <w:color w:val="202020"/>
          <w:shd w:val="clear" w:color="auto" w:fill="FFFFFF"/>
        </w:rPr>
        <w:t>(B).</w:t>
      </w:r>
      <w:r>
        <w:rPr>
          <w:rFonts w:ascii="Arial" w:hAnsi="Arial" w:cs="Arial"/>
          <w:color w:val="202020"/>
          <w:shd w:val="clear" w:color="auto" w:fill="FFFFFF"/>
        </w:rPr>
        <w:t xml:space="preserve"> Survival data, median survival time in days, and p-values for the statistical comparison by the </w:t>
      </w:r>
      <w:r w:rsidRPr="001B0E46">
        <w:rPr>
          <w:rFonts w:ascii="Arial" w:hAnsi="Arial" w:cs="Arial"/>
          <w:color w:val="202020"/>
          <w:shd w:val="clear" w:color="auto" w:fill="FFFFFF"/>
        </w:rPr>
        <w:t>Mantel-Cox test</w:t>
      </w:r>
      <w:r>
        <w:rPr>
          <w:rFonts w:ascii="Arial" w:hAnsi="Arial" w:cs="Arial"/>
          <w:color w:val="202020"/>
          <w:shd w:val="clear" w:color="auto" w:fill="FFFFFF"/>
        </w:rPr>
        <w:t xml:space="preserve"> are shown in the table.</w:t>
      </w:r>
      <w:r>
        <w:rPr>
          <w:rFonts w:ascii="Arial" w:hAnsi="Arial" w:cs="Arial"/>
          <w:b/>
          <w:bCs/>
          <w:color w:val="202020"/>
          <w:shd w:val="clear" w:color="auto" w:fill="FFFFFF"/>
        </w:rPr>
        <w:br w:type="page"/>
      </w:r>
    </w:p>
    <w:p w14:paraId="5EE7FD00" w14:textId="77777777" w:rsidR="00706DE9" w:rsidRPr="007D08C0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lastRenderedPageBreak/>
        <w:drawing>
          <wp:inline distT="0" distB="0" distL="0" distR="0" wp14:anchorId="5063FE72" wp14:editId="61DB7088">
            <wp:extent cx="5980590" cy="6217920"/>
            <wp:effectExtent l="0" t="0" r="1270" b="5080"/>
            <wp:docPr id="1672903577" name="Picture 14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03577" name="Picture 14" descr="A screenshot of a computer screen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9" b="1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90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Figure S7. Verification of CD4 T cell depletion. </w:t>
      </w:r>
      <w:r w:rsidRPr="00ED7E16">
        <w:rPr>
          <w:rFonts w:ascii="Arial" w:hAnsi="Arial" w:cs="Arial"/>
          <w:color w:val="202020"/>
          <w:shd w:val="clear" w:color="auto" w:fill="FFFFFF"/>
        </w:rPr>
        <w:t>The vaccinated and infected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 </w:t>
      </w:r>
      <w:r w:rsidRPr="00ED7E16">
        <w:rPr>
          <w:rFonts w:ascii="Arial" w:hAnsi="Arial" w:cs="Arial"/>
          <w:color w:val="202020"/>
          <w:shd w:val="clear" w:color="auto" w:fill="FFFFFF"/>
        </w:rPr>
        <w:t xml:space="preserve">mice </w:t>
      </w:r>
      <w:r>
        <w:rPr>
          <w:rFonts w:ascii="Arial" w:hAnsi="Arial" w:cs="Arial"/>
          <w:color w:val="202020"/>
          <w:shd w:val="clear" w:color="auto" w:fill="FFFFFF"/>
        </w:rPr>
        <w:t xml:space="preserve">(n=3/group) from mechanism of infection experiments were treated with anti-CD4 or Isotype-matched </w:t>
      </w:r>
      <w:r w:rsidRPr="00ED7E16">
        <w:rPr>
          <w:rFonts w:ascii="Arial" w:hAnsi="Arial" w:cs="Arial"/>
          <w:color w:val="202020"/>
          <w:shd w:val="clear" w:color="auto" w:fill="FFFFFF"/>
        </w:rPr>
        <w:t>a</w:t>
      </w:r>
      <w:r w:rsidRPr="00AE5B4E">
        <w:rPr>
          <w:rFonts w:ascii="Arial" w:hAnsi="Arial" w:cs="Arial"/>
          <w:color w:val="202020"/>
          <w:shd w:val="clear" w:color="auto" w:fill="FFFFFF"/>
        </w:rPr>
        <w:t>s monoclonal antibodies on days -3 and +2 relative to the infection</w:t>
      </w:r>
      <w:r w:rsidRPr="00BA7631">
        <w:rPr>
          <w:rFonts w:ascii="Arial" w:hAnsi="Arial" w:cs="Arial"/>
          <w:color w:val="202020"/>
          <w:shd w:val="clear" w:color="auto" w:fill="FFFFFF"/>
        </w:rPr>
        <w:t>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  <w:r w:rsidRPr="00BA7631">
        <w:rPr>
          <w:rFonts w:ascii="Arial" w:hAnsi="Arial" w:cs="Arial"/>
          <w:color w:val="202020"/>
          <w:shd w:val="clear" w:color="auto" w:fill="FFFFFF"/>
        </w:rPr>
        <w:t xml:space="preserve">Mice were euthanized on day +4 for CD4 T cell depletion verification </w:t>
      </w:r>
      <w:r>
        <w:rPr>
          <w:rFonts w:ascii="Arial" w:hAnsi="Arial" w:cs="Arial"/>
          <w:color w:val="202020"/>
          <w:shd w:val="clear" w:color="auto" w:fill="FFFFFF"/>
        </w:rPr>
        <w:t xml:space="preserve">in </w:t>
      </w:r>
      <w:r w:rsidRPr="00D97D97">
        <w:rPr>
          <w:rFonts w:ascii="Arial" w:hAnsi="Arial" w:cs="Arial"/>
          <w:b/>
          <w:bCs/>
          <w:color w:val="202020"/>
          <w:shd w:val="clear" w:color="auto" w:fill="FFFFFF"/>
        </w:rPr>
        <w:t xml:space="preserve">(A). </w:t>
      </w:r>
      <w:r>
        <w:rPr>
          <w:rFonts w:ascii="Arial" w:hAnsi="Arial" w:cs="Arial"/>
          <w:color w:val="202020"/>
          <w:shd w:val="clear" w:color="auto" w:fill="FFFFFF"/>
        </w:rPr>
        <w:t>S</w:t>
      </w:r>
      <w:r w:rsidRPr="00BA7631">
        <w:rPr>
          <w:rFonts w:ascii="Arial" w:hAnsi="Arial" w:cs="Arial"/>
          <w:color w:val="202020"/>
          <w:shd w:val="clear" w:color="auto" w:fill="FFFFFF"/>
        </w:rPr>
        <w:t xml:space="preserve">pleen and </w:t>
      </w:r>
      <w:r>
        <w:rPr>
          <w:rFonts w:ascii="Arial" w:hAnsi="Arial" w:cs="Arial"/>
          <w:color w:val="202020"/>
          <w:shd w:val="clear" w:color="auto" w:fill="FFFFFF"/>
        </w:rPr>
        <w:t>(B). Lymph nodes</w:t>
      </w:r>
      <w:r w:rsidRPr="00BA7631">
        <w:rPr>
          <w:rFonts w:ascii="Arial" w:hAnsi="Arial" w:cs="Arial"/>
          <w:color w:val="202020"/>
          <w:shd w:val="clear" w:color="auto" w:fill="FFFFFF"/>
        </w:rPr>
        <w:t xml:space="preserve"> by flow</w:t>
      </w:r>
      <w:r>
        <w:rPr>
          <w:rFonts w:ascii="Arial" w:hAnsi="Arial" w:cs="Arial"/>
          <w:color w:val="202020"/>
          <w:shd w:val="clear" w:color="auto" w:fill="FFFFFF"/>
        </w:rPr>
        <w:t xml:space="preserve"> cytomet</w:t>
      </w:r>
      <w:r w:rsidRPr="00BA7631">
        <w:rPr>
          <w:rFonts w:ascii="Arial" w:hAnsi="Arial" w:cs="Arial"/>
          <w:color w:val="202020"/>
          <w:shd w:val="clear" w:color="auto" w:fill="FFFFFF"/>
        </w:rPr>
        <w:t>ry.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 </w:t>
      </w:r>
      <w:r w:rsidRPr="00AE5B4E"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 xml:space="preserve"> </w:t>
      </w:r>
    </w:p>
    <w:p w14:paraId="04E1C88A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lastRenderedPageBreak/>
        <w:drawing>
          <wp:inline distT="0" distB="0" distL="0" distR="0" wp14:anchorId="5D4FE40E" wp14:editId="5C1D0F29">
            <wp:extent cx="5943091" cy="3240405"/>
            <wp:effectExtent l="0" t="0" r="635" b="0"/>
            <wp:docPr id="2032737956" name="Picture 15" descr="A screenshot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37956" name="Picture 15" descr="A screenshot of a screen&#10;&#10;AI-generated content may be incorrect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4" b="5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0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6F9F2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Figure S8. Efficacy of CAF01 vaccine formulation against </w:t>
      </w:r>
      <w:r w:rsidRPr="00712FD3"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 xml:space="preserve">C. </w:t>
      </w:r>
      <w:r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  <w:t>auris.</w:t>
      </w:r>
      <w:r>
        <w:rPr>
          <w:rFonts w:ascii="Arial" w:hAnsi="Arial" w:cs="Arial"/>
          <w:b/>
          <w:bCs/>
          <w:color w:val="202020"/>
          <w:shd w:val="clear" w:color="auto" w:fill="FFFFFF"/>
        </w:rPr>
        <w:t xml:space="preserve"> </w:t>
      </w:r>
      <w:r>
        <w:rPr>
          <w:rFonts w:ascii="Arial" w:hAnsi="Arial" w:cs="Arial"/>
          <w:color w:val="202020"/>
          <w:shd w:val="clear" w:color="auto" w:fill="FFFFFF"/>
        </w:rPr>
        <w:t>ICR CD-1 mice (N=10 mice/group) were vaccinated two (days 0, 21) times with Als3p/Hyr1p dual antigens at 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hAnsi="Arial" w:cs="Arial"/>
          <w:color w:val="202020"/>
          <w:shd w:val="clear" w:color="auto" w:fill="FFFFFF"/>
        </w:rPr>
        <w:t>/0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 or 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eastAsia="Arial" w:hAnsi="Arial" w:cs="Arial"/>
          <w:color w:val="000000" w:themeColor="text1"/>
        </w:rPr>
        <w:t>g</w:t>
      </w:r>
      <w:r>
        <w:rPr>
          <w:rFonts w:ascii="Arial" w:hAnsi="Arial" w:cs="Arial"/>
          <w:color w:val="202020"/>
          <w:shd w:val="clear" w:color="auto" w:fill="FFFFFF"/>
        </w:rPr>
        <w:t>/10</w:t>
      </w:r>
      <w:r w:rsidRPr="00875659">
        <w:rPr>
          <w:rFonts w:ascii="Arial" w:eastAsia="Arial" w:hAnsi="Arial" w:cs="Arial"/>
          <w:color w:val="000000" w:themeColor="text1"/>
        </w:rPr>
        <w:t>µ</w:t>
      </w:r>
      <w:r>
        <w:rPr>
          <w:rFonts w:ascii="Arial" w:hAnsi="Arial" w:cs="Arial"/>
          <w:color w:val="202020"/>
          <w:shd w:val="clear" w:color="auto" w:fill="FFFFFF"/>
        </w:rPr>
        <w:t>g dose formulated with CAF01 adjuvant. Three months after the final vaccination, mice were infected intravenously with 5X10</w:t>
      </w:r>
      <w:r w:rsidRPr="00912D8F">
        <w:rPr>
          <w:rFonts w:ascii="Arial" w:hAnsi="Arial" w:cs="Arial"/>
          <w:color w:val="202020"/>
          <w:shd w:val="clear" w:color="auto" w:fill="FFFFFF"/>
          <w:vertAlign w:val="superscript"/>
        </w:rPr>
        <w:t>7</w:t>
      </w:r>
      <w:r>
        <w:rPr>
          <w:rFonts w:ascii="Arial" w:hAnsi="Arial" w:cs="Arial"/>
          <w:color w:val="202020"/>
          <w:shd w:val="clear" w:color="auto" w:fill="FFFFFF"/>
        </w:rPr>
        <w:t xml:space="preserve"> cells/mouse inoculum of </w:t>
      </w:r>
      <w:r w:rsidRPr="00912D8F">
        <w:rPr>
          <w:rFonts w:ascii="Arial" w:hAnsi="Arial" w:cs="Arial"/>
          <w:i/>
          <w:iCs/>
          <w:color w:val="202020"/>
          <w:shd w:val="clear" w:color="auto" w:fill="FFFFFF"/>
        </w:rPr>
        <w:t>C. auris</w:t>
      </w:r>
      <w:r>
        <w:rPr>
          <w:rFonts w:ascii="Arial" w:hAnsi="Arial" w:cs="Arial"/>
          <w:i/>
          <w:iCs/>
          <w:color w:val="202020"/>
          <w:shd w:val="clear" w:color="auto" w:fill="FFFFFF"/>
        </w:rPr>
        <w:t xml:space="preserve">. </w:t>
      </w:r>
      <w:r w:rsidRPr="00163F5D">
        <w:rPr>
          <w:rFonts w:ascii="Arial" w:hAnsi="Arial" w:cs="Arial"/>
          <w:color w:val="202020"/>
          <w:shd w:val="clear" w:color="auto" w:fill="FFFFFF"/>
        </w:rPr>
        <w:t>T</w:t>
      </w:r>
      <w:r>
        <w:rPr>
          <w:rFonts w:ascii="Arial" w:hAnsi="Arial" w:cs="Arial"/>
          <w:color w:val="202020"/>
          <w:shd w:val="clear" w:color="auto" w:fill="FFFFFF"/>
        </w:rPr>
        <w:t xml:space="preserve">he mice were immunosuppressed on day -2 relative to infection. </w:t>
      </w:r>
      <w:r>
        <w:rPr>
          <w:rFonts w:ascii="Arial" w:hAnsi="Arial" w:cs="Arial"/>
          <w:i/>
          <w:iCs/>
          <w:color w:val="202020"/>
          <w:shd w:val="clear" w:color="auto" w:fill="FFFFFF"/>
        </w:rPr>
        <w:t xml:space="preserve"> </w:t>
      </w:r>
      <w:r>
        <w:rPr>
          <w:rFonts w:ascii="Arial" w:hAnsi="Arial" w:cs="Arial"/>
          <w:color w:val="202020"/>
          <w:shd w:val="clear" w:color="auto" w:fill="FFFFFF"/>
        </w:rPr>
        <w:t xml:space="preserve">Survival curves were compared by the </w:t>
      </w:r>
      <w:r w:rsidRPr="001B0E46">
        <w:rPr>
          <w:rFonts w:ascii="Arial" w:hAnsi="Arial" w:cs="Arial"/>
          <w:color w:val="202020"/>
          <w:shd w:val="clear" w:color="auto" w:fill="FFFFFF"/>
        </w:rPr>
        <w:t>Mantel-Cox test</w:t>
      </w:r>
      <w:r>
        <w:rPr>
          <w:rFonts w:ascii="Arial" w:hAnsi="Arial" w:cs="Arial"/>
          <w:color w:val="202020"/>
          <w:shd w:val="clear" w:color="auto" w:fill="FFFFFF"/>
        </w:rPr>
        <w:t>, and p&lt;0.5 was considered statistically significant</w:t>
      </w:r>
      <w:r w:rsidRPr="001B0E46">
        <w:rPr>
          <w:rFonts w:ascii="Arial" w:hAnsi="Arial" w:cs="Arial"/>
          <w:color w:val="202020"/>
          <w:shd w:val="clear" w:color="auto" w:fill="FFFFFF"/>
        </w:rPr>
        <w:t>.</w:t>
      </w:r>
      <w:r>
        <w:rPr>
          <w:rFonts w:ascii="Arial" w:hAnsi="Arial" w:cs="Arial"/>
          <w:color w:val="202020"/>
          <w:shd w:val="clear" w:color="auto" w:fill="FFFFFF"/>
        </w:rPr>
        <w:t xml:space="preserve"> </w:t>
      </w:r>
    </w:p>
    <w:p w14:paraId="263FB260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</w:p>
    <w:p w14:paraId="74AAD135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</w:p>
    <w:p w14:paraId="5828D145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</w:p>
    <w:p w14:paraId="30F11703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2C0CAADA" w14:textId="77777777" w:rsidR="00706DE9" w:rsidRDefault="00706DE9" w:rsidP="00706DE9">
      <w:pPr>
        <w:spacing w:after="120" w:line="480" w:lineRule="auto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lastRenderedPageBreak/>
        <w:drawing>
          <wp:inline distT="0" distB="0" distL="0" distR="0" wp14:anchorId="04083338" wp14:editId="7BD9584A">
            <wp:extent cx="6131859" cy="6675037"/>
            <wp:effectExtent l="0" t="0" r="2540" b="5715"/>
            <wp:docPr id="5622981" name="Picture 16" descr="A table of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981" name="Picture 16" descr="A table of information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6" t="7127" r="4920" b="20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936" cy="667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34216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010B3E7B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2768AB29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757AF964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lastRenderedPageBreak/>
        <w:drawing>
          <wp:inline distT="0" distB="0" distL="0" distR="0" wp14:anchorId="59B5602F" wp14:editId="08D8AFB5">
            <wp:extent cx="5942937" cy="2742864"/>
            <wp:effectExtent l="0" t="0" r="1270" b="635"/>
            <wp:docPr id="2028349189" name="Picture 17" descr="A screenshot of a medical re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49189" name="Picture 17" descr="A screenshot of a medical report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4" b="6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E7132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drawing>
          <wp:inline distT="0" distB="0" distL="0" distR="0" wp14:anchorId="5BDD9E70" wp14:editId="1652FDA0">
            <wp:extent cx="5943538" cy="2380129"/>
            <wp:effectExtent l="0" t="0" r="635" b="0"/>
            <wp:docPr id="1504589423" name="Picture 18" descr="A screenshot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89423" name="Picture 18" descr="A screenshot of a chart&#10;&#10;AI-generated content may be incorrect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2" b="6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950C5" w14:textId="77777777" w:rsidR="00706DE9" w:rsidRDefault="00706DE9" w:rsidP="00706DE9">
      <w:pPr>
        <w:spacing w:after="120" w:line="480" w:lineRule="auto"/>
        <w:jc w:val="both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02020"/>
          <w:shd w:val="clear" w:color="auto" w:fill="FFFFFF"/>
          <w14:ligatures w14:val="standardContextual"/>
        </w:rPr>
        <w:lastRenderedPageBreak/>
        <w:drawing>
          <wp:inline distT="0" distB="0" distL="0" distR="0" wp14:anchorId="7E161800" wp14:editId="4E89C4E2">
            <wp:extent cx="5620310" cy="3723914"/>
            <wp:effectExtent l="0" t="0" r="6350" b="0"/>
            <wp:docPr id="1303844418" name="Picture 19" descr="A screenshot of a data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44418" name="Picture 19" descr="A screenshot of a data sheet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8315" r="2701" b="4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22" cy="372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C8BF5" w14:textId="77777777" w:rsidR="00706DE9" w:rsidRPr="0045544C" w:rsidRDefault="00706DE9" w:rsidP="00706DE9">
      <w:pPr>
        <w:spacing w:after="120" w:line="480" w:lineRule="auto"/>
        <w:jc w:val="both"/>
        <w:rPr>
          <w:rFonts w:ascii="Arial" w:hAnsi="Arial" w:cs="Arial"/>
          <w:color w:val="202020"/>
          <w:shd w:val="clear" w:color="auto" w:fill="FFFFFF"/>
        </w:rPr>
      </w:pPr>
    </w:p>
    <w:p w14:paraId="1941E92F" w14:textId="77777777" w:rsidR="00706DE9" w:rsidRPr="004B5E28" w:rsidRDefault="00706DE9" w:rsidP="00706DE9">
      <w:pPr>
        <w:spacing w:after="120" w:line="480" w:lineRule="auto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109B65E1" w14:textId="77777777" w:rsidR="00706DE9" w:rsidRDefault="00706DE9" w:rsidP="00706DE9">
      <w:pPr>
        <w:spacing w:after="120" w:line="480" w:lineRule="auto"/>
        <w:rPr>
          <w:rFonts w:ascii="Arial" w:hAnsi="Arial" w:cs="Arial"/>
          <w:b/>
          <w:bCs/>
          <w:i/>
          <w:iCs/>
          <w:color w:val="202020"/>
          <w:shd w:val="clear" w:color="auto" w:fill="FFFFFF"/>
        </w:rPr>
      </w:pPr>
    </w:p>
    <w:p w14:paraId="34A01CE4" w14:textId="77777777" w:rsidR="00706DE9" w:rsidRDefault="00706DE9" w:rsidP="00706DE9">
      <w:pPr>
        <w:spacing w:after="120" w:line="480" w:lineRule="auto"/>
        <w:rPr>
          <w:rFonts w:ascii="Arial" w:hAnsi="Arial" w:cs="Arial"/>
          <w:b/>
          <w:bCs/>
          <w:color w:val="202020"/>
          <w:shd w:val="clear" w:color="auto" w:fill="FFFFFF"/>
        </w:rPr>
      </w:pPr>
      <w:r>
        <w:rPr>
          <w:rFonts w:ascii="Arial" w:hAnsi="Arial" w:cs="Arial"/>
          <w:b/>
          <w:bCs/>
          <w:color w:val="202020"/>
          <w:shd w:val="clear" w:color="auto" w:fill="FFFFFF"/>
        </w:rPr>
        <w:br/>
      </w:r>
    </w:p>
    <w:p w14:paraId="7D811A7C" w14:textId="77777777" w:rsidR="00706DE9" w:rsidRDefault="00706DE9" w:rsidP="00706DE9">
      <w:pPr>
        <w:spacing w:after="120" w:line="480" w:lineRule="auto"/>
        <w:rPr>
          <w:rFonts w:ascii="Arial" w:hAnsi="Arial" w:cs="Arial"/>
          <w:b/>
          <w:bCs/>
          <w:color w:val="202020"/>
          <w:shd w:val="clear" w:color="auto" w:fill="FFFFFF"/>
        </w:rPr>
      </w:pPr>
    </w:p>
    <w:p w14:paraId="5B36F700" w14:textId="77777777" w:rsidR="00F525BC" w:rsidRDefault="00F525BC"/>
    <w:sectPr w:rsidR="00F525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DE9"/>
    <w:rsid w:val="00700AC9"/>
    <w:rsid w:val="00706DE9"/>
    <w:rsid w:val="008152B9"/>
    <w:rsid w:val="00895FA0"/>
    <w:rsid w:val="00965ACD"/>
    <w:rsid w:val="00A678E7"/>
    <w:rsid w:val="00B055C9"/>
    <w:rsid w:val="00C51B1C"/>
    <w:rsid w:val="00F5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0D840"/>
  <w15:chartTrackingRefBased/>
  <w15:docId w15:val="{7966852E-5370-4A77-B683-0F167C96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DE9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6DE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zh-C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6DE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zh-C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6DE9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zh-C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6DE9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zh-C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6DE9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zh-C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6DE9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zh-C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6DE9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zh-C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6DE9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zh-C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6DE9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zh-C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6D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6D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6D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6DE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6DE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6DE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6DE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6DE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6DE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6DE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06D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6DE9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zh-C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06D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6DE9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lang w:eastAsia="zh-C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06DE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6DE9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:lang w:eastAsia="zh-C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06DE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6D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:lang w:eastAsia="zh-C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6DE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6DE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812</Words>
  <Characters>4631</Characters>
  <Application>Microsoft Office Word</Application>
  <DocSecurity>0</DocSecurity>
  <Lines>38</Lines>
  <Paragraphs>10</Paragraphs>
  <ScaleCrop>false</ScaleCrop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Ibrahim, Ashraf</dc:creator>
  <cp:keywords/>
  <dc:description/>
  <cp:lastModifiedBy>Ibrahim, Ashraf</cp:lastModifiedBy>
  <cp:revision>1</cp:revision>
  <dcterms:created xsi:type="dcterms:W3CDTF">2025-07-22T23:46:00Z</dcterms:created>
  <dcterms:modified xsi:type="dcterms:W3CDTF">2025-07-22T23:50:00Z</dcterms:modified>
</cp:coreProperties>
</file>