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2A4" w:rsidRDefault="00106A97">
      <w:pPr>
        <w:jc w:val="center"/>
        <w:rPr>
          <w:sz w:val="36"/>
          <w:szCs w:val="36"/>
        </w:rPr>
      </w:pPr>
      <w:bookmarkStart w:id="0" w:name="OLE_LINK39"/>
      <w:r>
        <w:rPr>
          <w:sz w:val="36"/>
          <w:szCs w:val="36"/>
        </w:rPr>
        <w:t>Supplementary Materials</w:t>
      </w:r>
      <w:bookmarkEnd w:id="0"/>
      <w:r>
        <w:rPr>
          <w:sz w:val="36"/>
          <w:szCs w:val="36"/>
        </w:rPr>
        <w:t xml:space="preserve"> for</w:t>
      </w:r>
    </w:p>
    <w:p w:rsidR="007B12A4" w:rsidRDefault="007B12A4"/>
    <w:p w:rsidR="007B12A4" w:rsidRPr="00D42137" w:rsidRDefault="00106A97">
      <w:pPr>
        <w:jc w:val="center"/>
        <w:rPr>
          <w:rFonts w:cs="Times New Roman"/>
          <w:b/>
          <w:bCs/>
          <w:sz w:val="28"/>
          <w:szCs w:val="30"/>
        </w:rPr>
      </w:pPr>
      <w:r w:rsidRPr="00D42137">
        <w:rPr>
          <w:rFonts w:cs="Times New Roman"/>
          <w:b/>
          <w:bCs/>
          <w:sz w:val="28"/>
          <w:szCs w:val="30"/>
        </w:rPr>
        <w:t xml:space="preserve">Dissolved Bubble Microneedle </w:t>
      </w:r>
      <w:r w:rsidRPr="00D42137">
        <w:rPr>
          <w:rFonts w:cs="Times New Roman" w:hint="eastAsia"/>
          <w:b/>
          <w:bCs/>
          <w:sz w:val="28"/>
          <w:szCs w:val="30"/>
        </w:rPr>
        <w:t>P</w:t>
      </w:r>
      <w:r w:rsidRPr="00D42137">
        <w:rPr>
          <w:rFonts w:cs="Times New Roman"/>
          <w:b/>
          <w:bCs/>
          <w:sz w:val="28"/>
          <w:szCs w:val="30"/>
        </w:rPr>
        <w:t>atches for Co-Delivery of Hydrophobic and Hydrophilic Drugs to Improve Acne Vulgaris Therapy</w:t>
      </w:r>
    </w:p>
    <w:p w:rsidR="007B12A4" w:rsidRDefault="007B12A4">
      <w:pPr>
        <w:spacing w:line="360" w:lineRule="auto"/>
        <w:rPr>
          <w:rFonts w:cs="Times New Roman"/>
          <w:b/>
          <w:bCs/>
          <w:sz w:val="28"/>
          <w:szCs w:val="28"/>
        </w:rPr>
      </w:pPr>
    </w:p>
    <w:p w:rsidR="00D42137" w:rsidRDefault="00D42137" w:rsidP="00D42137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Authors</w:t>
      </w:r>
      <w:r>
        <w:rPr>
          <w:rFonts w:cs="Times New Roman" w:hint="eastAsia"/>
          <w:b/>
          <w:bCs/>
        </w:rPr>
        <w:t>:</w:t>
      </w:r>
    </w:p>
    <w:p w:rsidR="00D42137" w:rsidRDefault="00D42137" w:rsidP="00D42137">
      <w:pPr>
        <w:jc w:val="center"/>
        <w:rPr>
          <w:rFonts w:eastAsia="宋体" w:cs="Times New Roman"/>
          <w:vertAlign w:val="superscript"/>
        </w:rPr>
      </w:pPr>
      <w:r>
        <w:rPr>
          <w:rFonts w:eastAsia="宋体" w:cs="Times New Roman" w:hint="eastAsia"/>
        </w:rPr>
        <w:t>Xiaopeng Zhang</w:t>
      </w:r>
      <w:r>
        <w:rPr>
          <w:rFonts w:eastAsia="宋体" w:cs="Times New Roman" w:hint="eastAsia"/>
          <w:vertAlign w:val="superscript"/>
        </w:rPr>
        <w:t>1</w:t>
      </w:r>
      <w:r>
        <w:rPr>
          <w:rFonts w:eastAsia="宋体" w:cs="Times New Roman"/>
          <w:vertAlign w:val="superscript"/>
        </w:rPr>
        <w:t>,2,#</w:t>
      </w:r>
      <w:r>
        <w:rPr>
          <w:rFonts w:eastAsia="宋体" w:cs="Times New Roman" w:hint="eastAsia"/>
        </w:rPr>
        <w:t>, Xiaotong Zhao</w:t>
      </w:r>
      <w:r>
        <w:rPr>
          <w:rFonts w:eastAsia="宋体" w:cs="Times New Roman" w:hint="eastAsia"/>
          <w:vertAlign w:val="superscript"/>
        </w:rPr>
        <w:t>1</w:t>
      </w:r>
      <w:r>
        <w:rPr>
          <w:rFonts w:eastAsia="宋体" w:cs="Times New Roman"/>
          <w:vertAlign w:val="superscript"/>
        </w:rPr>
        <w:t>,2,#</w:t>
      </w:r>
      <w:r>
        <w:rPr>
          <w:rFonts w:eastAsia="宋体" w:cs="Times New Roman"/>
        </w:rPr>
        <w:t xml:space="preserve">, </w:t>
      </w:r>
      <w:r>
        <w:rPr>
          <w:rFonts w:eastAsia="宋体" w:cs="Times New Roman" w:hint="eastAsia"/>
        </w:rPr>
        <w:t>Yiting Li</w:t>
      </w:r>
      <w:r>
        <w:rPr>
          <w:rFonts w:eastAsia="宋体" w:cs="Times New Roman" w:hint="eastAsia"/>
          <w:vertAlign w:val="superscript"/>
        </w:rPr>
        <w:t>1</w:t>
      </w:r>
      <w:r>
        <w:rPr>
          <w:rFonts w:eastAsia="宋体" w:cs="Times New Roman"/>
          <w:vertAlign w:val="superscript"/>
        </w:rPr>
        <w:t>,2,#</w:t>
      </w:r>
      <w:r>
        <w:rPr>
          <w:rFonts w:eastAsia="宋体" w:cs="Times New Roman" w:hint="eastAsia"/>
        </w:rPr>
        <w:t>, Wanyue Zhang</w:t>
      </w:r>
      <w:r>
        <w:rPr>
          <w:rFonts w:eastAsia="宋体" w:cs="Times New Roman" w:hint="eastAsia"/>
          <w:vertAlign w:val="superscript"/>
        </w:rPr>
        <w:t>1</w:t>
      </w:r>
      <w:r>
        <w:rPr>
          <w:rFonts w:eastAsia="宋体" w:cs="Times New Roman"/>
          <w:vertAlign w:val="superscript"/>
        </w:rPr>
        <w:t>,2</w:t>
      </w:r>
      <w:r>
        <w:rPr>
          <w:rFonts w:eastAsia="宋体" w:cs="Times New Roman" w:hint="eastAsia"/>
        </w:rPr>
        <w:t>, Yuanyuan Chen</w:t>
      </w:r>
      <w:r>
        <w:rPr>
          <w:rFonts w:eastAsia="宋体" w:cs="Times New Roman"/>
          <w:vertAlign w:val="superscript"/>
        </w:rPr>
        <w:t>3</w:t>
      </w:r>
      <w:r>
        <w:rPr>
          <w:rFonts w:eastAsia="宋体" w:cs="Times New Roman" w:hint="eastAsia"/>
        </w:rPr>
        <w:t>, Haidong Jia</w:t>
      </w:r>
      <w:r>
        <w:rPr>
          <w:rFonts w:eastAsia="宋体" w:cs="Times New Roman"/>
          <w:vertAlign w:val="superscript"/>
        </w:rPr>
        <w:t>3</w:t>
      </w:r>
      <w:r>
        <w:rPr>
          <w:rFonts w:eastAsia="宋体" w:cs="Times New Roman"/>
        </w:rPr>
        <w:t>, Z</w:t>
      </w:r>
      <w:r>
        <w:rPr>
          <w:rFonts w:eastAsia="宋体" w:cs="Times New Roman" w:hint="eastAsia"/>
        </w:rPr>
        <w:t>hi</w:t>
      </w:r>
      <w:r>
        <w:rPr>
          <w:rFonts w:eastAsia="宋体" w:cs="Times New Roman"/>
        </w:rPr>
        <w:t>bing Zhang</w:t>
      </w:r>
      <w:r>
        <w:rPr>
          <w:rFonts w:eastAsia="宋体" w:cs="Times New Roman"/>
          <w:vertAlign w:val="superscript"/>
        </w:rPr>
        <w:t>5</w:t>
      </w:r>
      <w:r>
        <w:rPr>
          <w:rFonts w:eastAsia="宋体" w:cs="Times New Roman"/>
        </w:rPr>
        <w:t xml:space="preserve">, </w:t>
      </w:r>
      <w:r>
        <w:rPr>
          <w:rFonts w:eastAsia="宋体" w:cs="Times New Roman" w:hint="eastAsia"/>
        </w:rPr>
        <w:t>Can Yang Zhang</w:t>
      </w:r>
      <w:r>
        <w:rPr>
          <w:rFonts w:eastAsia="宋体" w:cs="Times New Roman" w:hint="eastAsia"/>
          <w:vertAlign w:val="superscript"/>
        </w:rPr>
        <w:t>1,2</w:t>
      </w:r>
      <w:r>
        <w:rPr>
          <w:rFonts w:eastAsia="宋体" w:cs="Times New Roman"/>
          <w:vertAlign w:val="superscript"/>
        </w:rPr>
        <w:t>,4,*</w:t>
      </w:r>
    </w:p>
    <w:p w:rsidR="00D42137" w:rsidRDefault="00D42137" w:rsidP="00D42137">
      <w:pPr>
        <w:jc w:val="center"/>
        <w:rPr>
          <w:rFonts w:eastAsia="宋体" w:cs="Times New Roman"/>
          <w:vertAlign w:val="superscript"/>
        </w:rPr>
      </w:pPr>
    </w:p>
    <w:p w:rsidR="00D42137" w:rsidRDefault="00D42137" w:rsidP="00D42137">
      <w:pPr>
        <w:spacing w:line="360" w:lineRule="auto"/>
        <w:rPr>
          <w:rFonts w:cs="Times New Roman"/>
          <w:b/>
          <w:bCs/>
        </w:rPr>
      </w:pPr>
      <w:r>
        <w:rPr>
          <w:rFonts w:eastAsia="宋体" w:cs="Times New Roman"/>
          <w:vertAlign w:val="superscript"/>
        </w:rPr>
        <w:t>*</w:t>
      </w:r>
      <w:r>
        <w:rPr>
          <w:rFonts w:cs="Times New Roman"/>
          <w:b/>
          <w:bCs/>
        </w:rPr>
        <w:t xml:space="preserve">Corresponding authors: </w:t>
      </w:r>
    </w:p>
    <w:p w:rsidR="00D42137" w:rsidRDefault="00D42137" w:rsidP="00D42137">
      <w:pPr>
        <w:spacing w:line="360" w:lineRule="auto"/>
        <w:rPr>
          <w:rFonts w:cs="Times New Roman"/>
        </w:rPr>
      </w:pPr>
      <w:r>
        <w:rPr>
          <w:rFonts w:cs="Times New Roman"/>
        </w:rPr>
        <w:t>Can Yang Zhang, E-mail: zhang.cy@sz.tsinghua.edu.cn</w:t>
      </w:r>
    </w:p>
    <w:p w:rsidR="00D42137" w:rsidRDefault="00D42137" w:rsidP="00D42137">
      <w:pPr>
        <w:widowControl/>
        <w:spacing w:before="120" w:line="360" w:lineRule="auto"/>
        <w:rPr>
          <w:rFonts w:cs="Times New Roman"/>
        </w:rPr>
      </w:pPr>
      <w:r>
        <w:rPr>
          <w:rFonts w:eastAsia="宋体" w:cs="Times New Roman"/>
          <w:vertAlign w:val="superscript"/>
        </w:rPr>
        <w:t>#</w:t>
      </w:r>
      <w:r>
        <w:rPr>
          <w:rFonts w:eastAsia="等线" w:cs="Times New Roman"/>
          <w:b/>
        </w:rPr>
        <w:t>These</w:t>
      </w:r>
      <w:r>
        <w:rPr>
          <w:rFonts w:eastAsiaTheme="minorHAnsi" w:cs="Times New Roman"/>
          <w:b/>
        </w:rPr>
        <w:t xml:space="preserve"> authors contributed equally to this work.</w:t>
      </w:r>
    </w:p>
    <w:p w:rsidR="00D42137" w:rsidRDefault="00D42137" w:rsidP="00D42137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Affiliations</w:t>
      </w:r>
      <w:r>
        <w:rPr>
          <w:rFonts w:cs="Times New Roman" w:hint="eastAsia"/>
          <w:b/>
          <w:bCs/>
        </w:rPr>
        <w:t>:</w:t>
      </w:r>
    </w:p>
    <w:p w:rsidR="00D42137" w:rsidRDefault="00D42137" w:rsidP="00D42137">
      <w:pPr>
        <w:spacing w:line="360" w:lineRule="auto"/>
        <w:rPr>
          <w:rFonts w:cs="Times New Roman"/>
        </w:rPr>
      </w:pPr>
      <w:r>
        <w:rPr>
          <w:rFonts w:cs="Times New Roman"/>
          <w:vertAlign w:val="superscript"/>
        </w:rPr>
        <w:t>1</w:t>
      </w:r>
      <w:r>
        <w:rPr>
          <w:rFonts w:cs="Times New Roman"/>
        </w:rPr>
        <w:t>Institute of Biopharmaceutical and Health Engineering, Shenzhen International Graduate School, Tsinghua University, Shenzhen 518055, China.</w:t>
      </w:r>
    </w:p>
    <w:p w:rsidR="00D42137" w:rsidRDefault="00D42137" w:rsidP="00D42137">
      <w:pPr>
        <w:spacing w:line="360" w:lineRule="auto"/>
        <w:rPr>
          <w:rFonts w:eastAsia="等线" w:cs="Times New Roman"/>
          <w:kern w:val="0"/>
          <w:lang w:val="en-GB"/>
        </w:rPr>
      </w:pPr>
      <w:r>
        <w:rPr>
          <w:rFonts w:eastAsia="等线" w:cs="Times New Roman"/>
          <w:kern w:val="0"/>
          <w:vertAlign w:val="superscript"/>
          <w:lang w:val="en-GB"/>
        </w:rPr>
        <w:t>2</w:t>
      </w:r>
      <w:r>
        <w:rPr>
          <w:rFonts w:eastAsia="等线" w:cs="Times New Roman"/>
          <w:kern w:val="0"/>
          <w:lang w:val="en-GB"/>
        </w:rPr>
        <w:t>Key Laboratory of Bioactive Proteins and Peptides Green Biomanufacturing of Guangdong Higher Education Institutes, Shenzhen International Graduate School, Tsinghua University, Shenzhen 518055, China.</w:t>
      </w:r>
    </w:p>
    <w:p w:rsidR="00D42137" w:rsidRDefault="00D42137" w:rsidP="00D42137">
      <w:pPr>
        <w:spacing w:line="360" w:lineRule="auto"/>
        <w:rPr>
          <w:rFonts w:cs="Times New Roman"/>
        </w:rPr>
      </w:pPr>
      <w:r>
        <w:rPr>
          <w:rFonts w:cs="Times New Roman"/>
          <w:vertAlign w:val="superscript"/>
        </w:rPr>
        <w:t>3</w:t>
      </w:r>
      <w:r>
        <w:rPr>
          <w:rFonts w:cs="Times New Roman" w:hint="eastAsia"/>
        </w:rPr>
        <w:t xml:space="preserve">Shanghai Jahwa United Co., Ltd., Shanghai, 200082, China. </w:t>
      </w:r>
    </w:p>
    <w:p w:rsidR="00D42137" w:rsidRDefault="00D42137" w:rsidP="00D42137">
      <w:pPr>
        <w:widowControl/>
        <w:spacing w:line="360" w:lineRule="auto"/>
        <w:rPr>
          <w:rFonts w:eastAsia="等线" w:cs="Times New Roman"/>
          <w:kern w:val="0"/>
          <w:lang w:val="en-GB"/>
        </w:rPr>
      </w:pPr>
      <w:r>
        <w:rPr>
          <w:rFonts w:eastAsia="等线" w:cs="Times New Roman"/>
          <w:kern w:val="0"/>
          <w:vertAlign w:val="superscript"/>
          <w:lang w:val="en-GB"/>
        </w:rPr>
        <w:t>4</w:t>
      </w:r>
      <w:r>
        <w:rPr>
          <w:rFonts w:eastAsia="等线" w:cs="Times New Roman"/>
          <w:kern w:val="0"/>
          <w:lang w:val="en-GB"/>
        </w:rPr>
        <w:t>Key Laboratory of Industrial Biocatalysis, Ministry of Education; Tsinghua University, Beijing 100084, China</w:t>
      </w:r>
      <w:r>
        <w:rPr>
          <w:rFonts w:eastAsia="等线" w:cs="Times New Roman" w:hint="eastAsia"/>
          <w:kern w:val="0"/>
          <w:lang w:val="en-GB"/>
        </w:rPr>
        <w:t>.</w:t>
      </w:r>
    </w:p>
    <w:p w:rsidR="007B12A4" w:rsidRDefault="00D42137" w:rsidP="00D42137">
      <w:pPr>
        <w:widowControl/>
        <w:rPr>
          <w:rFonts w:eastAsia="等线" w:cs="Times New Roman"/>
          <w:kern w:val="0"/>
          <w:sz w:val="24"/>
          <w:szCs w:val="24"/>
          <w:lang w:val="en-GB"/>
        </w:rPr>
      </w:pPr>
      <w:r>
        <w:rPr>
          <w:rFonts w:eastAsia="等线" w:cs="Times New Roman"/>
          <w:kern w:val="0"/>
          <w:vertAlign w:val="superscript"/>
          <w:lang w:val="en-GB"/>
        </w:rPr>
        <w:t>5</w:t>
      </w:r>
      <w:r>
        <w:rPr>
          <w:rFonts w:eastAsia="等线" w:cs="Times New Roman"/>
          <w:kern w:val="0"/>
          <w:lang w:val="en-GB"/>
        </w:rPr>
        <w:t>School of Chemical Engineering, University of Birmingham, Birmingham B15 2TT, United Kingdom.</w:t>
      </w:r>
    </w:p>
    <w:p w:rsidR="007B12A4" w:rsidRDefault="007B12A4">
      <w:pPr>
        <w:widowControl/>
        <w:rPr>
          <w:rFonts w:eastAsia="等线" w:cs="Times New Roman"/>
          <w:kern w:val="0"/>
          <w:sz w:val="24"/>
          <w:szCs w:val="24"/>
          <w:lang w:val="en-GB"/>
        </w:rPr>
      </w:pPr>
    </w:p>
    <w:p w:rsidR="007B12A4" w:rsidRDefault="007B12A4">
      <w:pPr>
        <w:widowControl/>
        <w:rPr>
          <w:rFonts w:eastAsia="等线" w:cs="Times New Roman"/>
          <w:kern w:val="0"/>
          <w:sz w:val="24"/>
          <w:szCs w:val="24"/>
          <w:lang w:val="en-GB"/>
        </w:rPr>
      </w:pPr>
    </w:p>
    <w:p w:rsidR="007B12A4" w:rsidRDefault="007B12A4">
      <w:pPr>
        <w:widowControl/>
        <w:rPr>
          <w:rFonts w:eastAsia="等线" w:cs="Times New Roman"/>
          <w:kern w:val="0"/>
          <w:sz w:val="24"/>
          <w:szCs w:val="24"/>
          <w:lang w:val="en-GB"/>
        </w:rPr>
      </w:pPr>
    </w:p>
    <w:p w:rsidR="007B12A4" w:rsidRDefault="007B12A4">
      <w:pPr>
        <w:widowControl/>
        <w:rPr>
          <w:rFonts w:eastAsia="等线" w:cs="Times New Roman"/>
          <w:kern w:val="0"/>
          <w:sz w:val="24"/>
          <w:szCs w:val="24"/>
          <w:lang w:val="en-GB"/>
        </w:rPr>
      </w:pPr>
    </w:p>
    <w:p w:rsidR="007B12A4" w:rsidRDefault="007B12A4">
      <w:pPr>
        <w:widowControl/>
        <w:rPr>
          <w:rFonts w:eastAsia="等线" w:cs="Times New Roman"/>
          <w:kern w:val="0"/>
          <w:sz w:val="24"/>
          <w:szCs w:val="24"/>
          <w:lang w:val="en-GB"/>
        </w:rPr>
      </w:pPr>
    </w:p>
    <w:p w:rsidR="007B12A4" w:rsidRDefault="00106A97">
      <w:pPr>
        <w:rPr>
          <w:sz w:val="24"/>
          <w:szCs w:val="24"/>
        </w:rPr>
      </w:pPr>
      <w:bookmarkStart w:id="1" w:name="OLE_LINK40"/>
      <w:bookmarkStart w:id="2" w:name="_GoBack"/>
      <w:bookmarkEnd w:id="2"/>
      <w:r>
        <w:rPr>
          <w:b/>
          <w:sz w:val="24"/>
          <w:szCs w:val="24"/>
        </w:rPr>
        <w:t>The Supplementary Materials include:</w:t>
      </w:r>
      <w:r>
        <w:rPr>
          <w:rFonts w:hint="eastAsia"/>
          <w:b/>
          <w:sz w:val="24"/>
          <w:szCs w:val="24"/>
        </w:rPr>
        <w:t xml:space="preserve"> </w:t>
      </w:r>
      <w:r>
        <w:rPr>
          <w:sz w:val="24"/>
          <w:szCs w:val="24"/>
        </w:rPr>
        <w:t>Table S1</w:t>
      </w:r>
      <w:r>
        <w:rPr>
          <w:rFonts w:hint="eastAsia"/>
          <w:sz w:val="24"/>
          <w:szCs w:val="24"/>
        </w:rPr>
        <w:t xml:space="preserve"> and </w:t>
      </w:r>
      <w:r>
        <w:rPr>
          <w:sz w:val="24"/>
          <w:szCs w:val="24"/>
        </w:rPr>
        <w:t>Figs. S1 to S</w:t>
      </w:r>
      <w:r>
        <w:rPr>
          <w:rFonts w:hint="eastAsia"/>
          <w:sz w:val="24"/>
          <w:szCs w:val="24"/>
        </w:rPr>
        <w:t>7</w:t>
      </w:r>
      <w:bookmarkEnd w:id="1"/>
    </w:p>
    <w:p w:rsidR="007B12A4" w:rsidRDefault="007B12A4">
      <w:pPr>
        <w:rPr>
          <w:sz w:val="24"/>
          <w:szCs w:val="24"/>
        </w:rPr>
      </w:pPr>
    </w:p>
    <w:p w:rsidR="007B12A4" w:rsidRDefault="00106A97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7B12A4" w:rsidRDefault="00106A97">
      <w:pPr>
        <w:spacing w:line="360" w:lineRule="auto"/>
        <w:jc w:val="center"/>
        <w:rPr>
          <w:rFonts w:eastAsia="微软雅黑"/>
          <w:b/>
          <w:bCs/>
          <w:sz w:val="24"/>
          <w:szCs w:val="24"/>
        </w:rPr>
      </w:pPr>
      <w:bookmarkStart w:id="3" w:name="OLE_LINK64"/>
      <w:r>
        <w:rPr>
          <w:rFonts w:ascii="Times New Roman" w:eastAsia="宋体" w:hAnsi="Times New Roman" w:cs="mn-cs"/>
          <w:b/>
          <w:bCs/>
          <w:color w:val="000000"/>
          <w:kern w:val="24"/>
          <w:sz w:val="24"/>
          <w:szCs w:val="24"/>
        </w:rPr>
        <w:lastRenderedPageBreak/>
        <w:t xml:space="preserve">Table S1 </w:t>
      </w:r>
      <w:r>
        <w:rPr>
          <w:rFonts w:ascii="Times New Roman" w:eastAsia="微软雅黑" w:hAnsi="Times New Roman" w:cs="mn-cs"/>
          <w:color w:val="000000"/>
          <w:kern w:val="24"/>
          <w:sz w:val="24"/>
          <w:szCs w:val="24"/>
        </w:rPr>
        <w:t>HPLC Gradient elution program</w:t>
      </w:r>
      <w:r>
        <w:rPr>
          <w:rFonts w:ascii="Times New Roman" w:eastAsia="微软雅黑" w:hAnsi="Times New Roman" w:cs="mn-cs" w:hint="eastAsia"/>
          <w:color w:val="000000"/>
          <w:kern w:val="24"/>
          <w:sz w:val="24"/>
          <w:szCs w:val="24"/>
        </w:rPr>
        <w:t xml:space="preserve"> of drug </w:t>
      </w:r>
      <w:r>
        <w:rPr>
          <w:rFonts w:ascii="Times New Roman" w:eastAsia="微软雅黑" w:hAnsi="Times New Roman" w:cs="mn-cs"/>
          <w:color w:val="000000"/>
          <w:kern w:val="24"/>
          <w:sz w:val="24"/>
          <w:szCs w:val="24"/>
        </w:rPr>
        <w:t>DPG</w:t>
      </w:r>
      <w:r>
        <w:rPr>
          <w:rFonts w:ascii="Times New Roman" w:eastAsia="微软雅黑" w:hAnsi="Times New Roman" w:cs="mn-cs" w:hint="eastAsia"/>
          <w:color w:val="000000"/>
          <w:kern w:val="24"/>
          <w:sz w:val="24"/>
          <w:szCs w:val="24"/>
        </w:rPr>
        <w:t>.</w:t>
      </w:r>
    </w:p>
    <w:tbl>
      <w:tblPr>
        <w:tblW w:w="95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3"/>
        <w:gridCol w:w="2113"/>
        <w:gridCol w:w="5292"/>
      </w:tblGrid>
      <w:tr w:rsidR="007B12A4">
        <w:trPr>
          <w:trHeight w:val="397"/>
        </w:trPr>
        <w:tc>
          <w:tcPr>
            <w:tcW w:w="2113" w:type="dxa"/>
            <w:tcBorders>
              <w:top w:val="single" w:sz="12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bookmarkEnd w:id="3"/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宋体" w:hAnsi="Times New Roman"/>
                <w:b/>
                <w:bCs/>
                <w:color w:val="000000"/>
                <w:kern w:val="24"/>
                <w:szCs w:val="24"/>
              </w:rPr>
              <w:t>Time (min)</w:t>
            </w:r>
          </w:p>
        </w:tc>
        <w:tc>
          <w:tcPr>
            <w:tcW w:w="2113" w:type="dxa"/>
            <w:tcBorders>
              <w:top w:val="single" w:sz="12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宋体" w:hAnsi="Times New Roman"/>
                <w:b/>
                <w:bCs/>
                <w:color w:val="000000"/>
                <w:kern w:val="24"/>
                <w:szCs w:val="24"/>
              </w:rPr>
              <w:t>Methanol (%)</w:t>
            </w:r>
          </w:p>
        </w:tc>
        <w:tc>
          <w:tcPr>
            <w:tcW w:w="5292" w:type="dxa"/>
            <w:tcBorders>
              <w:top w:val="single" w:sz="12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宋体" w:hAnsi="Times New Roman"/>
                <w:b/>
                <w:bCs/>
                <w:color w:val="000000"/>
                <w:kern w:val="24"/>
                <w:szCs w:val="24"/>
              </w:rPr>
              <w:t>0.06% Phosphoric Acid Aqueous Solution (%)</w:t>
            </w:r>
          </w:p>
        </w:tc>
      </w:tr>
      <w:tr w:rsidR="007B12A4">
        <w:trPr>
          <w:trHeight w:val="397"/>
        </w:trPr>
        <w:tc>
          <w:tcPr>
            <w:tcW w:w="2113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宋体" w:hAnsi="Times New Roman"/>
                <w:color w:val="000000"/>
                <w:kern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75</w:t>
            </w:r>
          </w:p>
        </w:tc>
        <w:tc>
          <w:tcPr>
            <w:tcW w:w="5292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25</w:t>
            </w:r>
          </w:p>
        </w:tc>
      </w:tr>
      <w:tr w:rsidR="007B12A4">
        <w:trPr>
          <w:trHeight w:val="397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宋体" w:hAnsi="Times New Roman"/>
                <w:color w:val="000000"/>
                <w:kern w:val="24"/>
                <w:szCs w:val="24"/>
              </w:rPr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30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7</w:t>
            </w:r>
            <w:r>
              <w:rPr>
                <w:rFonts w:ascii="Times New Roman" w:eastAsia="宋体" w:hAnsi="Times New Roman"/>
                <w:color w:val="000000"/>
                <w:kern w:val="24"/>
                <w:szCs w:val="24"/>
              </w:rPr>
              <w:t>0</w:t>
            </w:r>
          </w:p>
        </w:tc>
      </w:tr>
      <w:tr w:rsidR="007B12A4">
        <w:trPr>
          <w:trHeight w:val="397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宋体" w:hAnsi="Times New Roman"/>
                <w:color w:val="000000"/>
                <w:kern w:val="24"/>
                <w:szCs w:val="24"/>
              </w:rPr>
              <w:t>15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3</w:t>
            </w:r>
            <w:r>
              <w:rPr>
                <w:rFonts w:ascii="Times New Roman" w:eastAsia="宋体" w:hAnsi="Times New Roman"/>
                <w:color w:val="000000"/>
                <w:kern w:val="24"/>
                <w:szCs w:val="24"/>
              </w:rPr>
              <w:t>0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7</w:t>
            </w:r>
            <w:r>
              <w:rPr>
                <w:rFonts w:ascii="Times New Roman" w:eastAsia="宋体" w:hAnsi="Times New Roman"/>
                <w:color w:val="000000"/>
                <w:kern w:val="24"/>
                <w:szCs w:val="24"/>
              </w:rPr>
              <w:t>0</w:t>
            </w:r>
          </w:p>
        </w:tc>
      </w:tr>
      <w:tr w:rsidR="007B12A4">
        <w:trPr>
          <w:trHeight w:val="397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15.1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75</w:t>
            </w: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宋体" w:hAnsi="Times New Roman"/>
                <w:color w:val="000000"/>
                <w:kern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5</w:t>
            </w:r>
          </w:p>
        </w:tc>
      </w:tr>
      <w:tr w:rsidR="007B12A4">
        <w:trPr>
          <w:trHeight w:val="397"/>
        </w:trPr>
        <w:tc>
          <w:tcPr>
            <w:tcW w:w="2113" w:type="dxa"/>
            <w:tcBorders>
              <w:top w:val="nil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宋体" w:hAnsi="Times New Roman"/>
                <w:color w:val="000000"/>
                <w:kern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nil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75</w:t>
            </w:r>
          </w:p>
        </w:tc>
        <w:tc>
          <w:tcPr>
            <w:tcW w:w="5292" w:type="dxa"/>
            <w:tcBorders>
              <w:top w:val="nil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12A4" w:rsidRDefault="00106A97">
            <w:pPr>
              <w:pStyle w:val="a7"/>
              <w:widowControl/>
              <w:spacing w:beforeAutospacing="0" w:afterAutospacing="0" w:line="360" w:lineRule="auto"/>
              <w:jc w:val="center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4"/>
              </w:rPr>
              <w:t>25</w:t>
            </w:r>
          </w:p>
        </w:tc>
      </w:tr>
    </w:tbl>
    <w:p w:rsidR="007B12A4" w:rsidRDefault="007B12A4">
      <w:pPr>
        <w:tabs>
          <w:tab w:val="left" w:pos="6446"/>
        </w:tabs>
        <w:jc w:val="left"/>
      </w:pPr>
    </w:p>
    <w:p w:rsidR="007B12A4" w:rsidRDefault="007B12A4">
      <w:pPr>
        <w:tabs>
          <w:tab w:val="left" w:pos="6446"/>
        </w:tabs>
        <w:jc w:val="left"/>
      </w:pPr>
    </w:p>
    <w:p w:rsidR="007B12A4" w:rsidRDefault="007B12A4">
      <w:pPr>
        <w:tabs>
          <w:tab w:val="left" w:pos="6446"/>
        </w:tabs>
        <w:jc w:val="left"/>
      </w:pPr>
    </w:p>
    <w:p w:rsidR="007B12A4" w:rsidRDefault="007B12A4">
      <w:pPr>
        <w:tabs>
          <w:tab w:val="left" w:pos="6446"/>
        </w:tabs>
        <w:jc w:val="left"/>
      </w:pPr>
    </w:p>
    <w:p w:rsidR="007B12A4" w:rsidRDefault="00106A9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4631690"/>
            <wp:effectExtent l="0" t="0" r="444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A4" w:rsidRDefault="00106A97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Fig. S</w:t>
      </w:r>
      <w:r>
        <w:rPr>
          <w:rFonts w:hint="eastAsia"/>
          <w:b/>
          <w:bCs/>
          <w:sz w:val="24"/>
          <w:szCs w:val="24"/>
        </w:rPr>
        <w:t xml:space="preserve">1 </w:t>
      </w:r>
      <w:r>
        <w:rPr>
          <w:sz w:val="24"/>
          <w:szCs w:val="24"/>
        </w:rPr>
        <w:t xml:space="preserve">Agar plate coating results of </w:t>
      </w:r>
      <w:r>
        <w:rPr>
          <w:i/>
          <w:iCs/>
          <w:sz w:val="24"/>
          <w:szCs w:val="24"/>
        </w:rPr>
        <w:t xml:space="preserve">P. acnes </w:t>
      </w:r>
      <w:r>
        <w:rPr>
          <w:sz w:val="24"/>
          <w:szCs w:val="24"/>
        </w:rPr>
        <w:t>after co-culture with different drug solution, n = 3.</w:t>
      </w:r>
    </w:p>
    <w:p w:rsidR="007B12A4" w:rsidRDefault="007B12A4">
      <w:pPr>
        <w:spacing w:line="360" w:lineRule="auto"/>
      </w:pPr>
    </w:p>
    <w:p w:rsidR="007B12A4" w:rsidRDefault="007B12A4">
      <w:pPr>
        <w:spacing w:line="360" w:lineRule="auto"/>
      </w:pPr>
    </w:p>
    <w:p w:rsidR="007B12A4" w:rsidRDefault="007B12A4">
      <w:pPr>
        <w:spacing w:line="360" w:lineRule="auto"/>
      </w:pPr>
    </w:p>
    <w:p w:rsidR="007B12A4" w:rsidRDefault="00106A9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639945" cy="3481705"/>
            <wp:effectExtent l="0" t="0" r="825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A4" w:rsidRDefault="00106A97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Fig</w:t>
      </w:r>
      <w:r>
        <w:rPr>
          <w:rFonts w:hint="eastAsia"/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S</w:t>
      </w:r>
      <w:r>
        <w:rPr>
          <w:rFonts w:hint="eastAsia"/>
          <w:b/>
          <w:bCs/>
          <w:sz w:val="24"/>
          <w:szCs w:val="24"/>
        </w:rPr>
        <w:t xml:space="preserve">2 </w:t>
      </w:r>
      <w:r>
        <w:rPr>
          <w:sz w:val="24"/>
          <w:szCs w:val="24"/>
        </w:rPr>
        <w:t>Microparticle strength tester for measuring the mechanical properties of a single MN arranged on the DBMNPs.</w:t>
      </w:r>
    </w:p>
    <w:p w:rsidR="007B12A4" w:rsidRDefault="007B12A4">
      <w:pPr>
        <w:spacing w:line="360" w:lineRule="auto"/>
      </w:pPr>
    </w:p>
    <w:p w:rsidR="007B12A4" w:rsidRDefault="007B12A4">
      <w:pPr>
        <w:spacing w:line="360" w:lineRule="auto"/>
      </w:pPr>
    </w:p>
    <w:p w:rsidR="007B12A4" w:rsidRDefault="007B12A4">
      <w:pPr>
        <w:spacing w:line="360" w:lineRule="auto"/>
      </w:pPr>
    </w:p>
    <w:p w:rsidR="007B12A4" w:rsidRDefault="00106A9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591175" cy="1638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r="353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A4" w:rsidRDefault="00106A97">
      <w:pPr>
        <w:pStyle w:val="a7"/>
        <w:widowControl/>
        <w:spacing w:beforeAutospacing="0" w:afterAutospacing="0"/>
        <w:jc w:val="center"/>
        <w:rPr>
          <w:rFonts w:cstheme="minorBidi"/>
          <w:kern w:val="2"/>
          <w:szCs w:val="24"/>
        </w:rPr>
      </w:pPr>
      <w:r>
        <w:rPr>
          <w:rFonts w:cstheme="minorBidi"/>
          <w:b/>
          <w:bCs/>
          <w:kern w:val="2"/>
          <w:szCs w:val="24"/>
        </w:rPr>
        <w:t>Fig. S</w:t>
      </w:r>
      <w:r>
        <w:rPr>
          <w:rFonts w:cstheme="minorBidi" w:hint="eastAsia"/>
          <w:b/>
          <w:bCs/>
          <w:kern w:val="2"/>
          <w:szCs w:val="24"/>
        </w:rPr>
        <w:t>3</w:t>
      </w:r>
      <w:r>
        <w:rPr>
          <w:rFonts w:cstheme="minorBidi"/>
          <w:b/>
          <w:bCs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S</w:t>
      </w:r>
      <w:r>
        <w:rPr>
          <w:rFonts w:cstheme="minorBidi"/>
          <w:kern w:val="2"/>
          <w:szCs w:val="24"/>
        </w:rPr>
        <w:t>tandard curve of (a) DPG, (b) PIONIN</w:t>
      </w:r>
      <w:r>
        <w:rPr>
          <w:rFonts w:cstheme="minorBidi" w:hint="eastAsia"/>
          <w:kern w:val="2"/>
          <w:szCs w:val="24"/>
        </w:rPr>
        <w:t>,</w:t>
      </w:r>
      <w:r>
        <w:rPr>
          <w:rFonts w:cstheme="minorBidi"/>
          <w:kern w:val="2"/>
          <w:szCs w:val="24"/>
        </w:rPr>
        <w:t xml:space="preserve"> and (c) SA. </w:t>
      </w:r>
      <w:r>
        <w:rPr>
          <w:rFonts w:cstheme="minorBidi" w:hint="eastAsia"/>
          <w:kern w:val="2"/>
          <w:szCs w:val="24"/>
        </w:rPr>
        <w:t>(</w:t>
      </w:r>
      <w:r>
        <w:rPr>
          <w:rFonts w:cstheme="minorBidi"/>
          <w:kern w:val="2"/>
          <w:szCs w:val="24"/>
        </w:rPr>
        <w:t xml:space="preserve">Inset: liquid chromatogram of </w:t>
      </w:r>
      <w:r>
        <w:rPr>
          <w:rFonts w:cstheme="minorBidi" w:hint="eastAsia"/>
          <w:kern w:val="2"/>
          <w:szCs w:val="24"/>
        </w:rPr>
        <w:t>DPG and SA</w:t>
      </w:r>
      <w:r>
        <w:rPr>
          <w:rFonts w:cstheme="minorBidi" w:hint="eastAsia"/>
          <w:kern w:val="2"/>
          <w:szCs w:val="24"/>
        </w:rPr>
        <w:t>)</w:t>
      </w:r>
    </w:p>
    <w:p w:rsidR="007B12A4" w:rsidRDefault="007B12A4">
      <w:pPr>
        <w:spacing w:line="360" w:lineRule="auto"/>
      </w:pPr>
    </w:p>
    <w:p w:rsidR="007B12A4" w:rsidRDefault="007B12A4">
      <w:pPr>
        <w:spacing w:line="360" w:lineRule="auto"/>
      </w:pPr>
    </w:p>
    <w:p w:rsidR="007B12A4" w:rsidRDefault="007B12A4">
      <w:pPr>
        <w:spacing w:line="360" w:lineRule="auto"/>
      </w:pPr>
    </w:p>
    <w:p w:rsidR="007B12A4" w:rsidRDefault="00106A9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56555" cy="2052955"/>
            <wp:effectExtent l="0" t="0" r="0" b="444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618" cy="205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A4" w:rsidRDefault="00106A97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Fig. S4</w:t>
      </w:r>
      <w:r>
        <w:rPr>
          <w:sz w:val="24"/>
          <w:szCs w:val="24"/>
        </w:rPr>
        <w:t xml:space="preserve"> Morphology of DBMNPs before and after insertion</w:t>
      </w:r>
      <w:r>
        <w:rPr>
          <w:rFonts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 min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sz w:val="24"/>
          <w:szCs w:val="24"/>
        </w:rPr>
        <w:t xml:space="preserve"> into the mouse’s right ear.</w:t>
      </w:r>
    </w:p>
    <w:p w:rsidR="007B12A4" w:rsidRDefault="007B12A4">
      <w:pPr>
        <w:spacing w:line="360" w:lineRule="auto"/>
        <w:rPr>
          <w:rFonts w:ascii="Times New Roman" w:hAnsi="Times New Roman" w:cs="Times New Roman"/>
        </w:rPr>
      </w:pPr>
    </w:p>
    <w:p w:rsidR="007B12A4" w:rsidRDefault="007B12A4">
      <w:pPr>
        <w:spacing w:line="360" w:lineRule="auto"/>
        <w:rPr>
          <w:rFonts w:ascii="Times New Roman" w:hAnsi="Times New Roman" w:cs="Times New Roman"/>
        </w:rPr>
      </w:pPr>
    </w:p>
    <w:p w:rsidR="007B12A4" w:rsidRDefault="00106A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0130" cy="1227455"/>
            <wp:effectExtent l="0" t="0" r="0" b="0"/>
            <wp:docPr id="20405448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4486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A4" w:rsidRDefault="00106A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mages of </w:t>
      </w:r>
      <w:r>
        <w:rPr>
          <w:rFonts w:ascii="Times New Roman" w:hAnsi="Times New Roman" w:cs="Times New Roman"/>
          <w:i/>
          <w:iCs/>
          <w:sz w:val="24"/>
          <w:szCs w:val="24"/>
        </w:rPr>
        <w:t>in vivo</w:t>
      </w:r>
      <w:r>
        <w:rPr>
          <w:rFonts w:ascii="Times New Roman" w:hAnsi="Times New Roman" w:cs="Times New Roman"/>
          <w:sz w:val="24"/>
          <w:szCs w:val="24"/>
        </w:rPr>
        <w:t xml:space="preserve"> bacterial colonies spread on agar plate obtained from the right ear tissues of mice. </w:t>
      </w:r>
    </w:p>
    <w:p w:rsidR="007B12A4" w:rsidRDefault="007B12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12A4" w:rsidRDefault="00106A97">
      <w:pPr>
        <w:spacing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3201035" cy="2760980"/>
            <wp:effectExtent l="0" t="0" r="0" b="1270"/>
            <wp:docPr id="18052159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1599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9466" cy="2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A4" w:rsidRDefault="00106A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</w:t>
      </w:r>
      <w:r>
        <w:rPr>
          <w:rFonts w:ascii="Times New Roman" w:hAnsi="Times New Roman" w:hint="eastAsia"/>
          <w:b/>
          <w:bCs/>
          <w:sz w:val="24"/>
          <w:szCs w:val="24"/>
        </w:rPr>
        <w:t>6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Changes in body weight of mice during the therapy. n = 3 for each group. All calculated data are presented as mean ± standard deviation. </w:t>
      </w:r>
    </w:p>
    <w:p w:rsidR="007B12A4" w:rsidRDefault="007B12A4">
      <w:pPr>
        <w:spacing w:line="360" w:lineRule="auto"/>
        <w:jc w:val="center"/>
        <w:rPr>
          <w:rFonts w:ascii="Times New Roman" w:hAnsi="Times New Roman" w:cs="Times New Roman"/>
        </w:rPr>
      </w:pPr>
    </w:p>
    <w:p w:rsidR="007B12A4" w:rsidRDefault="007B12A4">
      <w:pPr>
        <w:spacing w:line="360" w:lineRule="auto"/>
        <w:jc w:val="center"/>
        <w:rPr>
          <w:rFonts w:ascii="Times New Roman" w:hAnsi="Times New Roman" w:cs="Times New Roman"/>
        </w:rPr>
      </w:pPr>
    </w:p>
    <w:p w:rsidR="007B12A4" w:rsidRDefault="007B12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12A4" w:rsidRDefault="00106A9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18025" cy="6653530"/>
            <wp:effectExtent l="0" t="0" r="0" b="0"/>
            <wp:docPr id="1966359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599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6546" cy="666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A4" w:rsidRDefault="00106A97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Fig. S</w:t>
      </w:r>
      <w:r>
        <w:rPr>
          <w:rFonts w:hint="eastAsia"/>
          <w:b/>
          <w:bCs/>
          <w:sz w:val="24"/>
          <w:szCs w:val="24"/>
        </w:rPr>
        <w:t xml:space="preserve">7 </w:t>
      </w:r>
      <w:r>
        <w:rPr>
          <w:sz w:val="24"/>
          <w:szCs w:val="24"/>
        </w:rPr>
        <w:t>Skin re</w:t>
      </w:r>
      <w:r>
        <w:rPr>
          <w:sz w:val="24"/>
          <w:szCs w:val="24"/>
        </w:rPr>
        <w:t>covery at insertion sites (black dashed boxes) of mouse’s right ear after DBMNPs removal.</w:t>
      </w:r>
    </w:p>
    <w:sectPr w:rsidR="007B12A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A97" w:rsidRDefault="00106A97" w:rsidP="00D42137">
      <w:r>
        <w:separator/>
      </w:r>
    </w:p>
  </w:endnote>
  <w:endnote w:type="continuationSeparator" w:id="0">
    <w:p w:rsidR="00106A97" w:rsidRDefault="00106A97" w:rsidP="00D42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n-cs">
    <w:altName w:val="ksdb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A97" w:rsidRDefault="00106A97" w:rsidP="00D42137">
      <w:r>
        <w:separator/>
      </w:r>
    </w:p>
  </w:footnote>
  <w:footnote w:type="continuationSeparator" w:id="0">
    <w:p w:rsidR="00106A97" w:rsidRDefault="00106A97" w:rsidP="00D421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56C"/>
    <w:rsid w:val="000E5B12"/>
    <w:rsid w:val="00106A97"/>
    <w:rsid w:val="00140CA3"/>
    <w:rsid w:val="001A0738"/>
    <w:rsid w:val="003025BA"/>
    <w:rsid w:val="003C6064"/>
    <w:rsid w:val="003F254B"/>
    <w:rsid w:val="004574EC"/>
    <w:rsid w:val="00477095"/>
    <w:rsid w:val="004859FB"/>
    <w:rsid w:val="004B45F9"/>
    <w:rsid w:val="004C524E"/>
    <w:rsid w:val="004D656C"/>
    <w:rsid w:val="004F2C18"/>
    <w:rsid w:val="00512684"/>
    <w:rsid w:val="00537D72"/>
    <w:rsid w:val="00540C15"/>
    <w:rsid w:val="00552592"/>
    <w:rsid w:val="00591434"/>
    <w:rsid w:val="00722975"/>
    <w:rsid w:val="007B12A4"/>
    <w:rsid w:val="00877D08"/>
    <w:rsid w:val="008E5E78"/>
    <w:rsid w:val="008F416D"/>
    <w:rsid w:val="00905C88"/>
    <w:rsid w:val="009806D3"/>
    <w:rsid w:val="009B1687"/>
    <w:rsid w:val="00A7112E"/>
    <w:rsid w:val="00A87B44"/>
    <w:rsid w:val="00AD6F56"/>
    <w:rsid w:val="00AE7425"/>
    <w:rsid w:val="00C01A62"/>
    <w:rsid w:val="00C36DDC"/>
    <w:rsid w:val="00C82B21"/>
    <w:rsid w:val="00D111C4"/>
    <w:rsid w:val="00D42137"/>
    <w:rsid w:val="00D774BE"/>
    <w:rsid w:val="00D873E7"/>
    <w:rsid w:val="00E0500C"/>
    <w:rsid w:val="00F93CA3"/>
    <w:rsid w:val="1BD23C9F"/>
    <w:rsid w:val="220A32A8"/>
    <w:rsid w:val="27B503AF"/>
    <w:rsid w:val="2F8C7414"/>
    <w:rsid w:val="38E075A3"/>
    <w:rsid w:val="39641F82"/>
    <w:rsid w:val="419E1ADC"/>
    <w:rsid w:val="55A8223A"/>
    <w:rsid w:val="57582376"/>
    <w:rsid w:val="5D9E08F7"/>
    <w:rsid w:val="6517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7BBBC18-9EF6-4994-86FD-89508A9EC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1">
    <w:name w:val="heading 1"/>
    <w:basedOn w:val="a"/>
    <w:next w:val="a"/>
    <w:link w:val="10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FollowedHyperlink"/>
    <w:basedOn w:val="a0"/>
    <w:uiPriority w:val="99"/>
    <w:semiHidden/>
    <w:unhideWhenUsed/>
    <w:qFormat/>
    <w:rPr>
      <w:color w:val="7E1FAD"/>
      <w:u w:val="single"/>
    </w:rPr>
  </w:style>
  <w:style w:type="character" w:styleId="a9">
    <w:name w:val="Hyperlink"/>
    <w:basedOn w:val="a0"/>
    <w:uiPriority w:val="99"/>
    <w:semiHidden/>
    <w:unhideWhenUsed/>
    <w:qFormat/>
    <w:rPr>
      <w:color w:val="0026E5"/>
      <w:u w:val="single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Times New Roman"/>
      <w:b/>
      <w:bCs/>
      <w:kern w:val="44"/>
      <w:sz w:val="48"/>
      <w:szCs w:val="48"/>
      <w14:ligatures w14:val="none"/>
    </w:r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微软雅黑-新罗马">
      <a:majorFont>
        <a:latin typeface="Times New Roman"/>
        <a:ea typeface="微软雅黑"/>
        <a:cs typeface=""/>
      </a:majorFont>
      <a:minorFont>
        <a:latin typeface="Times New Roman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036BF-CBE6-4330-8BC8-267B05262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314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xttttt Z</dc:creator>
  <cp:lastModifiedBy>zcy</cp:lastModifiedBy>
  <cp:revision>7</cp:revision>
  <cp:lastPrinted>2025-07-28T11:51:00Z</cp:lastPrinted>
  <dcterms:created xsi:type="dcterms:W3CDTF">2025-08-01T04:17:00Z</dcterms:created>
  <dcterms:modified xsi:type="dcterms:W3CDTF">2025-08-01T07:24:00Z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eyJoZGlkIjoiMDkxZTNkYTE4MzcwZjBiNTE3ZTU5YTYxZWM3NjgzODMiLCJ1c2VySWQiOiIyNjUyMjkwNjQifQ==</vt:lpwstr>
  </property>
  <property fmtid="{D5CDD505-2E9C-101B-9397-08002B2CF9AE}" pid="3" name="KSOProductBuildVer">
    <vt:lpwstr>2052-12.1.0.21915</vt:lpwstr>
  </property>
  <property fmtid="{D5CDD505-2E9C-101B-9397-08002B2CF9AE}" pid="4" name="ICV">
    <vt:lpwstr>6E1933D1171F457DBDFBC61FB9CD9591_12</vt:lpwstr>
  </property>
</Properties>
</file>