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9172E" w14:textId="0D843FC8" w:rsidR="008E08DD" w:rsidRPr="00E37E37" w:rsidRDefault="008E08DD" w:rsidP="00FD2141">
      <w:pPr>
        <w:spacing w:line="480" w:lineRule="auto"/>
        <w:jc w:val="center"/>
        <w:rPr>
          <w:rFonts w:ascii="Times New Roman" w:eastAsia="ScalaPro-Regular" w:hAnsi="Times New Roman" w:cs="Times New Roman"/>
          <w:b/>
          <w:bCs/>
          <w:kern w:val="0"/>
          <w:sz w:val="32"/>
          <w:szCs w:val="32"/>
        </w:rPr>
      </w:pPr>
      <w:bookmarkStart w:id="0" w:name="_Hlk156167916"/>
      <w:r w:rsidRPr="00EF5365">
        <w:rPr>
          <w:rFonts w:ascii="Times New Roman" w:eastAsia="ScalaPro-Regular" w:hAnsi="Times New Roman" w:cs="Times New Roman"/>
          <w:b/>
          <w:bCs/>
          <w:kern w:val="0"/>
          <w:sz w:val="32"/>
          <w:szCs w:val="32"/>
        </w:rPr>
        <w:t>Supplementary</w:t>
      </w:r>
      <w:r w:rsidRPr="00E37E37">
        <w:rPr>
          <w:rFonts w:ascii="Times New Roman" w:eastAsia="ScalaPro-Regular" w:hAnsi="Times New Roman" w:cs="Times New Roman"/>
          <w:b/>
          <w:bCs/>
          <w:kern w:val="0"/>
          <w:sz w:val="32"/>
          <w:szCs w:val="32"/>
        </w:rPr>
        <w:t xml:space="preserve"> Materials</w:t>
      </w:r>
    </w:p>
    <w:p w14:paraId="1221DE1E" w14:textId="6C825E3F" w:rsidR="008E08DD" w:rsidRPr="00E37E37" w:rsidRDefault="008E08DD" w:rsidP="00FD2141">
      <w:pPr>
        <w:spacing w:line="480" w:lineRule="auto"/>
        <w:rPr>
          <w:rFonts w:ascii="Times New Roman" w:eastAsia="ScalaPro-Regular" w:hAnsi="Times New Roman" w:cs="Times New Roman"/>
          <w:b/>
          <w:bCs/>
          <w:kern w:val="0"/>
          <w:sz w:val="28"/>
          <w:szCs w:val="28"/>
        </w:rPr>
      </w:pPr>
      <w:r w:rsidRPr="00EF5365">
        <w:rPr>
          <w:rFonts w:ascii="Times New Roman" w:eastAsia="ScalaPro-Regular" w:hAnsi="Times New Roman" w:cs="Times New Roman"/>
          <w:b/>
          <w:bCs/>
          <w:kern w:val="0"/>
          <w:sz w:val="28"/>
          <w:szCs w:val="28"/>
        </w:rPr>
        <w:t>Supplementary</w:t>
      </w:r>
      <w:r w:rsidRPr="00E37E37">
        <w:rPr>
          <w:rFonts w:ascii="Times New Roman" w:eastAsia="ScalaPro-Regular" w:hAnsi="Times New Roman" w:cs="Times New Roman"/>
          <w:b/>
          <w:bCs/>
          <w:kern w:val="0"/>
          <w:sz w:val="28"/>
          <w:szCs w:val="28"/>
        </w:rPr>
        <w:t xml:space="preserve"> Methods</w:t>
      </w:r>
    </w:p>
    <w:p w14:paraId="0B196332" w14:textId="5897FB24" w:rsidR="001F186A" w:rsidRPr="00FD2141" w:rsidRDefault="001F186A" w:rsidP="00FD2141">
      <w:pPr>
        <w:spacing w:line="480" w:lineRule="auto"/>
        <w:rPr>
          <w:rFonts w:ascii="Times New Roman" w:eastAsia="ScalaPro-Regular" w:hAnsi="Times New Roman" w:cs="Times New Roman"/>
          <w:kern w:val="0"/>
          <w:sz w:val="24"/>
          <w:szCs w:val="24"/>
        </w:rPr>
      </w:pPr>
      <w:r w:rsidRPr="00FD2141">
        <w:rPr>
          <w:rFonts w:ascii="Times New Roman" w:eastAsia="ScalaPro-Regular" w:hAnsi="Times New Roman" w:cs="Times New Roman"/>
          <w:b/>
          <w:bCs/>
          <w:kern w:val="0"/>
          <w:sz w:val="24"/>
          <w:szCs w:val="24"/>
        </w:rPr>
        <w:t>Public data acquirement</w:t>
      </w:r>
    </w:p>
    <w:bookmarkEnd w:id="0"/>
    <w:p w14:paraId="67FF2318" w14:textId="77777777" w:rsidR="001F186A" w:rsidRPr="00FD2141" w:rsidRDefault="001F186A" w:rsidP="00FD2141">
      <w:pPr>
        <w:spacing w:line="480" w:lineRule="auto"/>
        <w:ind w:firstLineChars="200" w:firstLine="480"/>
        <w:rPr>
          <w:rFonts w:ascii="Times New Roman" w:eastAsia="ScalaPro-Regular" w:hAnsi="Times New Roman" w:cs="Times New Roman"/>
          <w:kern w:val="0"/>
          <w:sz w:val="24"/>
          <w:szCs w:val="24"/>
        </w:rPr>
      </w:pPr>
      <w:r w:rsidRPr="00FD2141">
        <w:rPr>
          <w:rFonts w:ascii="Times New Roman" w:eastAsia="Times New Roman PSMT" w:hAnsi="Times New Roman" w:cs="Times New Roman"/>
          <w:kern w:val="0"/>
          <w:sz w:val="24"/>
          <w:szCs w:val="24"/>
        </w:rPr>
        <w:t xml:space="preserve">RNA-seq expression profiles and the relevant clinical data of </w:t>
      </w:r>
      <w:r w:rsidRPr="00FD2141">
        <w:rPr>
          <w:rFonts w:ascii="Times New Roman" w:eastAsia="ScalaPro-Regular" w:hAnsi="Times New Roman" w:cs="Times New Roman"/>
          <w:kern w:val="0"/>
          <w:sz w:val="24"/>
          <w:szCs w:val="24"/>
        </w:rPr>
        <w:t>TCGA-CESC and CGCI-HTMCP-CC cohorts were obtained</w:t>
      </w:r>
      <w:r w:rsidRPr="00FD2141">
        <w:rPr>
          <w:rFonts w:ascii="Times New Roman" w:eastAsia="ScalaPro-Regular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eastAsia="ScalaPro-Regular" w:hAnsi="Times New Roman" w:cs="Times New Roman"/>
          <w:kern w:val="0"/>
          <w:sz w:val="24"/>
          <w:szCs w:val="24"/>
        </w:rPr>
        <w:t xml:space="preserve">from GDC </w:t>
      </w:r>
      <w:r w:rsidRPr="00FD2141">
        <w:rPr>
          <w:rFonts w:ascii="Times New Roman" w:hAnsi="Times New Roman"/>
          <w:kern w:val="0"/>
          <w:sz w:val="24"/>
          <w:szCs w:val="24"/>
        </w:rPr>
        <w:t>database</w:t>
      </w:r>
      <w:r w:rsidRPr="00FD2141">
        <w:rPr>
          <w:rFonts w:ascii="Times New Roman" w:eastAsia="ScalaPro-Regular" w:hAnsi="Times New Roman" w:cs="Times New Roman"/>
          <w:kern w:val="0"/>
          <w:sz w:val="24"/>
          <w:szCs w:val="24"/>
        </w:rPr>
        <w:t xml:space="preserve"> (https://portal.gdc.cancer.gov/)</w:t>
      </w:r>
      <w:r w:rsidRPr="00FD2141">
        <w:rPr>
          <w:rFonts w:ascii="Times New Roman" w:eastAsia="Times New Roman PSMT" w:hAnsi="Times New Roman" w:cs="Times New Roman"/>
          <w:kern w:val="0"/>
          <w:sz w:val="24"/>
          <w:szCs w:val="24"/>
        </w:rPr>
        <w:t xml:space="preserve">. Furthermore, we extracted clinical information, which encompassed age, FIGO stage, TNM stage, histological type, </w:t>
      </w:r>
      <w:r w:rsidRPr="00FD2141">
        <w:rPr>
          <w:rFonts w:ascii="Times New Roman" w:hAnsi="Times New Roman"/>
          <w:kern w:val="0"/>
          <w:sz w:val="24"/>
          <w:szCs w:val="24"/>
        </w:rPr>
        <w:t>vital status,</w:t>
      </w:r>
      <w:r w:rsidRPr="00FD2141">
        <w:rPr>
          <w:rFonts w:ascii="Times New Roman" w:eastAsia="Times New Roman PSMT" w:hAnsi="Times New Roman" w:cs="Times New Roman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/>
          <w:kern w:val="0"/>
          <w:sz w:val="24"/>
          <w:szCs w:val="24"/>
        </w:rPr>
        <w:t xml:space="preserve">days until death, </w:t>
      </w:r>
      <w:r w:rsidRPr="00FD2141">
        <w:rPr>
          <w:rFonts w:ascii="Times New Roman" w:eastAsia="Times New Roman PSMT" w:hAnsi="Times New Roman" w:cs="Times New Roman"/>
          <w:kern w:val="0"/>
          <w:sz w:val="24"/>
          <w:szCs w:val="24"/>
        </w:rPr>
        <w:t xml:space="preserve">and days until the last follow-up. In the initial stages, we excluded samples that had been diagnosed as endometrioid adenocarcinoma. Additionally, we excluded samples without available survival data or with </w:t>
      </w:r>
      <w:r w:rsidRPr="00FD2141">
        <w:rPr>
          <w:rFonts w:ascii="Times New Roman" w:hAnsi="Times New Roman"/>
          <w:kern w:val="0"/>
          <w:sz w:val="24"/>
          <w:szCs w:val="24"/>
        </w:rPr>
        <w:t>follow-up period</w:t>
      </w:r>
      <w:r w:rsidRPr="00FD2141">
        <w:rPr>
          <w:rFonts w:ascii="Times New Roman" w:eastAsia="Times New Roman PSMT" w:hAnsi="Times New Roman" w:cs="Times New Roman"/>
          <w:kern w:val="0"/>
          <w:sz w:val="24"/>
          <w:szCs w:val="24"/>
        </w:rPr>
        <w:t xml:space="preserve"> shorter than 30 days. We also removed duplicate samples and normal adjacent samples. Consequently, </w:t>
      </w:r>
      <w:r w:rsidRPr="00FD2141">
        <w:rPr>
          <w:rFonts w:ascii="Times New Roman" w:eastAsia="ScalaPro-Regular" w:hAnsi="Times New Roman" w:cs="Times New Roman"/>
          <w:kern w:val="0"/>
          <w:sz w:val="24"/>
          <w:szCs w:val="24"/>
        </w:rPr>
        <w:t>268 samples from TCGA-CESC and 109 sample from CGCI-HTMCP-CC were retained for further analysis.</w:t>
      </w:r>
    </w:p>
    <w:p w14:paraId="4C1CD3DC" w14:textId="77777777" w:rsidR="001F186A" w:rsidRPr="00FD2141" w:rsidRDefault="001F186A" w:rsidP="00FD2141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2141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S</w:t>
      </w: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>ingle cell RNA sequencing analysis</w:t>
      </w:r>
    </w:p>
    <w:p w14:paraId="08F8861A" w14:textId="110E1F54" w:rsidR="001F186A" w:rsidRPr="00FD2141" w:rsidRDefault="001F186A" w:rsidP="00FD2141">
      <w:pPr>
        <w:autoSpaceDE w:val="0"/>
        <w:autoSpaceDN w:val="0"/>
        <w:adjustRightInd w:val="0"/>
        <w:spacing w:line="48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The data used in this study consists of six single cell sequencing samples from tumor tissues of 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>LACC.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D2141">
        <w:rPr>
          <w:rFonts w:ascii="Times New Roman" w:hAnsi="Times New Roman" w:cs="Times New Roman"/>
          <w:kern w:val="0"/>
          <w:sz w:val="24"/>
          <w:szCs w:val="24"/>
        </w:rPr>
        <w:t>DoubletFinder</w:t>
      </w:r>
      <w:proofErr w:type="spellEnd"/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 v2.0 was used to estimate cell doublet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distribution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fldChar w:fldCharType="begin"/>
      </w:r>
      <w:r w:rsidRPr="00FD2141">
        <w:rPr>
          <w:rFonts w:ascii="Times New Roman" w:hAnsi="Times New Roman" w:cs="Times New Roman"/>
          <w:kern w:val="0"/>
          <w:sz w:val="24"/>
          <w:szCs w:val="24"/>
        </w:rPr>
        <w:instrText xml:space="preserve"> ADDIN EN.CITE &lt;EndNote&gt;&lt;Cite&gt;&lt;Author&gt;McGinnis&lt;/Author&gt;&lt;Year&gt;2019&lt;/Year&gt;&lt;RecNum&gt;34&lt;/RecNum&gt;&lt;DisplayText&gt;(1)&lt;/DisplayText&gt;&lt;record&gt;&lt;rec-number&gt;34&lt;/rec-number&gt;&lt;foreign-keys&gt;&lt;key app="EN" db-id="x9ez5ass202dareddtmvsrp8errsrffxsvea" timestamp="1705242492"&gt;34&lt;/key&gt;&lt;/foreign-keys&gt;&lt;ref-type name="Journal Article"&gt;17&lt;/ref-type&gt;&lt;contributors&gt;&lt;authors&gt;&lt;author&gt;McGinnis, Christopher S.&lt;/author&gt;&lt;author&gt;Murrow, Lyndsay M.&lt;/author&gt;&lt;author&gt;Gartner, Zev J.&lt;/author&gt;&lt;/authors&gt;&lt;/contributors&gt;&lt;titles&gt;&lt;title&gt;DoubletFinder: Doublet Detection in Single-Cell RNA Sequencing Data Using Artificial Nearest Neighbors&lt;/title&gt;&lt;secondary-title&gt;Cell Systems&lt;/secondary-title&gt;&lt;/titles&gt;&lt;periodical&gt;&lt;full-title&gt;Cell Systems&lt;/full-title&gt;&lt;/periodical&gt;&lt;pages&gt;329-337.e4&lt;/pages&gt;&lt;volume&gt;8&lt;/volume&gt;&lt;number&gt;4&lt;/number&gt;&lt;section&gt;329&lt;/section&gt;&lt;dates&gt;&lt;year&gt;2019&lt;/year&gt;&lt;/dates&gt;&lt;isbn&gt;24054712&lt;/isbn&gt;&lt;urls&gt;&lt;/urls&gt;&lt;electronic-resource-num&gt;10.1016/j.cels.2019.03.003&lt;/electronic-resource-num&gt;&lt;/record&gt;&lt;/Cite&gt;&lt;/EndNote&gt;</w:instrTex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fldChar w:fldCharType="separate"/>
      </w:r>
      <w:r w:rsidRPr="00FD2141">
        <w:rPr>
          <w:rFonts w:ascii="Times New Roman" w:hAnsi="Times New Roman" w:cs="Times New Roman"/>
          <w:noProof/>
          <w:kern w:val="0"/>
          <w:sz w:val="24"/>
          <w:szCs w:val="24"/>
        </w:rPr>
        <w:t>(1)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fldChar w:fldCharType="end"/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. Subsequent analyses were conducted using Seurat (version 4.4.0)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fldChar w:fldCharType="begin"/>
      </w:r>
      <w:r w:rsidRPr="00FD2141">
        <w:rPr>
          <w:rFonts w:ascii="Times New Roman" w:hAnsi="Times New Roman" w:cs="Times New Roman"/>
          <w:kern w:val="0"/>
          <w:sz w:val="24"/>
          <w:szCs w:val="24"/>
        </w:rPr>
        <w:instrText xml:space="preserve"> ADDIN EN.CITE &lt;EndNote&gt;&lt;Cite&gt;&lt;Author&gt;Lee&lt;/Author&gt;&lt;Year&gt;2023&lt;/Year&gt;&lt;RecNum&gt;33&lt;/RecNum&gt;&lt;DisplayText&gt;(2)&lt;/DisplayText&gt;&lt;record&gt;&lt;rec-number&gt;33&lt;/rec-number&gt;&lt;foreign-keys&gt;&lt;key app="EN" db-id="x9ez5ass202dareddtmvsrp8errsrffxsvea" timestamp="1705242489"&gt;33&lt;/key&gt;&lt;/foreign-keys&gt;&lt;ref-type name="Journal Article"&gt;17&lt;/ref-type&gt;&lt;contributors&gt;&lt;authors&gt;&lt;author&gt;Lee, Michelle Y. Y.&lt;/author&gt;&lt;author&gt;Kaestner, Klaus H.&lt;/author&gt;&lt;author&gt;Li, Mingyao&lt;/author&gt;&lt;/authors&gt;&lt;/contributors&gt;&lt;titles&gt;&lt;title&gt;Benchmarking algorithms for joint integration of unpaired and paired single-cell RNA-seq and ATAC-seq data&lt;/title&gt;&lt;secondary-title&gt;Genome Biology&lt;/secondary-title&gt;&lt;/titles&gt;&lt;periodical&gt;&lt;full-title&gt;Genome Biology&lt;/full-title&gt;&lt;/periodical&gt;&lt;volume&gt;24&lt;/volume&gt;&lt;number&gt;1&lt;/number&gt;&lt;dates&gt;&lt;year&gt;2023&lt;/year&gt;&lt;/dates&gt;&lt;isbn&gt;1474-760X&lt;/isbn&gt;&lt;urls&gt;&lt;/urls&gt;&lt;electronic-resource-num&gt;10.1186/s13059-023-03073-x&lt;/electronic-resource-num&gt;&lt;/record&gt;&lt;/Cite&gt;&lt;/EndNote&gt;</w:instrTex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fldChar w:fldCharType="separate"/>
      </w:r>
      <w:r w:rsidRPr="00FD2141">
        <w:rPr>
          <w:rFonts w:ascii="Times New Roman" w:hAnsi="Times New Roman" w:cs="Times New Roman"/>
          <w:noProof/>
          <w:kern w:val="0"/>
          <w:sz w:val="24"/>
          <w:szCs w:val="24"/>
        </w:rPr>
        <w:t>(2)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fldChar w:fldCharType="end"/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. The single-cell gene expression data from all samples were integrated, and transcriptomes were filtered to include cells with 200-5,000 detected genes, 200-25,000 counted UMIs, a fraction of mitochondrial reads less than 5%, and a fraction of hemoglobin reads less than 5%. Following the filtration process, UMI counts were variance-stabilized using </w:t>
      </w:r>
      <w:proofErr w:type="spellStart"/>
      <w:r w:rsidRPr="00FD2141">
        <w:rPr>
          <w:rFonts w:ascii="Times New Roman" w:hAnsi="Times New Roman"/>
          <w:kern w:val="0"/>
          <w:sz w:val="24"/>
          <w:szCs w:val="24"/>
        </w:rPr>
        <w:t>SCTransform</w:t>
      </w:r>
      <w:proofErr w:type="spellEnd"/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 with 3000 variable features, while adjusting for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the number of UMIs. The </w:t>
      </w:r>
      <w:proofErr w:type="spellStart"/>
      <w:r w:rsidRPr="00FD2141">
        <w:rPr>
          <w:rFonts w:ascii="Times New Roman" w:hAnsi="Times New Roman" w:cs="Times New Roman"/>
          <w:kern w:val="0"/>
          <w:sz w:val="24"/>
          <w:szCs w:val="24"/>
        </w:rPr>
        <w:t>RunPCA</w:t>
      </w:r>
      <w:proofErr w:type="spellEnd"/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 and </w:t>
      </w:r>
      <w:proofErr w:type="spellStart"/>
      <w:r w:rsidRPr="00FD2141">
        <w:rPr>
          <w:rFonts w:ascii="Times New Roman" w:hAnsi="Times New Roman" w:cs="Times New Roman"/>
          <w:kern w:val="0"/>
          <w:sz w:val="24"/>
          <w:szCs w:val="24"/>
        </w:rPr>
        <w:t>RunUMAP</w:t>
      </w:r>
      <w:proofErr w:type="spellEnd"/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>functions were used for dimensionality reduction clustering.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>The number of principal components (PCs)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>is 30, which is determined by the inflection point of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proofErr w:type="spellStart"/>
      <w:r w:rsidRPr="00FD2141">
        <w:rPr>
          <w:rFonts w:ascii="Times New Roman" w:hAnsi="Times New Roman" w:cs="Times New Roman"/>
          <w:kern w:val="0"/>
          <w:sz w:val="24"/>
          <w:szCs w:val="24"/>
        </w:rPr>
        <w:t>ElbowPlot</w:t>
      </w:r>
      <w:proofErr w:type="spellEnd"/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 function. Based on the clustering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>results, cell types were annotated using previously reported gene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>markers. We used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proofErr w:type="spellStart"/>
      <w:r w:rsidRPr="00FD2141">
        <w:rPr>
          <w:rFonts w:ascii="Times New Roman" w:hAnsi="Times New Roman" w:cs="Times New Roman"/>
          <w:kern w:val="0"/>
          <w:sz w:val="24"/>
          <w:szCs w:val="24"/>
        </w:rPr>
        <w:t>FindAllMarkers</w:t>
      </w:r>
      <w:proofErr w:type="spellEnd"/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 function to analyze the key genes of</w:t>
      </w:r>
      <w:r w:rsidRPr="00FD214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each cell subpopulation (min. pct = 0.25, </w:t>
      </w:r>
      <w:proofErr w:type="spellStart"/>
      <w:r w:rsidRPr="00FD2141">
        <w:rPr>
          <w:rFonts w:ascii="Times New Roman" w:hAnsi="Times New Roman" w:cs="Times New Roman"/>
          <w:kern w:val="0"/>
          <w:sz w:val="24"/>
          <w:szCs w:val="24"/>
        </w:rPr>
        <w:t>logfc</w:t>
      </w:r>
      <w:proofErr w:type="spellEnd"/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. threshold = 0.25). </w:t>
      </w:r>
    </w:p>
    <w:p w14:paraId="413D4B7E" w14:textId="77777777" w:rsidR="001F186A" w:rsidRPr="00FD2141" w:rsidRDefault="001F186A" w:rsidP="00FD214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>Statistical analysis</w:t>
      </w:r>
    </w:p>
    <w:p w14:paraId="150D7EDC" w14:textId="19E57B43" w:rsidR="003118EB" w:rsidRPr="003118EB" w:rsidRDefault="001F186A" w:rsidP="003118EB">
      <w:pPr>
        <w:autoSpaceDE w:val="0"/>
        <w:autoSpaceDN w:val="0"/>
        <w:adjustRightInd w:val="0"/>
        <w:spacing w:line="480" w:lineRule="auto"/>
        <w:ind w:firstLineChars="200" w:firstLine="480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3118EB">
        <w:rPr>
          <w:rFonts w:ascii="Times New Roman" w:hAnsi="Times New Roman" w:cs="Times New Roman"/>
          <w:kern w:val="0"/>
          <w:sz w:val="24"/>
          <w:szCs w:val="24"/>
        </w:rPr>
        <w:t xml:space="preserve">Data analysis and processing were conducted using R software (v.4.1.3) and its associated package. 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 xml:space="preserve">For </w:t>
      </w:r>
      <w:r w:rsidR="003118EB" w:rsidRPr="003118EB">
        <w:rPr>
          <w:rFonts w:ascii="Times New Roman" w:hAnsi="Times New Roman" w:cs="Times New Roman" w:hint="eastAsia"/>
          <w:kern w:val="0"/>
          <w:sz w:val="24"/>
          <w:szCs w:val="24"/>
        </w:rPr>
        <w:t>c</w:t>
      </w:r>
      <w:r w:rsidR="003118EB" w:rsidRPr="003118EB">
        <w:rPr>
          <w:rFonts w:ascii="Times New Roman" w:hAnsi="Times New Roman" w:cs="Times New Roman"/>
          <w:kern w:val="0"/>
          <w:sz w:val="24"/>
          <w:szCs w:val="24"/>
        </w:rPr>
        <w:t>ontinuous data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>, statistical signi</w:t>
      </w:r>
      <w:r w:rsidR="003118EB" w:rsidRPr="003118EB">
        <w:rPr>
          <w:rFonts w:ascii="Times New Roman" w:eastAsia="AdvOT1ef757c0+fb" w:hAnsi="Times New Roman" w:cs="Times New Roman"/>
          <w:kern w:val="0"/>
          <w:sz w:val="24"/>
          <w:szCs w:val="24"/>
        </w:rPr>
        <w:t>fi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>cance was</w:t>
      </w:r>
      <w:r w:rsidR="003118EB" w:rsidRPr="003118EB">
        <w:rPr>
          <w:rFonts w:ascii="Times New Roman" w:eastAsia="AdvOT1ef757c0" w:hAnsi="Times New Roman" w:cs="Times New Roman" w:hint="eastAsia"/>
          <w:kern w:val="0"/>
          <w:sz w:val="24"/>
          <w:szCs w:val="24"/>
        </w:rPr>
        <w:t xml:space="preserve"> 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 xml:space="preserve">interrogated using </w:t>
      </w:r>
      <w:r w:rsidR="003118EB" w:rsidRPr="003118EB">
        <w:rPr>
          <w:rFonts w:ascii="Times New Roman" w:hAnsi="Times New Roman" w:cs="Times New Roman"/>
          <w:kern w:val="0"/>
          <w:sz w:val="24"/>
          <w:szCs w:val="24"/>
        </w:rPr>
        <w:t>Wilcoxon's test</w:t>
      </w:r>
      <w:r w:rsidR="003118EB">
        <w:rPr>
          <w:rFonts w:ascii="Times New Roman" w:eastAsia="AdvOT1ef757c0" w:hAnsi="Times New Roman" w:cs="Times New Roman" w:hint="eastAsia"/>
          <w:kern w:val="0"/>
          <w:sz w:val="24"/>
          <w:szCs w:val="24"/>
        </w:rPr>
        <w:t>, which</w:t>
      </w:r>
      <w:r w:rsidR="003118EB" w:rsidRPr="003118EB">
        <w:rPr>
          <w:rFonts w:ascii="Times New Roman" w:hAnsi="Times New Roman" w:cs="Times New Roman"/>
          <w:kern w:val="0"/>
          <w:sz w:val="24"/>
          <w:szCs w:val="24"/>
        </w:rPr>
        <w:t xml:space="preserve"> were two-tailed. Significance threshold of p-value was set as 0.05.</w:t>
      </w:r>
      <w:r w:rsidR="003118EB" w:rsidRPr="003118EB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 xml:space="preserve">All derivative </w:t>
      </w:r>
      <w:r w:rsidR="003118EB" w:rsidRPr="003118EB">
        <w:rPr>
          <w:rFonts w:ascii="Times New Roman" w:eastAsia="AdvOT1ef757c0+fb" w:hAnsi="Times New Roman" w:cs="Times New Roman"/>
          <w:kern w:val="0"/>
          <w:sz w:val="24"/>
          <w:szCs w:val="24"/>
        </w:rPr>
        <w:t>fi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 xml:space="preserve">gures were generated using the </w:t>
      </w:r>
      <w:r w:rsidR="003118EB" w:rsidRPr="003118EB">
        <w:rPr>
          <w:rFonts w:ascii="Times New Roman" w:eastAsia="AdvOT1ef757c0" w:hAnsi="Times New Roman" w:cs="Times New Roman" w:hint="eastAsia"/>
          <w:kern w:val="0"/>
          <w:sz w:val="24"/>
          <w:szCs w:val="24"/>
        </w:rPr>
        <w:t xml:space="preserve">R 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 xml:space="preserve">package </w:t>
      </w:r>
      <w:r w:rsidR="003118EB" w:rsidRPr="003118EB">
        <w:rPr>
          <w:rFonts w:ascii="Times New Roman" w:eastAsia="AdvOT1ef757c0+20" w:hAnsi="Times New Roman" w:cs="Times New Roman"/>
          <w:kern w:val="0"/>
          <w:sz w:val="24"/>
          <w:szCs w:val="24"/>
        </w:rPr>
        <w:t>‘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>ggplot2</w:t>
      </w:r>
      <w:r w:rsidR="003118EB" w:rsidRPr="003118EB">
        <w:rPr>
          <w:rFonts w:ascii="Times New Roman" w:eastAsia="AdvOT1ef757c0+20" w:hAnsi="Times New Roman" w:cs="Times New Roman"/>
          <w:kern w:val="0"/>
          <w:sz w:val="24"/>
          <w:szCs w:val="24"/>
        </w:rPr>
        <w:t>’</w:t>
      </w:r>
      <w:r w:rsidR="003118EB" w:rsidRPr="003118EB">
        <w:rPr>
          <w:rFonts w:ascii="Times New Roman" w:eastAsia="AdvOT1ef757c0" w:hAnsi="Times New Roman" w:cs="Times New Roman"/>
          <w:kern w:val="0"/>
          <w:sz w:val="24"/>
          <w:szCs w:val="24"/>
        </w:rPr>
        <w:t xml:space="preserve">. </w:t>
      </w:r>
      <w:r w:rsidR="003118EB" w:rsidRPr="003118EB">
        <w:rPr>
          <w:rFonts w:ascii="Times New Roman" w:eastAsia="AdvOT1ef757c0" w:hAnsi="Times New Roman" w:cs="Times New Roman"/>
          <w:color w:val="FF0000"/>
          <w:kern w:val="0"/>
          <w:sz w:val="24"/>
          <w:szCs w:val="24"/>
        </w:rPr>
        <w:t>Survival</w:t>
      </w:r>
      <w:r w:rsidR="003118EB" w:rsidRPr="003118EB">
        <w:rPr>
          <w:rFonts w:ascii="Times New Roman" w:eastAsia="AdvOT1ef757c0" w:hAnsi="Times New Roman" w:cs="Times New Roman" w:hint="eastAsia"/>
          <w:color w:val="FF0000"/>
          <w:kern w:val="0"/>
          <w:sz w:val="24"/>
          <w:szCs w:val="24"/>
        </w:rPr>
        <w:t xml:space="preserve"> </w:t>
      </w:r>
      <w:r w:rsidR="003118EB" w:rsidRPr="003118EB">
        <w:rPr>
          <w:rFonts w:ascii="Times New Roman" w:eastAsia="AdvOT1ef757c0" w:hAnsi="Times New Roman" w:cs="Times New Roman"/>
          <w:color w:val="FF0000"/>
          <w:kern w:val="0"/>
          <w:sz w:val="24"/>
          <w:szCs w:val="24"/>
        </w:rPr>
        <w:t xml:space="preserve">analysis was conducted using the log-rank test (built into </w:t>
      </w:r>
      <w:r w:rsidR="003118EB" w:rsidRPr="003118EB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‘ggsurvplot’ </w:t>
      </w:r>
      <w:r w:rsidR="003118EB" w:rsidRPr="003118EB">
        <w:rPr>
          <w:rFonts w:ascii="Times New Roman" w:eastAsia="AdvOT1ef757c0" w:hAnsi="Times New Roman" w:cs="Times New Roman"/>
          <w:color w:val="FF0000"/>
          <w:kern w:val="0"/>
          <w:sz w:val="24"/>
          <w:szCs w:val="24"/>
        </w:rPr>
        <w:t>in the</w:t>
      </w:r>
      <w:r w:rsidR="003118EB" w:rsidRPr="003118EB">
        <w:rPr>
          <w:rFonts w:ascii="Times New Roman" w:eastAsia="AdvOT1ef757c0" w:hAnsi="Times New Roman" w:cs="Times New Roman" w:hint="eastAsia"/>
          <w:color w:val="FF0000"/>
          <w:kern w:val="0"/>
          <w:sz w:val="24"/>
          <w:szCs w:val="24"/>
        </w:rPr>
        <w:t xml:space="preserve"> </w:t>
      </w:r>
      <w:r w:rsidR="003118EB" w:rsidRPr="003118EB">
        <w:rPr>
          <w:rFonts w:ascii="Times New Roman" w:eastAsia="AdvOT1ef757c0" w:hAnsi="Times New Roman" w:cs="Times New Roman"/>
          <w:color w:val="FF0000"/>
          <w:kern w:val="0"/>
          <w:sz w:val="24"/>
          <w:szCs w:val="24"/>
        </w:rPr>
        <w:t xml:space="preserve">package </w:t>
      </w:r>
      <w:r w:rsidR="003118EB" w:rsidRPr="003118EB">
        <w:rPr>
          <w:rFonts w:ascii="Times New Roman" w:hAnsi="Times New Roman" w:cs="Times New Roman"/>
          <w:color w:val="FF0000"/>
          <w:kern w:val="0"/>
          <w:sz w:val="24"/>
          <w:szCs w:val="24"/>
        </w:rPr>
        <w:t>‘survminer’</w:t>
      </w:r>
      <w:r w:rsidR="003118EB" w:rsidRPr="003118EB">
        <w:rPr>
          <w:rFonts w:ascii="Times New Roman" w:eastAsia="AdvOT1ef757c0" w:hAnsi="Times New Roman" w:cs="Times New Roman"/>
          <w:color w:val="FF0000"/>
          <w:kern w:val="0"/>
          <w:sz w:val="24"/>
          <w:szCs w:val="24"/>
        </w:rPr>
        <w:t xml:space="preserve">, which was also used to plot survival curves), with Kaplan-Meier curves created using </w:t>
      </w:r>
      <w:r w:rsidR="003118EB" w:rsidRPr="003118EB">
        <w:rPr>
          <w:rFonts w:ascii="Times New Roman" w:hAnsi="Times New Roman" w:cs="Times New Roman"/>
          <w:color w:val="FF0000"/>
          <w:kern w:val="0"/>
          <w:sz w:val="24"/>
          <w:szCs w:val="24"/>
        </w:rPr>
        <w:t>‘surv</w:t>
      </w:r>
      <w:r w:rsidR="003118EB" w:rsidRPr="003118EB">
        <w:rPr>
          <w:rFonts w:ascii="Times New Roman" w:eastAsia="AdvOT7d6df7ab.I+fb" w:hAnsi="Times New Roman" w:cs="Times New Roman"/>
          <w:color w:val="FF0000"/>
          <w:kern w:val="0"/>
          <w:sz w:val="24"/>
          <w:szCs w:val="24"/>
        </w:rPr>
        <w:t>fi</w:t>
      </w:r>
      <w:r w:rsidR="003118EB" w:rsidRPr="003118EB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t’ </w:t>
      </w:r>
      <w:r w:rsidR="003118EB" w:rsidRPr="003118EB">
        <w:rPr>
          <w:rFonts w:ascii="Times New Roman" w:eastAsia="AdvOT1ef757c0" w:hAnsi="Times New Roman" w:cs="Times New Roman"/>
          <w:color w:val="FF0000"/>
          <w:kern w:val="0"/>
          <w:sz w:val="24"/>
          <w:szCs w:val="24"/>
        </w:rPr>
        <w:t xml:space="preserve">from the package </w:t>
      </w:r>
      <w:r w:rsidR="003118EB" w:rsidRPr="003118EB">
        <w:rPr>
          <w:rFonts w:ascii="Times New Roman" w:eastAsia="AdvOT1ef757c0+20" w:hAnsi="Times New Roman" w:cs="Times New Roman"/>
          <w:color w:val="FF0000"/>
          <w:kern w:val="0"/>
          <w:sz w:val="24"/>
          <w:szCs w:val="24"/>
        </w:rPr>
        <w:t>‘</w:t>
      </w:r>
      <w:r w:rsidR="003118EB" w:rsidRPr="003118EB">
        <w:rPr>
          <w:rFonts w:ascii="Times New Roman" w:eastAsia="AdvOT1ef757c0" w:hAnsi="Times New Roman" w:cs="Times New Roman"/>
          <w:color w:val="FF0000"/>
          <w:kern w:val="0"/>
          <w:sz w:val="24"/>
          <w:szCs w:val="24"/>
        </w:rPr>
        <w:t>survival</w:t>
      </w:r>
      <w:r w:rsidR="003118EB" w:rsidRPr="003118EB">
        <w:rPr>
          <w:rFonts w:ascii="Times New Roman" w:eastAsia="AdvOT1ef757c0+20" w:hAnsi="Times New Roman" w:cs="Times New Roman"/>
          <w:color w:val="FF0000"/>
          <w:kern w:val="0"/>
          <w:sz w:val="24"/>
          <w:szCs w:val="24"/>
        </w:rPr>
        <w:t>’</w:t>
      </w:r>
      <w:r w:rsidR="003118EB" w:rsidRPr="003118EB">
        <w:rPr>
          <w:rFonts w:ascii="Times New Roman" w:eastAsia="AdvOT1ef757c0" w:hAnsi="Times New Roman" w:cs="Times New Roman"/>
          <w:color w:val="FF0000"/>
          <w:kern w:val="0"/>
          <w:sz w:val="24"/>
          <w:szCs w:val="24"/>
        </w:rPr>
        <w:t>.</w:t>
      </w:r>
    </w:p>
    <w:p w14:paraId="5DCB0429" w14:textId="52BA8806" w:rsidR="00A54F61" w:rsidRPr="00E37E37" w:rsidRDefault="00A54F61" w:rsidP="00FD214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37E37">
        <w:rPr>
          <w:rFonts w:ascii="Times New Roman" w:hAnsi="Times New Roman" w:cs="Times New Roman"/>
          <w:b/>
          <w:bCs/>
          <w:kern w:val="0"/>
          <w:sz w:val="28"/>
          <w:szCs w:val="28"/>
        </w:rPr>
        <w:t>Supplementary Figure</w:t>
      </w:r>
    </w:p>
    <w:p w14:paraId="2A8875E1" w14:textId="3B81210A" w:rsidR="00A54F61" w:rsidRPr="00FD2141" w:rsidRDefault="00A54F61" w:rsidP="00FD2141">
      <w:pPr>
        <w:spacing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" w:name="_Hlk156167935"/>
      <w:r w:rsidRPr="00FD2141">
        <w:rPr>
          <w:noProof/>
          <w:sz w:val="24"/>
          <w:szCs w:val="24"/>
        </w:rPr>
        <w:drawing>
          <wp:inline distT="0" distB="0" distL="0" distR="0" wp14:anchorId="63B5D47A" wp14:editId="7B904585">
            <wp:extent cx="5274310" cy="2392680"/>
            <wp:effectExtent l="0" t="0" r="2540" b="7620"/>
            <wp:docPr id="12859184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4E6C1" w14:textId="6F65AC1B" w:rsidR="001B6013" w:rsidRPr="00FD2141" w:rsidRDefault="001B6013" w:rsidP="00FD2141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</w:t>
      </w:r>
      <w:bookmarkEnd w:id="1"/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>Figure. The characteristics of the prognostic risk model.</w:t>
      </w:r>
    </w:p>
    <w:p w14:paraId="714575D1" w14:textId="77777777" w:rsidR="001B6013" w:rsidRPr="00FD2141" w:rsidRDefault="001B6013" w:rsidP="00FD2141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(A)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Heatmap displaying clinical features and expression of BCAT1, CXCL2 and ITGA5 corresponding to patients from TCGA-CESC grouped by risk group. </w:t>
      </w:r>
    </w:p>
    <w:p w14:paraId="10C5CEEF" w14:textId="77777777" w:rsidR="001B6013" w:rsidRPr="00FD2141" w:rsidRDefault="001B6013" w:rsidP="00FD2141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(B)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Univariate Cox regression analyses of clinicopathological parameters using the TCGA-CESC dataset. </w:t>
      </w:r>
    </w:p>
    <w:p w14:paraId="0FA071FB" w14:textId="77777777" w:rsidR="001B6013" w:rsidRPr="00FD2141" w:rsidRDefault="001B6013" w:rsidP="00FD2141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>(C)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 Multivariate Cox regression analyses of clinicopathological parameters using the TCGA-CESC dataset.</w:t>
      </w:r>
    </w:p>
    <w:p w14:paraId="194164C8" w14:textId="7CB61830" w:rsidR="001B6013" w:rsidRPr="00FD2141" w:rsidRDefault="001B6013" w:rsidP="00FD2141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(D)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Heatmap displaying clinical features and expression of BCAT1, CXCL2 and ITGA5 corresponding to patients from CGCI-HTMCP-CC grouped by risk group. </w:t>
      </w:r>
    </w:p>
    <w:p w14:paraId="7CC401C7" w14:textId="77777777" w:rsidR="001B6013" w:rsidRPr="00FD2141" w:rsidRDefault="001B6013" w:rsidP="00FD2141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(E)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 xml:space="preserve">Univariate Cox regression analyses of clinicopathological parameters using the CGCI-HTMCP-CC dataset. </w:t>
      </w:r>
    </w:p>
    <w:p w14:paraId="0685272F" w14:textId="77777777" w:rsidR="001B6013" w:rsidRPr="00FD2141" w:rsidRDefault="001B6013" w:rsidP="00FD2141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(F) </w:t>
      </w:r>
      <w:r w:rsidRPr="00FD2141">
        <w:rPr>
          <w:rFonts w:ascii="Times New Roman" w:hAnsi="Times New Roman" w:cs="Times New Roman"/>
          <w:kern w:val="0"/>
          <w:sz w:val="24"/>
          <w:szCs w:val="24"/>
        </w:rPr>
        <w:t>Multivariate Cox regression analyses of clinicopathological parameters using the CGCI-HTMCP-CC dataset.</w:t>
      </w:r>
    </w:p>
    <w:p w14:paraId="4AEA7EC9" w14:textId="77777777" w:rsidR="00FD2141" w:rsidRPr="00E37E37" w:rsidRDefault="00FD2141" w:rsidP="00FD2141">
      <w:pPr>
        <w:autoSpaceDE w:val="0"/>
        <w:autoSpaceDN w:val="0"/>
        <w:adjustRightInd w:val="0"/>
        <w:spacing w:line="480" w:lineRule="auto"/>
        <w:rPr>
          <w:rFonts w:ascii="Times New Roman" w:eastAsia="ScalaPro-Regular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E37E37">
        <w:rPr>
          <w:rFonts w:ascii="Times New Roman" w:eastAsia="ScalaPro-Regular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S</w:t>
      </w:r>
      <w:r w:rsidRPr="00E37E37">
        <w:rPr>
          <w:rFonts w:ascii="Times New Roman" w:eastAsia="ScalaPro-Regular" w:hAnsi="Times New Roman" w:cs="Times New Roman"/>
          <w:b/>
          <w:bCs/>
          <w:color w:val="000000" w:themeColor="text1"/>
          <w:kern w:val="0"/>
          <w:sz w:val="28"/>
          <w:szCs w:val="28"/>
        </w:rPr>
        <w:t>upplementary Tables</w:t>
      </w:r>
    </w:p>
    <w:p w14:paraId="210ED377" w14:textId="77777777" w:rsidR="00FD2141" w:rsidRPr="00FD2141" w:rsidRDefault="00FD2141" w:rsidP="00FD214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Table 1. 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Clinical demographic data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and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reatment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esponse of the patients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with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cervical cancer included in this study.</w:t>
      </w:r>
    </w:p>
    <w:p w14:paraId="50D34C07" w14:textId="6B4622E8" w:rsidR="00FD2141" w:rsidRPr="00FD2141" w:rsidRDefault="00FD2141" w:rsidP="00FD214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OLE_LINK4"/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2.</w:t>
      </w:r>
      <w:bookmarkEnd w:id="2"/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Differentially expressed genes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of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tumor tissues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from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 patients versus non-CR patients.</w:t>
      </w:r>
    </w:p>
    <w:p w14:paraId="5518938A" w14:textId="77777777" w:rsidR="00FD2141" w:rsidRPr="00FD2141" w:rsidRDefault="00FD2141" w:rsidP="00FD214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3</w:t>
      </w:r>
      <w:r w:rsidRPr="00FD214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-</w:t>
      </w: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enes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biological process (BP) pathways in the Gene Ontology (GO) database enriched for highly expressed genes in tumor tissues of CR (Supplementary Table 3) or non-CR patients (Supplementary Table 4).</w:t>
      </w:r>
    </w:p>
    <w:p w14:paraId="2AE0FDA9" w14:textId="77777777" w:rsidR="00FD2141" w:rsidRPr="00FD2141" w:rsidRDefault="00FD2141" w:rsidP="00FD214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5</w:t>
      </w:r>
      <w:r w:rsidRPr="00FD214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-</w:t>
      </w: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enes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cellular </w:t>
      </w:r>
      <w:proofErr w:type="gramStart"/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>component</w:t>
      </w:r>
      <w:proofErr w:type="gramEnd"/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(CC) pathways in the GO database enriched for highly expressed genes in tumor tissues of CR (Supplementary 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 5) or non-CR patients (Supplementary Table 6).</w:t>
      </w:r>
    </w:p>
    <w:p w14:paraId="146FFEC9" w14:textId="77777777" w:rsidR="00FD2141" w:rsidRPr="00FD2141" w:rsidRDefault="00FD2141" w:rsidP="00FD214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7</w:t>
      </w:r>
      <w:r w:rsidRPr="00FD214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-</w:t>
      </w: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enes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molecular function (MF) pathways in the GO database enriched for highly expressed genes in tumor tissues of CR (Supplementary Table 7) or non-CR patients (Supplementary Table 8).</w:t>
      </w:r>
    </w:p>
    <w:p w14:paraId="278E15F3" w14:textId="77777777" w:rsidR="00FD2141" w:rsidRPr="00FD2141" w:rsidRDefault="00FD2141" w:rsidP="00FD214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9</w:t>
      </w:r>
      <w:r w:rsidRPr="00FD214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-</w:t>
      </w:r>
      <w:r w:rsidRPr="00FD21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G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enes 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Pr="00FD214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Kyoto Encyclopedia of Genes and Genomes (KEGG) pathways enriched for highly expressed genes in tumor tissues of CR (Supplementary Table 9) or non-CR patients (Supplementary Table 10).</w:t>
      </w:r>
    </w:p>
    <w:p w14:paraId="68E27B4E" w14:textId="16C211B8" w:rsidR="00FD2141" w:rsidRPr="00FD2141" w:rsidRDefault="00FD2141" w:rsidP="00FD214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21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Supplementary references</w:t>
      </w:r>
    </w:p>
    <w:p w14:paraId="3F34EEF5" w14:textId="77777777" w:rsidR="001F186A" w:rsidRPr="00FD2141" w:rsidRDefault="001F186A" w:rsidP="00FD2141">
      <w:pPr>
        <w:pStyle w:val="EndNoteBibliography"/>
        <w:spacing w:line="480" w:lineRule="auto"/>
        <w:rPr>
          <w:rFonts w:ascii="Times New Roman" w:eastAsiaTheme="minorEastAsia" w:hAnsi="Times New Roman" w:cs="Times New Roman"/>
          <w:noProof w:val="0"/>
          <w:color w:val="000000" w:themeColor="text1"/>
          <w:sz w:val="24"/>
          <w:szCs w:val="24"/>
        </w:rPr>
      </w:pPr>
      <w:r w:rsidRPr="00FD2141">
        <w:rPr>
          <w:rFonts w:ascii="Times New Roman" w:eastAsiaTheme="minorEastAsia" w:hAnsi="Times New Roman" w:cs="Times New Roman"/>
          <w:noProof w:val="0"/>
          <w:color w:val="000000" w:themeColor="text1"/>
          <w:sz w:val="24"/>
          <w:szCs w:val="24"/>
        </w:rPr>
        <w:fldChar w:fldCharType="begin"/>
      </w:r>
      <w:r w:rsidRPr="00FD2141">
        <w:rPr>
          <w:rFonts w:ascii="Times New Roman" w:eastAsiaTheme="minorEastAsia" w:hAnsi="Times New Roman" w:cs="Times New Roman"/>
          <w:noProof w:val="0"/>
          <w:color w:val="000000" w:themeColor="text1"/>
          <w:sz w:val="24"/>
          <w:szCs w:val="24"/>
        </w:rPr>
        <w:instrText xml:space="preserve"> ADDIN EN.REFLIST </w:instrText>
      </w:r>
      <w:r w:rsidRPr="00FD2141">
        <w:rPr>
          <w:rFonts w:ascii="Times New Roman" w:eastAsiaTheme="minorEastAsia" w:hAnsi="Times New Roman" w:cs="Times New Roman"/>
          <w:noProof w:val="0"/>
          <w:color w:val="000000" w:themeColor="text1"/>
          <w:sz w:val="24"/>
          <w:szCs w:val="24"/>
        </w:rPr>
        <w:fldChar w:fldCharType="separate"/>
      </w:r>
      <w:r w:rsidRPr="00FD2141">
        <w:rPr>
          <w:rFonts w:ascii="Times New Roman" w:eastAsiaTheme="minorEastAsia" w:hAnsi="Times New Roman" w:cs="Times New Roman"/>
          <w:noProof w:val="0"/>
          <w:color w:val="000000" w:themeColor="text1"/>
          <w:sz w:val="24"/>
          <w:szCs w:val="24"/>
        </w:rPr>
        <w:t>1.</w:t>
      </w:r>
      <w:r w:rsidRPr="00FD2141">
        <w:rPr>
          <w:rFonts w:ascii="Times New Roman" w:eastAsiaTheme="minorEastAsia" w:hAnsi="Times New Roman" w:cs="Times New Roman"/>
          <w:noProof w:val="0"/>
          <w:color w:val="000000" w:themeColor="text1"/>
          <w:sz w:val="24"/>
          <w:szCs w:val="24"/>
        </w:rPr>
        <w:tab/>
        <w:t>McGinnis CS, Murrow LM, Gartner ZJ. DoubletFinder: Doublet Detection in Single-Cell RNA Sequencing Data Using Artificial Nearest Neighbors. Cell Systems. 2019;8(4):329-37.e4.</w:t>
      </w:r>
    </w:p>
    <w:p w14:paraId="3E049717" w14:textId="7116B6AF" w:rsidR="00123937" w:rsidRPr="00FD2141" w:rsidRDefault="001F186A" w:rsidP="00FD2141">
      <w:pPr>
        <w:pStyle w:val="EndNoteBibliography"/>
        <w:spacing w:line="480" w:lineRule="auto"/>
        <w:rPr>
          <w:sz w:val="24"/>
          <w:szCs w:val="24"/>
        </w:rPr>
      </w:pPr>
      <w:r w:rsidRPr="00FD2141">
        <w:rPr>
          <w:rFonts w:ascii="Times New Roman" w:eastAsiaTheme="minorEastAsia" w:hAnsi="Times New Roman" w:cs="Times New Roman"/>
          <w:noProof w:val="0"/>
          <w:color w:val="000000" w:themeColor="text1"/>
          <w:sz w:val="24"/>
          <w:szCs w:val="24"/>
        </w:rPr>
        <w:t>2.</w:t>
      </w:r>
      <w:r w:rsidRPr="00FD2141">
        <w:rPr>
          <w:rFonts w:ascii="Times New Roman" w:eastAsiaTheme="minorEastAsia" w:hAnsi="Times New Roman" w:cs="Times New Roman"/>
          <w:noProof w:val="0"/>
          <w:color w:val="000000" w:themeColor="text1"/>
          <w:sz w:val="24"/>
          <w:szCs w:val="24"/>
        </w:rPr>
        <w:tab/>
        <w:t>Lee MYY, Kaestner KH, Li M. Benchmarking algorithms for joint integration of unpaired and paired single-cell RNA-seq and ATAC-seq data. Genome Biology. 2023;24(1).</w:t>
      </w:r>
      <w:r w:rsidRPr="00FD214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sectPr w:rsidR="00123937" w:rsidRPr="00FD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641F6" w14:textId="77777777" w:rsidR="00FB3BFE" w:rsidRDefault="00FB3BFE" w:rsidP="006C5AC1">
      <w:r>
        <w:separator/>
      </w:r>
    </w:p>
  </w:endnote>
  <w:endnote w:type="continuationSeparator" w:id="0">
    <w:p w14:paraId="7387BE21" w14:textId="77777777" w:rsidR="00FB3BFE" w:rsidRDefault="00FB3BFE" w:rsidP="006C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 PSM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AdvOT1ef757c0+fb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vOT1ef757c0+20">
    <w:altName w:val="微软雅黑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AdvOT7d6df7ab.I+fb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EB671" w14:textId="77777777" w:rsidR="00FB3BFE" w:rsidRDefault="00FB3BFE" w:rsidP="006C5AC1">
      <w:r>
        <w:separator/>
      </w:r>
    </w:p>
  </w:footnote>
  <w:footnote w:type="continuationSeparator" w:id="0">
    <w:p w14:paraId="74659AFF" w14:textId="77777777" w:rsidR="00FB3BFE" w:rsidRDefault="00FB3BFE" w:rsidP="006C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ez5ass202dareddtmvsrp8errsrffxsvea&quot;&gt;CCRT_RNA&lt;record-ids&gt;&lt;item&gt;33&lt;/item&gt;&lt;item&gt;34&lt;/item&gt;&lt;/record-ids&gt;&lt;/item&gt;&lt;/Libraries&gt;"/>
  </w:docVars>
  <w:rsids>
    <w:rsidRoot w:val="0024161E"/>
    <w:rsid w:val="00123937"/>
    <w:rsid w:val="001925BA"/>
    <w:rsid w:val="001B6013"/>
    <w:rsid w:val="001F186A"/>
    <w:rsid w:val="0024161E"/>
    <w:rsid w:val="003118EB"/>
    <w:rsid w:val="00456850"/>
    <w:rsid w:val="006B054C"/>
    <w:rsid w:val="006C5AC1"/>
    <w:rsid w:val="008E08DD"/>
    <w:rsid w:val="00A54F61"/>
    <w:rsid w:val="00D5747A"/>
    <w:rsid w:val="00E37E37"/>
    <w:rsid w:val="00E51ADC"/>
    <w:rsid w:val="00FB3BFE"/>
    <w:rsid w:val="00F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74E1"/>
  <w15:chartTrackingRefBased/>
  <w15:docId w15:val="{181F51B0-5467-4213-AF55-DAEC9D43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13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1F186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1F186A"/>
    <w:rPr>
      <w:rFonts w:ascii="等线" w:eastAsia="等线" w:hAnsi="等线"/>
      <w:noProof/>
      <w:sz w:val="20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rsid w:val="001F186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F186A"/>
    <w:rPr>
      <w:rFonts w:ascii="等线" w:eastAsia="等线" w:hAnsi="等线"/>
      <w:noProof/>
      <w:sz w:val="20"/>
      <w14:ligatures w14:val="standardContextual"/>
    </w:rPr>
  </w:style>
  <w:style w:type="character" w:styleId="a3">
    <w:name w:val="Hyperlink"/>
    <w:basedOn w:val="a0"/>
    <w:uiPriority w:val="99"/>
    <w:unhideWhenUsed/>
    <w:rsid w:val="001F18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186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C5A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5AC1"/>
    <w:rPr>
      <w:sz w:val="18"/>
      <w:szCs w:val="1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C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5AC1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Li</dc:creator>
  <cp:keywords/>
  <dc:description/>
  <cp:lastModifiedBy>yancheng liu</cp:lastModifiedBy>
  <cp:revision>14</cp:revision>
  <dcterms:created xsi:type="dcterms:W3CDTF">2024-01-14T15:28:00Z</dcterms:created>
  <dcterms:modified xsi:type="dcterms:W3CDTF">2024-05-12T12:35:00Z</dcterms:modified>
</cp:coreProperties>
</file>