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D924F" w14:textId="00230E90" w:rsidR="00267879" w:rsidRPr="00D9430E" w:rsidRDefault="00D07F55" w:rsidP="00267879">
      <w:pPr>
        <w:widowControl/>
        <w:spacing w:before="60" w:after="180" w:line="360" w:lineRule="atLeast"/>
        <w:jc w:val="left"/>
        <w:outlineLvl w:val="0"/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t>Supplemental files</w:t>
      </w:r>
    </w:p>
    <w:p w14:paraId="7281DF5E" w14:textId="77777777" w:rsidR="009129B8" w:rsidRDefault="00D07F55" w:rsidP="009129B8">
      <w:pPr>
        <w:snapToGrid w:val="0"/>
        <w:spacing w:line="480" w:lineRule="auto"/>
        <w:rPr>
          <w:rFonts w:ascii="Times New Roman" w:eastAsiaTheme="minorEastAsia" w:hAnsi="Times New Roman" w:cs="Times New Roman"/>
          <w:b/>
          <w:sz w:val="20"/>
          <w:szCs w:val="20"/>
          <w:lang w:eastAsia="ja-JP"/>
        </w:rPr>
      </w:pPr>
      <w:bookmarkStart w:id="0" w:name="_Hlk191357882"/>
      <w:bookmarkStart w:id="1" w:name="_Hlk183300367"/>
      <w:r w:rsidRPr="00013326">
        <w:rPr>
          <w:rFonts w:ascii="Times New Roman" w:eastAsia="Times New Roman" w:hAnsi="Times New Roman" w:cs="Times New Roman"/>
          <w:b/>
          <w:sz w:val="20"/>
          <w:szCs w:val="20"/>
        </w:rPr>
        <w:t>Chemotherapy-free Survival in HR-positive HER2-negative Breast Cancer: CDK4/6 Inhibitor Combination Therapy vs. Endocrine Monotherapy</w:t>
      </w:r>
      <w:bookmarkEnd w:id="0"/>
    </w:p>
    <w:p w14:paraId="5956C684" w14:textId="456F2B9A" w:rsidR="00532CFD" w:rsidRPr="0010204E" w:rsidRDefault="00D07F55" w:rsidP="009129B8">
      <w:pPr>
        <w:snapToGrid w:val="0"/>
        <w:spacing w:line="480" w:lineRule="auto"/>
        <w:rPr>
          <w:rFonts w:ascii="Times New Roman" w:eastAsiaTheme="minorEastAsia" w:hAnsi="Times New Roman" w:cs="Times New Roman"/>
          <w:b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 w:hint="eastAsia"/>
          <w:b/>
          <w:sz w:val="20"/>
          <w:szCs w:val="20"/>
          <w:lang w:eastAsia="ja-JP"/>
        </w:rPr>
        <w:t xml:space="preserve">Supplemental Table 1: </w:t>
      </w:r>
      <w:r w:rsidR="00592620">
        <w:rPr>
          <w:rFonts w:ascii="Times New Roman" w:eastAsiaTheme="minorEastAsia" w:hAnsi="Times New Roman" w:cs="Times New Roman" w:hint="eastAsia"/>
          <w:sz w:val="20"/>
          <w:szCs w:val="20"/>
          <w:lang w:eastAsia="ja-JP"/>
        </w:rPr>
        <w:t>Status</w:t>
      </w:r>
      <w:r w:rsidR="00592620" w:rsidRPr="00A861C1">
        <w:rPr>
          <w:rFonts w:ascii="Times New Roman" w:eastAsiaTheme="minorEastAsia" w:hAnsi="Times New Roman" w:cs="Times New Roman"/>
          <w:sz w:val="20"/>
          <w:szCs w:val="20"/>
          <w:lang w:eastAsia="ja-JP"/>
        </w:rPr>
        <w:t xml:space="preserve"> of First-Line Treatment and Reasons for Discontinuation</w:t>
      </w:r>
    </w:p>
    <w:bookmarkEnd w:id="1"/>
    <w:p w14:paraId="3CDDF8D9" w14:textId="2367D7A7" w:rsidR="00175224" w:rsidRDefault="00D07F55" w:rsidP="00FF6DDA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t>Supplemental</w:t>
      </w:r>
      <w:r w:rsidR="00D6695F"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r w:rsidR="00D6695F" w:rsidRPr="00D943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 w:rsidR="00005162"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1</w:t>
      </w:r>
      <w:r w:rsidR="007306B9" w:rsidRPr="00D9430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7306B9" w:rsidRPr="00D943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306B9"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</w:t>
      </w:r>
      <w:r w:rsidR="00005162" w:rsidRPr="00D9430E">
        <w:rPr>
          <w:rFonts w:ascii="Times New Roman" w:eastAsia="Times New Roman" w:hAnsi="Times New Roman" w:cs="Times New Roman"/>
          <w:bCs/>
          <w:sz w:val="20"/>
          <w:szCs w:val="20"/>
        </w:rPr>
        <w:t>chemotherapy-free survival</w:t>
      </w:r>
      <w:r w:rsidR="007306B9"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005162"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2 </w:t>
      </w:r>
      <w:r w:rsidR="007306B9"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after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="007306B9" w:rsidRPr="00D9430E">
        <w:rPr>
          <w:rFonts w:ascii="Times New Roman" w:eastAsia="Times New Roman" w:hAnsi="Times New Roman" w:cs="Times New Roman"/>
          <w:bCs/>
          <w:sz w:val="20"/>
          <w:szCs w:val="20"/>
        </w:rPr>
        <w:t>inverse probability of treatment weighting</w:t>
      </w:r>
      <w:r w:rsidR="00005162"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005162"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 w:rsid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="00005162"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</w:t>
      </w:r>
      <w:r w:rsidR="00005162"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="00005162"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</w:p>
    <w:p w14:paraId="14BB7D5B" w14:textId="61C8E301" w:rsidR="00D9430E" w:rsidRDefault="00D07F55" w:rsidP="00D9430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t>Supplemental</w:t>
      </w:r>
      <w:r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r w:rsidRPr="00D943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2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D943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</w:t>
      </w:r>
      <w:r w:rsidRPr="004A0FDC">
        <w:rPr>
          <w:rFonts w:ascii="Times New Roman" w:eastAsia="Times New Roman" w:hAnsi="Times New Roman" w:cs="Times New Roman"/>
          <w:sz w:val="20"/>
          <w:szCs w:val="20"/>
        </w:rPr>
        <w:t>time to treatment failure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after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inverse probability of treatment weighting, 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 w:rsid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</w:t>
      </w:r>
      <w:r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</w:p>
    <w:p w14:paraId="3FED3A67" w14:textId="72B9862F" w:rsidR="00175224" w:rsidRDefault="00D07F55">
      <w:pPr>
        <w:widowControl/>
        <w:spacing w:line="480" w:lineRule="auto"/>
        <w:jc w:val="left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t>Supplemental</w:t>
      </w:r>
      <w:r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r w:rsidRPr="00D943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3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D943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</w:t>
      </w:r>
      <w:r w:rsidRPr="004A0FDC">
        <w:rPr>
          <w:rFonts w:ascii="Times New Roman" w:eastAsia="Times New Roman" w:hAnsi="Times New Roman" w:cs="Times New Roman"/>
          <w:sz w:val="20"/>
          <w:szCs w:val="20"/>
        </w:rPr>
        <w:t>time to treatment failure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after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inverse probability of treatment weighting, 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 w:rsid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</w:t>
      </w:r>
      <w:r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  <w:r>
        <w:rPr>
          <w:rFonts w:ascii="Times New Roman" w:eastAsiaTheme="minorEastAsia" w:hAnsi="Times New Roman"/>
          <w:bCs/>
          <w:sz w:val="20"/>
          <w:szCs w:val="20"/>
          <w:lang w:eastAsia="ja-JP"/>
        </w:rPr>
        <w:br w:type="page"/>
      </w:r>
    </w:p>
    <w:p w14:paraId="0DA0563F" w14:textId="1767E8CB" w:rsidR="00431FCA" w:rsidRDefault="00D07F55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  <w:lang w:eastAsia="ja-JP"/>
        </w:rPr>
        <w:lastRenderedPageBreak/>
        <w:t>Supplemental Table 1</w:t>
      </w:r>
      <w:r w:rsidR="00F96A4A">
        <w:rPr>
          <w:rFonts w:ascii="Times New Roman" w:eastAsiaTheme="minorEastAsia" w:hAnsi="Times New Roman" w:cs="Times New Roman" w:hint="eastAsia"/>
          <w:b/>
          <w:bCs/>
          <w:sz w:val="20"/>
          <w:szCs w:val="20"/>
          <w:lang w:eastAsia="ja-JP"/>
        </w:rPr>
        <w:t xml:space="preserve">: </w:t>
      </w:r>
      <w:r w:rsidR="00A861C1" w:rsidRPr="00A861C1">
        <w:rPr>
          <w:rFonts w:ascii="Times New Roman" w:eastAsiaTheme="minorEastAsia" w:hAnsi="Times New Roman" w:cs="Times New Roman"/>
          <w:sz w:val="20"/>
          <w:szCs w:val="20"/>
          <w:lang w:eastAsia="ja-JP"/>
        </w:rPr>
        <w:t>Reasons for Discontinuation</w:t>
      </w:r>
      <w:r w:rsidR="00EA00C3">
        <w:rPr>
          <w:rFonts w:ascii="Times New Roman" w:eastAsiaTheme="minorEastAsia" w:hAnsi="Times New Roman" w:cs="Times New Roman" w:hint="eastAsia"/>
          <w:sz w:val="20"/>
          <w:szCs w:val="20"/>
          <w:lang w:eastAsia="ja-JP"/>
        </w:rPr>
        <w:t xml:space="preserve"> </w:t>
      </w:r>
      <w:r w:rsidR="00EA00C3" w:rsidRPr="00A861C1">
        <w:rPr>
          <w:rFonts w:ascii="Times New Roman" w:eastAsiaTheme="minorEastAsia" w:hAnsi="Times New Roman" w:cs="Times New Roman"/>
          <w:sz w:val="20"/>
          <w:szCs w:val="20"/>
          <w:lang w:eastAsia="ja-JP"/>
        </w:rPr>
        <w:t>of First-Line Treatment</w:t>
      </w:r>
    </w:p>
    <w:p w14:paraId="197186D2" w14:textId="77777777" w:rsidR="005B59DA" w:rsidRDefault="005B59DA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247"/>
      </w:tblGrid>
      <w:tr w:rsidR="000140F6" w14:paraId="1D0533E0" w14:textId="77777777" w:rsidTr="00746E18">
        <w:trPr>
          <w:trHeight w:val="247"/>
        </w:trPr>
        <w:tc>
          <w:tcPr>
            <w:tcW w:w="3539" w:type="dxa"/>
          </w:tcPr>
          <w:p w14:paraId="2383EEFD" w14:textId="77777777" w:rsidR="00746E18" w:rsidRPr="00AD03B7" w:rsidRDefault="00746E18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066F7B" w14:textId="77777777" w:rsidR="00746E18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Monotherapy</w:t>
            </w:r>
          </w:p>
          <w:p w14:paraId="17741543" w14:textId="09F269B0" w:rsidR="000335C0" w:rsidRPr="009D7ACE" w:rsidRDefault="00D07F55" w:rsidP="0097571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185873">
              <w:rPr>
                <w:rFonts w:ascii="Times New Roman" w:eastAsia="Times New Roman" w:hAnsi="Times New Roman" w:cs="Times New Roman"/>
              </w:rPr>
              <w:t xml:space="preserve">N = </w:t>
            </w:r>
            <w:r w:rsidR="008209CD">
              <w:rPr>
                <w:rFonts w:ascii="Times New Roman" w:eastAsiaTheme="minorEastAsia" w:hAnsi="Times New Roman" w:cs="Times New Roman" w:hint="eastAsia"/>
                <w:lang w:eastAsia="ja-JP"/>
              </w:rPr>
              <w:t>318</w:t>
            </w:r>
          </w:p>
        </w:tc>
        <w:tc>
          <w:tcPr>
            <w:tcW w:w="2247" w:type="dxa"/>
          </w:tcPr>
          <w:p w14:paraId="034FF85F" w14:textId="77777777" w:rsidR="00746E18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CDK4/6i</w:t>
            </w:r>
          </w:p>
          <w:p w14:paraId="5B606B67" w14:textId="1D8210BD" w:rsidR="000335C0" w:rsidRPr="007109BF" w:rsidRDefault="00D07F55" w:rsidP="0097571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185873">
              <w:rPr>
                <w:rFonts w:ascii="Times New Roman" w:eastAsia="Times New Roman" w:hAnsi="Times New Roman" w:cs="Times New Roman"/>
              </w:rPr>
              <w:t xml:space="preserve">N = </w:t>
            </w:r>
            <w:r w:rsidR="008209CD" w:rsidRPr="00185873">
              <w:rPr>
                <w:rFonts w:ascii="Times New Roman" w:eastAsia="Times New Roman" w:hAnsi="Times New Roman" w:cs="Times New Roman"/>
              </w:rPr>
              <w:t>1</w:t>
            </w:r>
            <w:r w:rsidR="008209CD">
              <w:rPr>
                <w:rFonts w:ascii="Times New Roman" w:eastAsiaTheme="minorEastAsia" w:hAnsi="Times New Roman" w:cs="Times New Roman" w:hint="eastAsia"/>
                <w:lang w:eastAsia="ja-JP"/>
              </w:rPr>
              <w:t>25</w:t>
            </w:r>
          </w:p>
        </w:tc>
      </w:tr>
      <w:tr w:rsidR="000140F6" w14:paraId="4571E898" w14:textId="77777777" w:rsidTr="00746E18">
        <w:trPr>
          <w:trHeight w:val="247"/>
        </w:trPr>
        <w:tc>
          <w:tcPr>
            <w:tcW w:w="3539" w:type="dxa"/>
          </w:tcPr>
          <w:p w14:paraId="7979349A" w14:textId="2B46CC33" w:rsidR="00746E18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ja-JP"/>
              </w:rPr>
              <w:t xml:space="preserve">Ongoing first-line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  <w:t>treatment,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2126" w:type="dxa"/>
          </w:tcPr>
          <w:p w14:paraId="39E3EEA2" w14:textId="1EC26811" w:rsidR="00746E18" w:rsidRPr="00AD03B7" w:rsidRDefault="00D07F55" w:rsidP="0097571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kern w:val="24"/>
              </w:rPr>
              <w:t>18 (5.7)</w:t>
            </w:r>
          </w:p>
        </w:tc>
        <w:tc>
          <w:tcPr>
            <w:tcW w:w="2247" w:type="dxa"/>
          </w:tcPr>
          <w:p w14:paraId="78468BE6" w14:textId="135D339B" w:rsidR="00746E18" w:rsidRPr="00AD03B7" w:rsidRDefault="00D07F55" w:rsidP="0097571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kern w:val="24"/>
              </w:rPr>
              <w:t>20 (16.0)</w:t>
            </w:r>
          </w:p>
        </w:tc>
      </w:tr>
      <w:tr w:rsidR="000140F6" w14:paraId="79FFE06C" w14:textId="77777777" w:rsidTr="00746E18">
        <w:trPr>
          <w:trHeight w:val="247"/>
        </w:trPr>
        <w:tc>
          <w:tcPr>
            <w:tcW w:w="3539" w:type="dxa"/>
          </w:tcPr>
          <w:p w14:paraId="7FA085B1" w14:textId="30F1AD55" w:rsidR="00975710" w:rsidRPr="00A861C1" w:rsidRDefault="00D07F55" w:rsidP="0097571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</w:pPr>
            <w:r w:rsidRPr="00A861C1">
              <w:rPr>
                <w:rFonts w:ascii="Times New Roman" w:eastAsiaTheme="minorEastAsia" w:hAnsi="Times New Roman" w:cs="Times New Roman"/>
                <w:sz w:val="20"/>
                <w:szCs w:val="20"/>
                <w:lang w:eastAsia="ja-JP"/>
              </w:rPr>
              <w:t xml:space="preserve">Reasons for 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Discontinuation, n (%)</w:t>
            </w:r>
          </w:p>
        </w:tc>
        <w:tc>
          <w:tcPr>
            <w:tcW w:w="2126" w:type="dxa"/>
          </w:tcPr>
          <w:p w14:paraId="4C35C2AC" w14:textId="42935857" w:rsidR="00975710" w:rsidRDefault="00D07F55" w:rsidP="00975710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300 (94.3)</w:t>
            </w:r>
          </w:p>
        </w:tc>
        <w:tc>
          <w:tcPr>
            <w:tcW w:w="2247" w:type="dxa"/>
          </w:tcPr>
          <w:p w14:paraId="457A2590" w14:textId="29B0DFDE" w:rsidR="00975710" w:rsidRDefault="00D07F55" w:rsidP="00975710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105 (84.0)</w:t>
            </w:r>
          </w:p>
        </w:tc>
      </w:tr>
      <w:tr w:rsidR="000140F6" w14:paraId="37C070D2" w14:textId="77777777" w:rsidTr="00746E18">
        <w:trPr>
          <w:trHeight w:val="247"/>
        </w:trPr>
        <w:tc>
          <w:tcPr>
            <w:tcW w:w="3539" w:type="dxa"/>
          </w:tcPr>
          <w:p w14:paraId="3DF4FABE" w14:textId="77777777" w:rsidR="00975710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 Progressive disease</w:t>
            </w:r>
          </w:p>
        </w:tc>
        <w:tc>
          <w:tcPr>
            <w:tcW w:w="2126" w:type="dxa"/>
          </w:tcPr>
          <w:p w14:paraId="7A441799" w14:textId="103C348F" w:rsidR="00975710" w:rsidRPr="00AD03B7" w:rsidRDefault="00D07F55" w:rsidP="000912A3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244 (</w:t>
            </w:r>
            <w:r w:rsidR="00F14ECF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81.3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214A3ADA" w14:textId="317EC288" w:rsidR="00975710" w:rsidRPr="00AD03B7" w:rsidRDefault="00D07F55" w:rsidP="00ED788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2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78.</w:t>
            </w:r>
            <w:r w:rsidR="0043308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1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40F6" w14:paraId="2A8A0DCE" w14:textId="77777777" w:rsidTr="00746E18">
        <w:trPr>
          <w:trHeight w:val="247"/>
        </w:trPr>
        <w:tc>
          <w:tcPr>
            <w:tcW w:w="3539" w:type="dxa"/>
          </w:tcPr>
          <w:p w14:paraId="6CB507E5" w14:textId="667FA96E" w:rsidR="00975710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Adverse events</w:t>
            </w:r>
          </w:p>
        </w:tc>
        <w:tc>
          <w:tcPr>
            <w:tcW w:w="2126" w:type="dxa"/>
          </w:tcPr>
          <w:p w14:paraId="77FCD3B3" w14:textId="70B9075F" w:rsidR="00975710" w:rsidRPr="00AD03B7" w:rsidRDefault="00D07F55" w:rsidP="000912A3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14 (4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.</w:t>
            </w:r>
            <w:r w:rsidR="007E1C9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7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39526F71" w14:textId="66F9AF8C" w:rsidR="00975710" w:rsidRPr="00AD03B7" w:rsidRDefault="00D07F55" w:rsidP="00ED788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BA4BFA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9.5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40F6" w14:paraId="5CAFA677" w14:textId="77777777" w:rsidTr="00746E18">
        <w:trPr>
          <w:trHeight w:val="247"/>
        </w:trPr>
        <w:tc>
          <w:tcPr>
            <w:tcW w:w="3539" w:type="dxa"/>
          </w:tcPr>
          <w:p w14:paraId="0D4063D1" w14:textId="77777777" w:rsidR="00975710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 Patient’s wish</w:t>
            </w:r>
          </w:p>
        </w:tc>
        <w:tc>
          <w:tcPr>
            <w:tcW w:w="2126" w:type="dxa"/>
          </w:tcPr>
          <w:p w14:paraId="7A420371" w14:textId="055CB4E9" w:rsidR="00975710" w:rsidRPr="00AD03B7" w:rsidRDefault="00D07F55" w:rsidP="000912A3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 w:rsidR="00B76E40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3.0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518B00EF" w14:textId="13D08D64" w:rsidR="00975710" w:rsidRPr="00AD03B7" w:rsidRDefault="00D07F55" w:rsidP="00ED788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r w:rsidR="006514C7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.6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40F6" w14:paraId="2079ECD3" w14:textId="77777777" w:rsidTr="00746E18">
        <w:trPr>
          <w:trHeight w:val="247"/>
        </w:trPr>
        <w:tc>
          <w:tcPr>
            <w:tcW w:w="3539" w:type="dxa"/>
          </w:tcPr>
          <w:p w14:paraId="599214AC" w14:textId="77777777" w:rsidR="00975710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 Physician’s decision (other reasons)</w:t>
            </w:r>
          </w:p>
        </w:tc>
        <w:tc>
          <w:tcPr>
            <w:tcW w:w="2126" w:type="dxa"/>
          </w:tcPr>
          <w:p w14:paraId="542FE479" w14:textId="7FF94057" w:rsidR="00975710" w:rsidRPr="00AD03B7" w:rsidRDefault="00D07F55" w:rsidP="000912A3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29 (9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.7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4C5CD591" w14:textId="42CCEEA6" w:rsidR="00975710" w:rsidRPr="00AD03B7" w:rsidRDefault="00D07F55" w:rsidP="00ED788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3 (2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.</w:t>
            </w:r>
            <w:r w:rsidR="00ED788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9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40F6" w14:paraId="074C502A" w14:textId="77777777" w:rsidTr="00746E18">
        <w:trPr>
          <w:trHeight w:val="247"/>
        </w:trPr>
        <w:tc>
          <w:tcPr>
            <w:tcW w:w="3539" w:type="dxa"/>
          </w:tcPr>
          <w:p w14:paraId="007F29A2" w14:textId="77777777" w:rsidR="00975710" w:rsidRPr="00AD03B7" w:rsidRDefault="00D07F55" w:rsidP="0097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 Unknown</w:t>
            </w:r>
          </w:p>
        </w:tc>
        <w:tc>
          <w:tcPr>
            <w:tcW w:w="2126" w:type="dxa"/>
          </w:tcPr>
          <w:p w14:paraId="296CCA33" w14:textId="5095099D" w:rsidR="00975710" w:rsidRPr="00AD03B7" w:rsidRDefault="00D07F55" w:rsidP="000912A3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4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912A3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1.3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4D95CFA8" w14:textId="4AEC2E6C" w:rsidR="00975710" w:rsidRPr="00AD03B7" w:rsidRDefault="00D07F55" w:rsidP="00ED7885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3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2.</w:t>
            </w:r>
            <w:r w:rsidR="00ED7885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9</w:t>
            </w:r>
            <w:r w:rsidRPr="00AD03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83B2A8C" w14:textId="190B627D" w:rsidR="00746E18" w:rsidRPr="001F07C0" w:rsidRDefault="00D07F55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Cs/>
          <w:sz w:val="20"/>
          <w:szCs w:val="20"/>
          <w:lang w:eastAsia="ja-JP"/>
        </w:rPr>
      </w:pPr>
      <w:r w:rsidRPr="001F07C0">
        <w:rPr>
          <w:rFonts w:ascii="Times New Roman" w:eastAsiaTheme="minorEastAsia" w:hAnsi="Times New Roman" w:cs="Times New Roman"/>
          <w:bCs/>
          <w:sz w:val="20"/>
          <w:szCs w:val="20"/>
          <w:lang w:eastAsia="ja-JP"/>
        </w:rPr>
        <w:t>CDK4/6i, cyclin-dependent kinase 4/6 inhibitor</w:t>
      </w:r>
    </w:p>
    <w:p w14:paraId="5CF33D11" w14:textId="77777777" w:rsidR="005B59DA" w:rsidRDefault="005B59DA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</w:p>
    <w:p w14:paraId="7E9996DC" w14:textId="77777777" w:rsidR="005B59DA" w:rsidRDefault="005B59DA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</w:p>
    <w:p w14:paraId="42798C71" w14:textId="77777777" w:rsidR="005B59DA" w:rsidRDefault="005B59DA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</w:p>
    <w:p w14:paraId="175C5367" w14:textId="5E578D00" w:rsidR="00431FCA" w:rsidRDefault="00D07F55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br w:type="page"/>
      </w:r>
    </w:p>
    <w:p w14:paraId="2D97AD35" w14:textId="3C6D97E9" w:rsidR="000870BF" w:rsidRDefault="001F07C0" w:rsidP="000870BF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lastRenderedPageBreak/>
        <w:t>Supplemental</w:t>
      </w:r>
      <w:r w:rsidRPr="00E22C0F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r w:rsidR="00D07F55" w:rsidRPr="00E22C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 w:rsidR="00D07F55" w:rsidRPr="00E22C0F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1</w:t>
      </w:r>
      <w:r w:rsidR="00D07F55" w:rsidRPr="00E22C0F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D07F55" w:rsidRPr="00E22C0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07F55" w:rsidRPr="00E22C0F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chemotherapy-free survival 2 after inverse probability of treatment weighting, </w:t>
      </w:r>
      <w:r w:rsidR="00D07F55"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="00D07F55" w:rsidRPr="00175224">
        <w:rPr>
          <w:rFonts w:ascii="Times New Roman" w:eastAsia="ＭＳ 明朝" w:hAnsi="Times New Roman"/>
          <w:bCs/>
          <w:sz w:val="20"/>
          <w:szCs w:val="20"/>
          <w:lang w:eastAsia="ja-JP"/>
        </w:rPr>
        <w:t xml:space="preserve"> </w:t>
      </w:r>
      <w:r w:rsidR="00D07F55"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="00D07F55"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</w:p>
    <w:p w14:paraId="38396D14" w14:textId="4CD96403" w:rsidR="001F07C0" w:rsidRDefault="00D07F55" w:rsidP="000870BF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CFS, chemotherapy-free survival; CDK4/6i, cyclin-dependent kinase 4/6 inhibitor; HR, hazard ratio</w:t>
      </w:r>
    </w:p>
    <w:p w14:paraId="3AA886DE" w14:textId="11DC220E" w:rsidR="0075793F" w:rsidRDefault="0075793F" w:rsidP="000870BF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</w:p>
    <w:p w14:paraId="75764EBA" w14:textId="27F59123" w:rsidR="00D9430E" w:rsidRPr="00342EA8" w:rsidRDefault="00D07F55" w:rsidP="00E61D02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r w:rsidRPr="00342EA8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 xml:space="preserve">                                                                                                </w:t>
      </w:r>
    </w:p>
    <w:p w14:paraId="40F29A12" w14:textId="51015EAD" w:rsidR="000870BF" w:rsidRDefault="00D07F55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BE2752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4C5797CB" wp14:editId="57671CD6">
            <wp:extent cx="3600476" cy="4076730"/>
            <wp:effectExtent l="0" t="0" r="0" b="0"/>
            <wp:docPr id="15182531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531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476" cy="40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B59EE" w14:textId="18C51523" w:rsidR="00D855BE" w:rsidRDefault="00D855BE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14:paraId="154F42FC" w14:textId="77777777" w:rsidR="0075793F" w:rsidRDefault="00D07F55">
      <w:pPr>
        <w:widowControl/>
        <w:spacing w:line="480" w:lineRule="auto"/>
        <w:jc w:val="left"/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</w:pPr>
      <w:r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br w:type="page"/>
      </w:r>
    </w:p>
    <w:p w14:paraId="1245A64C" w14:textId="00D28DBD" w:rsidR="00D855BE" w:rsidRDefault="00D07F55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lastRenderedPageBreak/>
        <w:t>Supplemental</w:t>
      </w:r>
      <w:r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r w:rsidRPr="00D943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2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D943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</w:t>
      </w:r>
      <w:r w:rsidRPr="004A0FDC">
        <w:rPr>
          <w:rFonts w:ascii="Times New Roman" w:eastAsia="Times New Roman" w:hAnsi="Times New Roman" w:cs="Times New Roman"/>
          <w:sz w:val="20"/>
          <w:szCs w:val="20"/>
        </w:rPr>
        <w:t>time to treatment failure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after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inverse probability of treatment weighting, 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 w:rsid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Pr="00175224">
        <w:rPr>
          <w:rFonts w:ascii="Times New Roman" w:eastAsia="ＭＳ 明朝" w:hAnsi="Times New Roman"/>
          <w:bCs/>
          <w:sz w:val="20"/>
          <w:szCs w:val="20"/>
          <w:lang w:eastAsia="ja-JP"/>
        </w:rPr>
        <w:t xml:space="preserve"> </w:t>
      </w:r>
      <w:r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</w:p>
    <w:p w14:paraId="7327D3FE" w14:textId="2D536ABC" w:rsidR="001F07C0" w:rsidRDefault="00D07F55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>
        <w:rPr>
          <w:rFonts w:ascii="Times New Roman" w:eastAsiaTheme="minorEastAsia" w:hAnsi="Times New Roman"/>
          <w:bCs/>
          <w:sz w:val="20"/>
          <w:szCs w:val="20"/>
          <w:lang w:eastAsia="ja-JP"/>
        </w:rPr>
        <w:t>TTF</w:t>
      </w:r>
      <w:r w:rsidRP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, </w:t>
      </w:r>
      <w:r w:rsidRPr="004A0FDC">
        <w:rPr>
          <w:rFonts w:ascii="Times New Roman" w:eastAsia="Times New Roman" w:hAnsi="Times New Roman" w:cs="Times New Roman"/>
          <w:sz w:val="20"/>
          <w:szCs w:val="20"/>
        </w:rPr>
        <w:t>time to treatment failure</w:t>
      </w:r>
      <w:r w:rsidRP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 CDK4/6i, cyclin-dependent kinase 4/6 inhibitor; HR, hazard ratio</w:t>
      </w:r>
    </w:p>
    <w:p w14:paraId="4CBBB068" w14:textId="759352EA" w:rsidR="0075793F" w:rsidRDefault="0075793F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</w:p>
    <w:p w14:paraId="78AD4FDB" w14:textId="0427A984" w:rsidR="00DD182F" w:rsidRDefault="00D07F55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D182F">
        <w:rPr>
          <w:rFonts w:ascii="Times New Roman" w:eastAsiaTheme="minorEastAsia" w:hAnsi="Times New Roman"/>
          <w:bCs/>
          <w:noProof/>
          <w:sz w:val="20"/>
          <w:szCs w:val="20"/>
        </w:rPr>
        <w:drawing>
          <wp:inline distT="0" distB="0" distL="0" distR="0" wp14:anchorId="29CA32A2" wp14:editId="4D05321D">
            <wp:extent cx="3629052" cy="4200556"/>
            <wp:effectExtent l="0" t="0" r="9525" b="9525"/>
            <wp:docPr id="5107564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564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9052" cy="420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B465" w14:textId="569CA49B" w:rsidR="00E81B99" w:rsidRDefault="00E81B99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14:paraId="6155AA9C" w14:textId="0AEC0F89" w:rsidR="00C7180A" w:rsidRDefault="00C7180A" w:rsidP="001B0D8C">
      <w:pPr>
        <w:widowControl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14:paraId="0ED4E4B1" w14:textId="578DD7CA" w:rsidR="00C7180A" w:rsidRDefault="00D07F55">
      <w:pPr>
        <w:widowControl/>
        <w:spacing w:line="48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  <w:br w:type="page"/>
      </w:r>
    </w:p>
    <w:p w14:paraId="779C4B14" w14:textId="77777777" w:rsidR="00C7180A" w:rsidRDefault="00C7180A" w:rsidP="00C7180A">
      <w:pPr>
        <w:widowControl/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14:paraId="49E4D0A1" w14:textId="5A5552BD" w:rsidR="00D855BE" w:rsidRDefault="00D07F55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D9430E">
        <w:rPr>
          <w:rFonts w:ascii="Times New Roman" w:eastAsia="ＭＳ Ｐゴシック" w:hAnsi="Times New Roman" w:cs="Times New Roman"/>
          <w:b/>
          <w:bCs/>
          <w:color w:val="1C1D1E"/>
          <w:kern w:val="36"/>
          <w:sz w:val="20"/>
          <w:szCs w:val="20"/>
          <w:lang w:eastAsia="ja-JP"/>
        </w:rPr>
        <w:t>Supplemental</w:t>
      </w:r>
      <w:r w:rsidRPr="00D9430E"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 xml:space="preserve"> </w:t>
      </w:r>
      <w:bookmarkStart w:id="2" w:name="_GoBack"/>
      <w:r w:rsidRPr="00D943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</w:t>
      </w:r>
      <w:bookmarkEnd w:id="2"/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ja-JP"/>
        </w:rPr>
        <w:t>3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D9430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Kaplan–Meier curves of </w:t>
      </w:r>
      <w:r w:rsidRPr="004A0FDC">
        <w:rPr>
          <w:rFonts w:ascii="Times New Roman" w:eastAsia="Times New Roman" w:hAnsi="Times New Roman" w:cs="Times New Roman"/>
          <w:sz w:val="20"/>
          <w:szCs w:val="20"/>
        </w:rPr>
        <w:t>time to treatment failure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 after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Pr="00D9430E">
        <w:rPr>
          <w:rFonts w:ascii="Times New Roman" w:eastAsia="Times New Roman" w:hAnsi="Times New Roman" w:cs="Times New Roman"/>
          <w:bCs/>
          <w:sz w:val="20"/>
          <w:szCs w:val="20"/>
        </w:rPr>
        <w:t xml:space="preserve">inverse probability of treatment weighting, 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>Unadjusted analysis (a)</w:t>
      </w:r>
      <w:r w:rsid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;</w:t>
      </w:r>
      <w:r w:rsidRPr="00175224">
        <w:rPr>
          <w:rFonts w:ascii="Times New Roman" w:eastAsia="ＭＳ 明朝" w:hAnsi="Times New Roman"/>
          <w:bCs/>
          <w:sz w:val="20"/>
          <w:szCs w:val="20"/>
          <w:lang w:eastAsia="ja-JP"/>
        </w:rPr>
        <w:t xml:space="preserve"> </w:t>
      </w:r>
      <w:r w:rsidRPr="00175224">
        <w:rPr>
          <w:rFonts w:ascii="Times New Roman" w:eastAsia="Times New Roman" w:hAnsi="Times New Roman"/>
          <w:bCs/>
          <w:sz w:val="20"/>
          <w:szCs w:val="20"/>
        </w:rPr>
        <w:t>after inverse probability of treatment weighting</w:t>
      </w:r>
      <w:r w:rsidRPr="00175224">
        <w:rPr>
          <w:rFonts w:ascii="Times New Roman" w:eastAsiaTheme="minorEastAsia" w:hAnsi="Times New Roman"/>
          <w:bCs/>
          <w:sz w:val="20"/>
          <w:szCs w:val="20"/>
          <w:lang w:eastAsia="ja-JP"/>
        </w:rPr>
        <w:t xml:space="preserve"> (b)</w:t>
      </w:r>
    </w:p>
    <w:p w14:paraId="23C4DE76" w14:textId="5E31183E" w:rsidR="001F07C0" w:rsidRDefault="00D07F55" w:rsidP="00D855BE">
      <w:pPr>
        <w:spacing w:line="480" w:lineRule="auto"/>
        <w:ind w:left="-1" w:hanging="1"/>
        <w:rPr>
          <w:rFonts w:ascii="Times New Roman" w:eastAsiaTheme="minorEastAsia" w:hAnsi="Times New Roman"/>
          <w:bCs/>
          <w:sz w:val="20"/>
          <w:szCs w:val="20"/>
          <w:lang w:eastAsia="ja-JP"/>
        </w:rPr>
      </w:pPr>
      <w:r w:rsidRPr="001F07C0">
        <w:rPr>
          <w:rFonts w:ascii="Times New Roman" w:eastAsiaTheme="minorEastAsia" w:hAnsi="Times New Roman"/>
          <w:bCs/>
          <w:sz w:val="20"/>
          <w:szCs w:val="20"/>
          <w:lang w:eastAsia="ja-JP"/>
        </w:rPr>
        <w:t>TTF, time to treatment failure; CDK4/6i, cyclin-dependent kinase 4/6 inhibitor; HR, hazard ratio</w:t>
      </w:r>
    </w:p>
    <w:p w14:paraId="1577ABCA" w14:textId="334D84DD" w:rsidR="00D855BE" w:rsidRDefault="00D855BE" w:rsidP="009D6569">
      <w:pPr>
        <w:rPr>
          <w:rFonts w:ascii="Times New Roman" w:eastAsiaTheme="minorEastAsia" w:hAnsi="Times New Roman" w:cs="Times New Roman"/>
          <w:b/>
          <w:sz w:val="24"/>
          <w:szCs w:val="24"/>
          <w:lang w:eastAsia="ja-JP"/>
        </w:rPr>
      </w:pPr>
    </w:p>
    <w:p w14:paraId="22E1C10A" w14:textId="5C981F93" w:rsidR="00036194" w:rsidRPr="003B0385" w:rsidRDefault="00D07F55" w:rsidP="00D855BE">
      <w:pPr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05215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B606464" wp14:editId="1BF832B6">
            <wp:extent cx="3819553" cy="4238656"/>
            <wp:effectExtent l="0" t="0" r="9525" b="9525"/>
            <wp:docPr id="6324740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740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53" cy="4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194" w:rsidRPr="003B0385" w:rsidSect="00FB5E18">
      <w:pgSz w:w="12240" w:h="15840"/>
      <w:pgMar w:top="1440" w:right="1440" w:bottom="1440" w:left="144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2AF9"/>
    <w:multiLevelType w:val="multilevel"/>
    <w:tmpl w:val="8D8CA814"/>
    <w:lvl w:ilvl="0">
      <w:start w:val="1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28471B"/>
    <w:multiLevelType w:val="multilevel"/>
    <w:tmpl w:val="5ABEB4BC"/>
    <w:lvl w:ilvl="0">
      <w:start w:val="1"/>
      <w:numFmt w:val="upperLetter"/>
      <w:lvlText w:val="(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16E9F"/>
    <w:multiLevelType w:val="hybridMultilevel"/>
    <w:tmpl w:val="E1FC3B34"/>
    <w:lvl w:ilvl="0" w:tplc="E9CA9780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A142EBBC" w:tentative="1">
      <w:start w:val="1"/>
      <w:numFmt w:val="aiueoFullWidth"/>
      <w:lvlText w:val="(%2)"/>
      <w:lvlJc w:val="left"/>
      <w:pPr>
        <w:ind w:left="878" w:hanging="440"/>
      </w:pPr>
    </w:lvl>
    <w:lvl w:ilvl="2" w:tplc="48F40602" w:tentative="1">
      <w:start w:val="1"/>
      <w:numFmt w:val="decimalEnclosedCircle"/>
      <w:lvlText w:val="%3"/>
      <w:lvlJc w:val="left"/>
      <w:pPr>
        <w:ind w:left="1318" w:hanging="440"/>
      </w:pPr>
    </w:lvl>
    <w:lvl w:ilvl="3" w:tplc="B81CC188" w:tentative="1">
      <w:start w:val="1"/>
      <w:numFmt w:val="decimal"/>
      <w:lvlText w:val="%4."/>
      <w:lvlJc w:val="left"/>
      <w:pPr>
        <w:ind w:left="1758" w:hanging="440"/>
      </w:pPr>
    </w:lvl>
    <w:lvl w:ilvl="4" w:tplc="FD9270A6" w:tentative="1">
      <w:start w:val="1"/>
      <w:numFmt w:val="aiueoFullWidth"/>
      <w:lvlText w:val="(%5)"/>
      <w:lvlJc w:val="left"/>
      <w:pPr>
        <w:ind w:left="2198" w:hanging="440"/>
      </w:pPr>
    </w:lvl>
    <w:lvl w:ilvl="5" w:tplc="05981BA2" w:tentative="1">
      <w:start w:val="1"/>
      <w:numFmt w:val="decimalEnclosedCircle"/>
      <w:lvlText w:val="%6"/>
      <w:lvlJc w:val="left"/>
      <w:pPr>
        <w:ind w:left="2638" w:hanging="440"/>
      </w:pPr>
    </w:lvl>
    <w:lvl w:ilvl="6" w:tplc="9A787216" w:tentative="1">
      <w:start w:val="1"/>
      <w:numFmt w:val="decimal"/>
      <w:lvlText w:val="%7."/>
      <w:lvlJc w:val="left"/>
      <w:pPr>
        <w:ind w:left="3078" w:hanging="440"/>
      </w:pPr>
    </w:lvl>
    <w:lvl w:ilvl="7" w:tplc="5A48D864" w:tentative="1">
      <w:start w:val="1"/>
      <w:numFmt w:val="aiueoFullWidth"/>
      <w:lvlText w:val="(%8)"/>
      <w:lvlJc w:val="left"/>
      <w:pPr>
        <w:ind w:left="3518" w:hanging="440"/>
      </w:pPr>
    </w:lvl>
    <w:lvl w:ilvl="8" w:tplc="F2B2254C" w:tentative="1">
      <w:start w:val="1"/>
      <w:numFmt w:val="decimalEnclosedCircle"/>
      <w:lvlText w:val="%9"/>
      <w:lvlJc w:val="left"/>
      <w:pPr>
        <w:ind w:left="3958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MjE0NLM0NzU3MDZT0lEKTi0uzszPAykwrAUADUVB6ywAAAA="/>
  </w:docVars>
  <w:rsids>
    <w:rsidRoot w:val="00970348"/>
    <w:rsid w:val="00005162"/>
    <w:rsid w:val="00013326"/>
    <w:rsid w:val="000140F6"/>
    <w:rsid w:val="00024EAD"/>
    <w:rsid w:val="000335C0"/>
    <w:rsid w:val="00033D2C"/>
    <w:rsid w:val="00036194"/>
    <w:rsid w:val="000429CE"/>
    <w:rsid w:val="00045CC0"/>
    <w:rsid w:val="0005215E"/>
    <w:rsid w:val="000655DA"/>
    <w:rsid w:val="000667FE"/>
    <w:rsid w:val="0007606A"/>
    <w:rsid w:val="000870BF"/>
    <w:rsid w:val="000912A3"/>
    <w:rsid w:val="000D2A2C"/>
    <w:rsid w:val="000F55B9"/>
    <w:rsid w:val="000F60A1"/>
    <w:rsid w:val="000F6DE9"/>
    <w:rsid w:val="0010204E"/>
    <w:rsid w:val="0015403E"/>
    <w:rsid w:val="0015778F"/>
    <w:rsid w:val="001616E7"/>
    <w:rsid w:val="00175224"/>
    <w:rsid w:val="0018585C"/>
    <w:rsid w:val="00185873"/>
    <w:rsid w:val="001B0D8C"/>
    <w:rsid w:val="001B7287"/>
    <w:rsid w:val="001C650F"/>
    <w:rsid w:val="001F07C0"/>
    <w:rsid w:val="0023029C"/>
    <w:rsid w:val="00233FFB"/>
    <w:rsid w:val="00237CAC"/>
    <w:rsid w:val="002517FC"/>
    <w:rsid w:val="00260502"/>
    <w:rsid w:val="002610C2"/>
    <w:rsid w:val="00267879"/>
    <w:rsid w:val="00271DAA"/>
    <w:rsid w:val="002745F0"/>
    <w:rsid w:val="00277DF3"/>
    <w:rsid w:val="00282273"/>
    <w:rsid w:val="002902BC"/>
    <w:rsid w:val="002938B3"/>
    <w:rsid w:val="002A52AD"/>
    <w:rsid w:val="002B5657"/>
    <w:rsid w:val="002C751B"/>
    <w:rsid w:val="002E7BC9"/>
    <w:rsid w:val="002F7786"/>
    <w:rsid w:val="00316851"/>
    <w:rsid w:val="00342EA8"/>
    <w:rsid w:val="003A5C5A"/>
    <w:rsid w:val="003B0385"/>
    <w:rsid w:val="003C70FC"/>
    <w:rsid w:val="003D2AB2"/>
    <w:rsid w:val="003D433C"/>
    <w:rsid w:val="003E6AD1"/>
    <w:rsid w:val="003F6172"/>
    <w:rsid w:val="00404146"/>
    <w:rsid w:val="00405868"/>
    <w:rsid w:val="00417D0B"/>
    <w:rsid w:val="00427D4C"/>
    <w:rsid w:val="00431FCA"/>
    <w:rsid w:val="00433080"/>
    <w:rsid w:val="004332F5"/>
    <w:rsid w:val="00437966"/>
    <w:rsid w:val="00451844"/>
    <w:rsid w:val="00452B1D"/>
    <w:rsid w:val="00476C14"/>
    <w:rsid w:val="004A0A45"/>
    <w:rsid w:val="004A0FDC"/>
    <w:rsid w:val="004A7D58"/>
    <w:rsid w:val="004B0703"/>
    <w:rsid w:val="004B7B96"/>
    <w:rsid w:val="004C3E6E"/>
    <w:rsid w:val="004E3FC6"/>
    <w:rsid w:val="004F16DC"/>
    <w:rsid w:val="00502236"/>
    <w:rsid w:val="005050D8"/>
    <w:rsid w:val="00506BF2"/>
    <w:rsid w:val="005141A5"/>
    <w:rsid w:val="00532CFD"/>
    <w:rsid w:val="005448EE"/>
    <w:rsid w:val="00560751"/>
    <w:rsid w:val="00592620"/>
    <w:rsid w:val="005967E1"/>
    <w:rsid w:val="005A181A"/>
    <w:rsid w:val="005A1CCA"/>
    <w:rsid w:val="005B59DA"/>
    <w:rsid w:val="005C3C0D"/>
    <w:rsid w:val="005C5572"/>
    <w:rsid w:val="005D3330"/>
    <w:rsid w:val="006055C5"/>
    <w:rsid w:val="00630690"/>
    <w:rsid w:val="006404A8"/>
    <w:rsid w:val="006443B6"/>
    <w:rsid w:val="006453B6"/>
    <w:rsid w:val="00645D61"/>
    <w:rsid w:val="006514C7"/>
    <w:rsid w:val="006529D8"/>
    <w:rsid w:val="006569EF"/>
    <w:rsid w:val="006720E1"/>
    <w:rsid w:val="00690EC2"/>
    <w:rsid w:val="00692844"/>
    <w:rsid w:val="006C070B"/>
    <w:rsid w:val="006C491B"/>
    <w:rsid w:val="006E03AB"/>
    <w:rsid w:val="006E79FC"/>
    <w:rsid w:val="006F0EE8"/>
    <w:rsid w:val="00701750"/>
    <w:rsid w:val="00703BF9"/>
    <w:rsid w:val="007076E0"/>
    <w:rsid w:val="007109BF"/>
    <w:rsid w:val="007141AB"/>
    <w:rsid w:val="00714276"/>
    <w:rsid w:val="0071613F"/>
    <w:rsid w:val="007218A1"/>
    <w:rsid w:val="007306B9"/>
    <w:rsid w:val="00741526"/>
    <w:rsid w:val="00746E18"/>
    <w:rsid w:val="007514BA"/>
    <w:rsid w:val="0075793F"/>
    <w:rsid w:val="007A2907"/>
    <w:rsid w:val="007B5B03"/>
    <w:rsid w:val="007C349F"/>
    <w:rsid w:val="007D2C04"/>
    <w:rsid w:val="007E1C9A"/>
    <w:rsid w:val="007E76F5"/>
    <w:rsid w:val="007F639E"/>
    <w:rsid w:val="008209CD"/>
    <w:rsid w:val="00836247"/>
    <w:rsid w:val="00854F36"/>
    <w:rsid w:val="008724A6"/>
    <w:rsid w:val="008772EC"/>
    <w:rsid w:val="00895053"/>
    <w:rsid w:val="008B2EF0"/>
    <w:rsid w:val="008B4178"/>
    <w:rsid w:val="008C7288"/>
    <w:rsid w:val="008E474E"/>
    <w:rsid w:val="008E7328"/>
    <w:rsid w:val="00902E5E"/>
    <w:rsid w:val="0090692D"/>
    <w:rsid w:val="0091109B"/>
    <w:rsid w:val="009129B8"/>
    <w:rsid w:val="00917928"/>
    <w:rsid w:val="009303B5"/>
    <w:rsid w:val="00961063"/>
    <w:rsid w:val="00966FBF"/>
    <w:rsid w:val="00970348"/>
    <w:rsid w:val="009747AE"/>
    <w:rsid w:val="00975710"/>
    <w:rsid w:val="00983162"/>
    <w:rsid w:val="00985325"/>
    <w:rsid w:val="009C127A"/>
    <w:rsid w:val="009D5801"/>
    <w:rsid w:val="009D6569"/>
    <w:rsid w:val="009D7ACE"/>
    <w:rsid w:val="009F0BE7"/>
    <w:rsid w:val="009F5BB5"/>
    <w:rsid w:val="00A00060"/>
    <w:rsid w:val="00A21CC5"/>
    <w:rsid w:val="00A82C4B"/>
    <w:rsid w:val="00A861C1"/>
    <w:rsid w:val="00A97B6F"/>
    <w:rsid w:val="00AB0186"/>
    <w:rsid w:val="00AD03B7"/>
    <w:rsid w:val="00AF1DE2"/>
    <w:rsid w:val="00AF4395"/>
    <w:rsid w:val="00B01FDD"/>
    <w:rsid w:val="00B23008"/>
    <w:rsid w:val="00B31511"/>
    <w:rsid w:val="00B41449"/>
    <w:rsid w:val="00B44FC6"/>
    <w:rsid w:val="00B73FEC"/>
    <w:rsid w:val="00B76E40"/>
    <w:rsid w:val="00B87547"/>
    <w:rsid w:val="00BA4BFA"/>
    <w:rsid w:val="00BC76FF"/>
    <w:rsid w:val="00BD7266"/>
    <w:rsid w:val="00BE2752"/>
    <w:rsid w:val="00BF0F60"/>
    <w:rsid w:val="00BF3A7C"/>
    <w:rsid w:val="00C34B1B"/>
    <w:rsid w:val="00C7180A"/>
    <w:rsid w:val="00C8026A"/>
    <w:rsid w:val="00CA0C44"/>
    <w:rsid w:val="00CC59DD"/>
    <w:rsid w:val="00CC7448"/>
    <w:rsid w:val="00CE100E"/>
    <w:rsid w:val="00CE7FC3"/>
    <w:rsid w:val="00D0339E"/>
    <w:rsid w:val="00D06BE8"/>
    <w:rsid w:val="00D07F55"/>
    <w:rsid w:val="00D42DA3"/>
    <w:rsid w:val="00D44CD0"/>
    <w:rsid w:val="00D53695"/>
    <w:rsid w:val="00D6695F"/>
    <w:rsid w:val="00D67C05"/>
    <w:rsid w:val="00D73400"/>
    <w:rsid w:val="00D75390"/>
    <w:rsid w:val="00D75EF8"/>
    <w:rsid w:val="00D855BE"/>
    <w:rsid w:val="00D9430E"/>
    <w:rsid w:val="00DA6D75"/>
    <w:rsid w:val="00DA7796"/>
    <w:rsid w:val="00DC215F"/>
    <w:rsid w:val="00DD182F"/>
    <w:rsid w:val="00DF099A"/>
    <w:rsid w:val="00DF7D8E"/>
    <w:rsid w:val="00E22C0F"/>
    <w:rsid w:val="00E455C8"/>
    <w:rsid w:val="00E61D02"/>
    <w:rsid w:val="00E81B99"/>
    <w:rsid w:val="00E87AC7"/>
    <w:rsid w:val="00E90C06"/>
    <w:rsid w:val="00EA00C3"/>
    <w:rsid w:val="00EC0BF2"/>
    <w:rsid w:val="00ED5EFB"/>
    <w:rsid w:val="00ED7885"/>
    <w:rsid w:val="00EE42BD"/>
    <w:rsid w:val="00EE69F9"/>
    <w:rsid w:val="00EF655C"/>
    <w:rsid w:val="00F14ECF"/>
    <w:rsid w:val="00F15602"/>
    <w:rsid w:val="00F32418"/>
    <w:rsid w:val="00F33366"/>
    <w:rsid w:val="00F51249"/>
    <w:rsid w:val="00F51AD4"/>
    <w:rsid w:val="00F61B20"/>
    <w:rsid w:val="00F62C65"/>
    <w:rsid w:val="00F66F9D"/>
    <w:rsid w:val="00F6778E"/>
    <w:rsid w:val="00F73E40"/>
    <w:rsid w:val="00F823C2"/>
    <w:rsid w:val="00F94141"/>
    <w:rsid w:val="00F96A4A"/>
    <w:rsid w:val="00FA2256"/>
    <w:rsid w:val="00FB4F49"/>
    <w:rsid w:val="00FB5E18"/>
    <w:rsid w:val="00FE4458"/>
    <w:rsid w:val="00FE7EB2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F41FE"/>
  <w15:docId w15:val="{D972CCBE-AA7E-42F2-9B12-936D5DFE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heading 1" w:uiPriority="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40" w:lineRule="auto"/>
      <w:jc w:val="both"/>
    </w:pPr>
    <w:rPr>
      <w:rFonts w:ascii="游明朝" w:eastAsia="游明朝" w:hAnsi="游明朝" w:cs="游明朝"/>
      <w:sz w:val="21"/>
    </w:rPr>
  </w:style>
  <w:style w:type="paragraph" w:styleId="1">
    <w:name w:val="heading 1"/>
    <w:basedOn w:val="a"/>
    <w:link w:val="10"/>
    <w:uiPriority w:val="9"/>
    <w:qFormat/>
    <w:rsid w:val="0026787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Segoe UI" w:eastAsia="Segoe UI" w:hAnsi="Segoe UI" w:cs="Segoe UI"/>
      <w:sz w:val="18"/>
    </w:rPr>
  </w:style>
  <w:style w:type="paragraph" w:styleId="a9">
    <w:name w:val="annotation text"/>
    <w:basedOn w:val="a"/>
    <w:link w:val="aa"/>
    <w:pPr>
      <w:jc w:val="left"/>
    </w:pPr>
    <w:rPr>
      <w:rFonts w:ascii="Calibri" w:eastAsia="Calibri" w:hAnsi="Calibri" w:cs="Calibri"/>
      <w:sz w:val="20"/>
    </w:rPr>
  </w:style>
  <w:style w:type="paragraph" w:styleId="ab">
    <w:name w:val="annotation subject"/>
    <w:basedOn w:val="a9"/>
    <w:rPr>
      <w:rFonts w:ascii="游明朝" w:eastAsia="游明朝" w:hAnsi="游明朝" w:cs="游明朝"/>
      <w:b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e">
    <w:name w:val="Grid Table Light"/>
    <w:basedOn w:val="a1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Grid Table 1 Light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af">
    <w:name w:val="List Paragraph"/>
    <w:basedOn w:val="a"/>
    <w:pPr>
      <w:ind w:left="840"/>
    </w:pPr>
  </w:style>
  <w:style w:type="paragraph" w:styleId="af0">
    <w:name w:val="Revision"/>
    <w:pPr>
      <w:spacing w:line="240" w:lineRule="auto"/>
    </w:pPr>
    <w:rPr>
      <w:rFonts w:ascii="游明朝" w:eastAsia="游明朝" w:hAnsi="游明朝" w:cs="游明朝"/>
      <w:sz w:val="21"/>
    </w:rPr>
  </w:style>
  <w:style w:type="paragraph" w:styleId="af1">
    <w:name w:val="footnote text"/>
    <w:basedOn w:val="a"/>
    <w:rPr>
      <w:rFonts w:ascii="Calibri" w:eastAsia="Calibri" w:hAnsi="Calibri" w:cs="Calibri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styleId="af2">
    <w:name w:val="Normal Indent"/>
    <w:basedOn w:val="a"/>
    <w:qFormat/>
    <w:pPr>
      <w:ind w:firstLine="480"/>
    </w:pPr>
    <w:rPr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styleId="af3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styleId="af5">
    <w:name w:val="endnote text"/>
    <w:basedOn w:val="a"/>
    <w:rPr>
      <w:rFonts w:ascii="Calibri" w:eastAsia="Calibri" w:hAnsi="Calibri" w:cs="Calibri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styleId="af6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styleId="af7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customStyle="1" w:styleId="aa">
    <w:name w:val="コメント文字列 (文字)"/>
    <w:basedOn w:val="a0"/>
    <w:link w:val="a9"/>
    <w:rsid w:val="00630690"/>
    <w:rPr>
      <w:rFonts w:ascii="Calibri" w:eastAsia="Calibri" w:hAnsi="Calibri" w:cs="Calibri"/>
      <w:sz w:val="20"/>
    </w:rPr>
  </w:style>
  <w:style w:type="character" w:customStyle="1" w:styleId="10">
    <w:name w:val="見出し 1 (文字)"/>
    <w:basedOn w:val="a0"/>
    <w:link w:val="1"/>
    <w:uiPriority w:val="9"/>
    <w:rsid w:val="00267879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0D15-03FB-4EBC-B0E0-DF42F147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2034</Characters>
  <Application>Microsoft Office Word</Application>
  <DocSecurity>0</DocSecurity>
  <Lines>70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久芳さやか</dc:creator>
  <cp:lastModifiedBy>久芳さやか</cp:lastModifiedBy>
  <cp:revision>2</cp:revision>
  <dcterms:created xsi:type="dcterms:W3CDTF">2025-08-01T00:47:00Z</dcterms:created>
  <dcterms:modified xsi:type="dcterms:W3CDTF">2025-08-01T00:47:00Z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27c676fda23145a71f14941a4de5531889bafc58d2e363f7f07fe8051053fee8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2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1</vt:lpwstr>
  </property>
  <property fmtid="{D5CDD505-2E9C-101B-9397-08002B2CF9AE}" pid="13" name="Merops figures count">
    <vt:lpwstr>3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14</vt:lpwstr>
  </property>
  <property fmtid="{D5CDD505-2E9C-101B-9397-08002B2CF9AE}" pid="16" name="Merops input file path">
    <vt:lpwstr>crm_fbd69aa7-8298-4fc0-9167-825b320346bb.docx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MG-Session/On-20240923/I:6b90a02f-633f-4c90-a07b-f97c70eb3a35</vt:lpwstr>
  </property>
  <property fmtid="{D5CDD505-2E9C-101B-9397-08002B2CF9AE}" pid="19" name="Merops processed date">
    <vt:lpwstr>2024/09/23 11:57:30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merops/preset-v1/fp_journal-of-clinical-oncology</vt:lpwstr>
  </property>
  <property fmtid="{D5CDD505-2E9C-101B-9397-08002B2CF9AE}" pid="25" name="Merops Standard Set modified">
    <vt:lpwstr/>
  </property>
  <property fmtid="{D5CDD505-2E9C-101B-9397-08002B2CF9AE}" pid="26" name="Merops tables count">
    <vt:lpwstr>0</vt:lpwstr>
  </property>
  <property fmtid="{D5CDD505-2E9C-101B-9397-08002B2CF9AE}" pid="27" name="Merops word count">
    <vt:lpwstr>609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>numerical</vt:lpwstr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