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9FC58" w14:textId="0C16F6F7" w:rsidR="00BB3B48" w:rsidRPr="00996618" w:rsidRDefault="00BB3B48">
      <w:r w:rsidRPr="00996618">
        <w:t>Supplementa</w:t>
      </w:r>
      <w:r w:rsidR="00996618" w:rsidRPr="00996618">
        <w:t>ry</w:t>
      </w:r>
      <w:r w:rsidRPr="00996618">
        <w:t xml:space="preserve"> File </w:t>
      </w:r>
      <w:r w:rsidR="00996618" w:rsidRPr="00996618">
        <w:t>3</w:t>
      </w:r>
    </w:p>
    <w:p w14:paraId="418E8D45" w14:textId="77777777" w:rsidR="00BB3B48" w:rsidRDefault="00BB3B48"/>
    <w:p w14:paraId="068AC061" w14:textId="3A588C45" w:rsidR="00FD050E" w:rsidRDefault="00D17F92">
      <w:r>
        <w:t>Placement Dimensions template</w:t>
      </w:r>
    </w:p>
    <w:p w14:paraId="67F79A8B" w14:textId="77777777" w:rsidR="00D17F92" w:rsidRDefault="00D17F92"/>
    <w:p w14:paraId="53C51A82" w14:textId="77777777" w:rsidR="00D17F92" w:rsidRPr="00884F72" w:rsidRDefault="00000000" w:rsidP="00D17F92">
      <w:pPr>
        <w:spacing w:line="480" w:lineRule="auto"/>
        <w:rPr>
          <w:rFonts w:ascii="Times New Roman" w:hAnsi="Times New Roman" w:cs="Times New Roman"/>
          <w:b w:val="0"/>
          <w:bCs w:val="0"/>
        </w:rPr>
      </w:pPr>
      <w:r>
        <w:rPr>
          <w:rFonts w:ascii="Times New Roman" w:hAnsi="Times New Roman" w:cs="Times New Roman"/>
          <w:b w:val="0"/>
          <w:noProof/>
        </w:rPr>
        <w:pict w14:anchorId="053DE597">
          <v:rect id="_x0000_i1025" alt="" style="width:451.3pt;height:.05pt;mso-width-percent:0;mso-height-percent:0;mso-width-percent:0;mso-height-percent:0" o:hralign="center" o:hrstd="t" o:hr="t" fillcolor="#a0a0a0" stroked="f"/>
        </w:pict>
      </w:r>
    </w:p>
    <w:p w14:paraId="4B96C617" w14:textId="77777777" w:rsidR="00D17F92" w:rsidRPr="009700FD" w:rsidRDefault="00D17F92" w:rsidP="00D17F92">
      <w:pPr>
        <w:tabs>
          <w:tab w:val="left" w:pos="5274"/>
        </w:tabs>
        <w:rPr>
          <w:rFonts w:cstheme="majorHAnsi"/>
          <w:b w:val="0"/>
          <w:bCs w:val="0"/>
          <w:i/>
          <w:iCs/>
          <w:color w:val="000000"/>
        </w:rPr>
      </w:pPr>
      <w:r>
        <w:rPr>
          <w:rFonts w:cstheme="majorHAnsi"/>
          <w:b w:val="0"/>
          <w:bCs w:val="0"/>
          <w:i/>
          <w:iCs/>
          <w:color w:val="000000"/>
        </w:rPr>
        <w:t xml:space="preserve">Thinking through non-traditional </w:t>
      </w:r>
      <w:r w:rsidRPr="007811C1">
        <w:rPr>
          <w:rFonts w:cstheme="majorHAnsi"/>
          <w:i/>
          <w:iCs/>
          <w:color w:val="000000"/>
        </w:rPr>
        <w:t>supervision</w:t>
      </w:r>
      <w:r>
        <w:rPr>
          <w:rFonts w:cstheme="majorHAnsi"/>
          <w:b w:val="0"/>
          <w:bCs w:val="0"/>
          <w:i/>
          <w:iCs/>
          <w:color w:val="000000"/>
        </w:rPr>
        <w:t xml:space="preserve"> structures that are </w:t>
      </w:r>
      <w:r w:rsidRPr="009700FD">
        <w:rPr>
          <w:rFonts w:cstheme="majorHAnsi"/>
          <w:b w:val="0"/>
          <w:bCs w:val="0"/>
          <w:i/>
          <w:iCs/>
          <w:color w:val="000000"/>
        </w:rPr>
        <w:t>appropriate, safe and time-efficient</w:t>
      </w:r>
      <w:r>
        <w:rPr>
          <w:rFonts w:cstheme="majorHAnsi"/>
          <w:b w:val="0"/>
          <w:bCs w:val="0"/>
          <w:i/>
          <w:iCs/>
          <w:color w:val="000000"/>
        </w:rPr>
        <w:t xml:space="preserve"> for all involved</w:t>
      </w:r>
    </w:p>
    <w:p w14:paraId="723A4A87" w14:textId="77777777" w:rsidR="00D17F92" w:rsidRPr="004C3997" w:rsidRDefault="00D17F92" w:rsidP="00D17F92">
      <w:pPr>
        <w:rPr>
          <w:rFonts w:cstheme="majorHAnsi"/>
          <w:b w:val="0"/>
          <w:bCs w:val="0"/>
        </w:rPr>
      </w:pPr>
      <w:r w:rsidRPr="004C3997">
        <w:rPr>
          <w:rFonts w:cstheme="majorHAnsi"/>
          <w:b w:val="0"/>
          <w:bCs w:val="0"/>
          <w:lang w:val="en-US"/>
        </w:rPr>
        <w:t xml:space="preserve">There are many factors which influence how placement educators might supervise their students to ensure that they deliver a quality service to their clients. In these examples, there may be different levels of supervision provided to students; for instance, a final year student will require significantly less support than a </w:t>
      </w:r>
      <w:proofErr w:type="gramStart"/>
      <w:r w:rsidRPr="004C3997">
        <w:rPr>
          <w:rFonts w:cstheme="majorHAnsi"/>
          <w:b w:val="0"/>
          <w:bCs w:val="0"/>
          <w:lang w:val="en-US"/>
        </w:rPr>
        <w:t>first year</w:t>
      </w:r>
      <w:proofErr w:type="gramEnd"/>
      <w:r w:rsidRPr="004C3997">
        <w:rPr>
          <w:rFonts w:cstheme="majorHAnsi"/>
          <w:b w:val="0"/>
          <w:bCs w:val="0"/>
          <w:lang w:val="en-US"/>
        </w:rPr>
        <w:t xml:space="preserve"> student, and this would to some extent be reflected in the way services are structured and billed for. It is assumed that these are appropriate and realistic according to the context of the population and service delivery. The ability of placement educators to measure the appropriateness of these activities are often supported by competency measures provided by the university. It is also recommended in these instances that placement educators have explained the financial implications of student-led services to NDIS participants groups, including the level of supervision students would receive, and gained the client’s consent.</w:t>
      </w:r>
      <w:r>
        <w:rPr>
          <w:rFonts w:cstheme="majorHAnsi"/>
          <w:b w:val="0"/>
          <w:bCs w:val="0"/>
          <w:lang w:val="en-US"/>
        </w:rPr>
        <w:t xml:space="preserve"> </w:t>
      </w:r>
      <w:r w:rsidRPr="009700FD">
        <w:rPr>
          <w:rFonts w:cstheme="majorHAnsi"/>
          <w:b w:val="0"/>
          <w:bCs w:val="0"/>
        </w:rPr>
        <w:t>Supervision</w:t>
      </w:r>
      <w:r w:rsidRPr="004C3997">
        <w:rPr>
          <w:rFonts w:cstheme="majorHAnsi"/>
          <w:b w:val="0"/>
          <w:bCs w:val="0"/>
        </w:rPr>
        <w:t xml:space="preserve"> options vary</w:t>
      </w:r>
      <w:r>
        <w:rPr>
          <w:rFonts w:cstheme="majorHAnsi"/>
          <w:b w:val="0"/>
          <w:bCs w:val="0"/>
        </w:rPr>
        <w:t>:</w:t>
      </w:r>
    </w:p>
    <w:p w14:paraId="414A05A5" w14:textId="77777777" w:rsidR="00D17F92" w:rsidRPr="004C3997" w:rsidRDefault="00D17F92" w:rsidP="00D17F92">
      <w:pPr>
        <w:pStyle w:val="ListParagraph"/>
        <w:numPr>
          <w:ilvl w:val="0"/>
          <w:numId w:val="4"/>
        </w:numPr>
        <w:autoSpaceDE w:val="0"/>
        <w:autoSpaceDN w:val="0"/>
        <w:adjustRightInd w:val="0"/>
        <w:spacing w:after="120" w:line="360" w:lineRule="auto"/>
        <w:rPr>
          <w:rFonts w:cstheme="majorHAnsi"/>
          <w:b w:val="0"/>
          <w:bCs w:val="0"/>
          <w:lang w:val="en-US"/>
        </w:rPr>
      </w:pPr>
      <w:r w:rsidRPr="004C3997">
        <w:rPr>
          <w:rFonts w:cstheme="majorHAnsi"/>
          <w:b w:val="0"/>
          <w:bCs w:val="0"/>
          <w:lang w:val="en-US"/>
        </w:rPr>
        <w:t xml:space="preserve">Type: </w:t>
      </w:r>
    </w:p>
    <w:p w14:paraId="4FC7544C" w14:textId="77777777" w:rsidR="00D17F92" w:rsidRPr="004C3997" w:rsidRDefault="00D17F92" w:rsidP="00D17F92">
      <w:pPr>
        <w:pStyle w:val="ListParagraph"/>
        <w:numPr>
          <w:ilvl w:val="1"/>
          <w:numId w:val="4"/>
        </w:numPr>
        <w:autoSpaceDE w:val="0"/>
        <w:autoSpaceDN w:val="0"/>
        <w:adjustRightInd w:val="0"/>
        <w:spacing w:after="120" w:line="360" w:lineRule="auto"/>
        <w:rPr>
          <w:rFonts w:cstheme="majorHAnsi"/>
          <w:b w:val="0"/>
          <w:bCs w:val="0"/>
          <w:lang w:val="en-US"/>
        </w:rPr>
      </w:pPr>
      <w:r w:rsidRPr="004C3997">
        <w:rPr>
          <w:rFonts w:cstheme="majorHAnsi"/>
          <w:b w:val="0"/>
          <w:bCs w:val="0"/>
          <w:lang w:val="en-US"/>
        </w:rPr>
        <w:t xml:space="preserve">direct supervision </w:t>
      </w:r>
      <w:proofErr w:type="gramStart"/>
      <w:r w:rsidRPr="004C3997">
        <w:rPr>
          <w:rFonts w:cstheme="majorHAnsi"/>
          <w:b w:val="0"/>
          <w:bCs w:val="0"/>
          <w:lang w:val="en-US"/>
        </w:rPr>
        <w:t>all of</w:t>
      </w:r>
      <w:proofErr w:type="gramEnd"/>
      <w:r w:rsidRPr="004C3997">
        <w:rPr>
          <w:rFonts w:cstheme="majorHAnsi"/>
          <w:b w:val="0"/>
          <w:bCs w:val="0"/>
          <w:lang w:val="en-US"/>
        </w:rPr>
        <w:t xml:space="preserve"> the time or part of the time</w:t>
      </w:r>
    </w:p>
    <w:p w14:paraId="2CF9BAC8" w14:textId="77777777" w:rsidR="00D17F92" w:rsidRPr="004C3997" w:rsidRDefault="00D17F92" w:rsidP="00D17F92">
      <w:pPr>
        <w:pStyle w:val="ListParagraph"/>
        <w:numPr>
          <w:ilvl w:val="1"/>
          <w:numId w:val="4"/>
        </w:numPr>
        <w:autoSpaceDE w:val="0"/>
        <w:autoSpaceDN w:val="0"/>
        <w:adjustRightInd w:val="0"/>
        <w:spacing w:after="120" w:line="360" w:lineRule="auto"/>
        <w:rPr>
          <w:rFonts w:cstheme="majorHAnsi"/>
          <w:b w:val="0"/>
          <w:bCs w:val="0"/>
          <w:lang w:val="en-US"/>
        </w:rPr>
      </w:pPr>
      <w:r w:rsidRPr="004C3997">
        <w:rPr>
          <w:rFonts w:cstheme="majorHAnsi"/>
          <w:b w:val="0"/>
          <w:bCs w:val="0"/>
          <w:lang w:val="en-US"/>
        </w:rPr>
        <w:t>in person or via e-supervision</w:t>
      </w:r>
    </w:p>
    <w:p w14:paraId="037F55F7" w14:textId="77777777" w:rsidR="00D17F92" w:rsidRPr="004C3997" w:rsidRDefault="00D17F92" w:rsidP="00D17F92">
      <w:pPr>
        <w:pStyle w:val="ListParagraph"/>
        <w:numPr>
          <w:ilvl w:val="1"/>
          <w:numId w:val="4"/>
        </w:numPr>
        <w:autoSpaceDE w:val="0"/>
        <w:autoSpaceDN w:val="0"/>
        <w:adjustRightInd w:val="0"/>
        <w:spacing w:after="120" w:line="360" w:lineRule="auto"/>
        <w:rPr>
          <w:rFonts w:cstheme="majorHAnsi"/>
          <w:b w:val="0"/>
          <w:bCs w:val="0"/>
          <w:lang w:val="en-US"/>
        </w:rPr>
      </w:pPr>
      <w:r w:rsidRPr="004C3997">
        <w:rPr>
          <w:rFonts w:cstheme="majorHAnsi"/>
          <w:b w:val="0"/>
          <w:bCs w:val="0"/>
          <w:lang w:val="en-US"/>
        </w:rPr>
        <w:t>indirect via briefing and debriefing</w:t>
      </w:r>
    </w:p>
    <w:p w14:paraId="471186E6" w14:textId="77777777" w:rsidR="00D17F92" w:rsidRDefault="00D17F92" w:rsidP="00D17F92">
      <w:pPr>
        <w:pStyle w:val="ListParagraph"/>
        <w:numPr>
          <w:ilvl w:val="0"/>
          <w:numId w:val="4"/>
        </w:numPr>
        <w:autoSpaceDE w:val="0"/>
        <w:autoSpaceDN w:val="0"/>
        <w:adjustRightInd w:val="0"/>
        <w:spacing w:after="120" w:line="360" w:lineRule="auto"/>
        <w:rPr>
          <w:rFonts w:cstheme="majorHAnsi"/>
          <w:b w:val="0"/>
          <w:bCs w:val="0"/>
          <w:lang w:val="en-US"/>
        </w:rPr>
      </w:pPr>
      <w:r w:rsidRPr="004C3997">
        <w:rPr>
          <w:rFonts w:cstheme="majorHAnsi"/>
          <w:b w:val="0"/>
          <w:bCs w:val="0"/>
          <w:lang w:val="en-US"/>
        </w:rPr>
        <w:t xml:space="preserve">Uni or interdisciplinary or a combination. </w:t>
      </w:r>
    </w:p>
    <w:p w14:paraId="0670F8CE" w14:textId="77777777" w:rsidR="00D17F92" w:rsidRPr="002243EE" w:rsidRDefault="00D17F92" w:rsidP="00D17F92">
      <w:pPr>
        <w:rPr>
          <w:rFonts w:cstheme="majorHAnsi"/>
          <w:b w:val="0"/>
          <w:bCs w:val="0"/>
          <w:lang w:val="en-US"/>
        </w:rPr>
      </w:pPr>
      <w:r>
        <w:rPr>
          <w:rFonts w:cstheme="majorHAnsi"/>
          <w:b w:val="0"/>
          <w:bCs w:val="0"/>
          <w:lang w:val="en-US"/>
        </w:rPr>
        <w:t xml:space="preserve">Mentoring and peer structured placements are two examples. A mentoring placement involves senior and junior roster students being scheduled for placement together, and the senior students provide some supervision of the junior students. It can include cross-discipline mentoring. A peer structured placement involves students at the same experience level working together across disciplines. As part of developing both structures, a liaison meeting between relevant service contacts and the university coordinators is advised, to discuss how the structure could be nuanced for your </w:t>
      </w:r>
      <w:proofErr w:type="gramStart"/>
      <w:r>
        <w:rPr>
          <w:rFonts w:cstheme="majorHAnsi"/>
          <w:b w:val="0"/>
          <w:bCs w:val="0"/>
          <w:lang w:val="en-US"/>
        </w:rPr>
        <w:t>particular context</w:t>
      </w:r>
      <w:proofErr w:type="gramEnd"/>
      <w:r>
        <w:rPr>
          <w:rFonts w:cstheme="majorHAnsi"/>
          <w:b w:val="0"/>
          <w:bCs w:val="0"/>
          <w:lang w:val="en-US"/>
        </w:rPr>
        <w:t xml:space="preserve">; outline roles and responsibilities of those involved; learning outcomes for students; and processes for documentation and communication (including with NDIS recipients). </w:t>
      </w:r>
    </w:p>
    <w:p w14:paraId="3705A2BF" w14:textId="77777777" w:rsidR="00D17F92" w:rsidRDefault="00000000" w:rsidP="00D17F92">
      <w:pPr>
        <w:spacing w:line="480" w:lineRule="auto"/>
        <w:rPr>
          <w:rFonts w:ascii="Times New Roman" w:hAnsi="Times New Roman" w:cs="Times New Roman"/>
          <w:b w:val="0"/>
          <w:bCs w:val="0"/>
        </w:rPr>
      </w:pPr>
      <w:r>
        <w:rPr>
          <w:rFonts w:ascii="Times New Roman" w:hAnsi="Times New Roman" w:cs="Times New Roman"/>
          <w:b w:val="0"/>
          <w:noProof/>
        </w:rPr>
        <w:pict w14:anchorId="62C5A062">
          <v:rect id="_x0000_i1026" alt="" style="width:451.3pt;height:.05pt;mso-width-percent:0;mso-height-percent:0;mso-width-percent:0;mso-height-percent:0" o:hralign="center" o:hrstd="t" o:hr="t" fillcolor="#a0a0a0" stroked="f"/>
        </w:pict>
      </w:r>
    </w:p>
    <w:p w14:paraId="6E413DCB" w14:textId="77777777" w:rsidR="00D17F92" w:rsidRPr="00BD4814" w:rsidRDefault="00D17F92" w:rsidP="00D17F92">
      <w:pPr>
        <w:rPr>
          <w:rFonts w:eastAsia="Times New Roman" w:cs="Calibri Light"/>
          <w:b w:val="0"/>
          <w:bCs w:val="0"/>
          <w:i/>
          <w:iCs/>
          <w:color w:val="000000"/>
          <w:lang w:eastAsia="zh-CN"/>
        </w:rPr>
      </w:pPr>
      <w:r w:rsidRPr="00BD4814">
        <w:rPr>
          <w:rFonts w:eastAsia="Times New Roman" w:cs="Calibri Light"/>
          <w:b w:val="0"/>
          <w:bCs w:val="0"/>
          <w:i/>
          <w:iCs/>
          <w:color w:val="000000"/>
          <w:lang w:eastAsia="zh-CN"/>
        </w:rPr>
        <w:t xml:space="preserve">Developing effective </w:t>
      </w:r>
      <w:r w:rsidRPr="00BD4814">
        <w:rPr>
          <w:rFonts w:eastAsia="Times New Roman" w:cs="Calibri Light"/>
          <w:i/>
          <w:iCs/>
          <w:color w:val="000000"/>
          <w:lang w:eastAsia="zh-CN"/>
        </w:rPr>
        <w:t>orientations</w:t>
      </w:r>
      <w:r w:rsidRPr="00BD4814">
        <w:rPr>
          <w:rFonts w:eastAsia="Times New Roman" w:cs="Calibri Light"/>
          <w:b w:val="0"/>
          <w:bCs w:val="0"/>
          <w:i/>
          <w:iCs/>
          <w:color w:val="000000"/>
          <w:lang w:eastAsia="zh-CN"/>
        </w:rPr>
        <w:t xml:space="preserve"> so students can start learning as soon as they arrive </w:t>
      </w:r>
    </w:p>
    <w:p w14:paraId="57EC8EBA" w14:textId="77777777" w:rsidR="00D17F92" w:rsidRPr="00BD4814" w:rsidRDefault="00D17F92" w:rsidP="00D17F92">
      <w:pPr>
        <w:rPr>
          <w:rFonts w:cstheme="majorHAnsi"/>
          <w:b w:val="0"/>
          <w:bCs w:val="0"/>
        </w:rPr>
      </w:pPr>
      <w:r w:rsidRPr="00BD4814">
        <w:rPr>
          <w:rFonts w:eastAsia="Times New Roman" w:cs="Calibri Light"/>
          <w:b w:val="0"/>
          <w:bCs w:val="0"/>
          <w:color w:val="000000"/>
          <w:lang w:eastAsia="zh-CN"/>
        </w:rPr>
        <w:t xml:space="preserve">University stakeholders should </w:t>
      </w:r>
      <w:r w:rsidRPr="00BD4814">
        <w:rPr>
          <w:rFonts w:cstheme="majorHAnsi"/>
          <w:b w:val="0"/>
          <w:bCs w:val="0"/>
        </w:rPr>
        <w:t xml:space="preserve">communicate clearly with you about what they expect </w:t>
      </w:r>
      <w:proofErr w:type="gramStart"/>
      <w:r w:rsidRPr="00BD4814">
        <w:rPr>
          <w:rFonts w:cstheme="majorHAnsi"/>
          <w:b w:val="0"/>
          <w:bCs w:val="0"/>
        </w:rPr>
        <w:t>with regard to</w:t>
      </w:r>
      <w:proofErr w:type="gramEnd"/>
      <w:r w:rsidRPr="00BD4814">
        <w:rPr>
          <w:rFonts w:cstheme="majorHAnsi"/>
          <w:b w:val="0"/>
          <w:bCs w:val="0"/>
        </w:rPr>
        <w:t xml:space="preserve"> supervision, teaching and assessment prior to the placement commencing – as well as what students already know. They may have access to resources for supporting student orientation. </w:t>
      </w:r>
      <w:r w:rsidRPr="00BD4814">
        <w:rPr>
          <w:rFonts w:cs="Calibri Light"/>
          <w:b w:val="0"/>
          <w:bCs w:val="0"/>
        </w:rPr>
        <w:t xml:space="preserve">The guiding principles of the NDIS have had a big impact on how services are organised and </w:t>
      </w:r>
      <w:proofErr w:type="gramStart"/>
      <w:r w:rsidRPr="00BD4814">
        <w:rPr>
          <w:rFonts w:cs="Calibri Light"/>
          <w:b w:val="0"/>
          <w:bCs w:val="0"/>
        </w:rPr>
        <w:t>delivered;</w:t>
      </w:r>
      <w:proofErr w:type="gramEnd"/>
      <w:r w:rsidRPr="00BD4814">
        <w:rPr>
          <w:rFonts w:cs="Calibri Light"/>
          <w:b w:val="0"/>
          <w:bCs w:val="0"/>
        </w:rPr>
        <w:t xml:space="preserve"> and further implications for students. These resources might be helpful for reflecting on what students need to know when they start placement: </w:t>
      </w:r>
      <w:r w:rsidRPr="00BD4814">
        <w:rPr>
          <w:rFonts w:cs="Calibri Light"/>
          <w:b w:val="0"/>
          <w:bCs w:val="0"/>
          <w:u w:val="single"/>
        </w:rPr>
        <w:t>video</w:t>
      </w:r>
      <w:r w:rsidRPr="00BD4814">
        <w:rPr>
          <w:rFonts w:cs="Calibri Light"/>
          <w:b w:val="0"/>
          <w:bCs w:val="0"/>
        </w:rPr>
        <w:t xml:space="preserve"> and </w:t>
      </w:r>
      <w:r w:rsidRPr="00BD4814">
        <w:rPr>
          <w:rFonts w:cs="Calibri Light"/>
          <w:b w:val="0"/>
          <w:bCs w:val="0"/>
          <w:u w:val="single"/>
        </w:rPr>
        <w:t>resource</w:t>
      </w:r>
      <w:r w:rsidRPr="00BD4814">
        <w:rPr>
          <w:rFonts w:cs="Calibri Light"/>
          <w:b w:val="0"/>
          <w:bCs w:val="0"/>
        </w:rPr>
        <w:t>. Within a mentoring placement, more senior or experienced students might be able to play a role in providing orientation.</w:t>
      </w:r>
    </w:p>
    <w:p w14:paraId="292C6AAF" w14:textId="77777777" w:rsidR="00D17F92" w:rsidRDefault="00000000" w:rsidP="00D17F92">
      <w:pPr>
        <w:spacing w:line="480" w:lineRule="auto"/>
        <w:rPr>
          <w:rFonts w:ascii="Times New Roman" w:hAnsi="Times New Roman" w:cs="Times New Roman"/>
          <w:b w:val="0"/>
          <w:bCs w:val="0"/>
        </w:rPr>
      </w:pPr>
      <w:r>
        <w:rPr>
          <w:rFonts w:ascii="Times New Roman" w:hAnsi="Times New Roman" w:cs="Times New Roman"/>
          <w:b w:val="0"/>
          <w:noProof/>
        </w:rPr>
        <w:lastRenderedPageBreak/>
        <w:pict w14:anchorId="5F51BF20">
          <v:rect id="_x0000_i1027" alt="" style="width:451.3pt;height:.05pt;mso-width-percent:0;mso-height-percent:0;mso-width-percent:0;mso-height-percent:0" o:hralign="center" o:hrstd="t" o:hr="t" fillcolor="#a0a0a0" stroked="f"/>
        </w:pict>
      </w:r>
    </w:p>
    <w:p w14:paraId="280591BE" w14:textId="77777777" w:rsidR="00D17F92" w:rsidRPr="00EE7B77" w:rsidRDefault="00D17F92" w:rsidP="00D17F92">
      <w:pPr>
        <w:rPr>
          <w:rFonts w:cstheme="majorHAnsi"/>
          <w:b w:val="0"/>
          <w:bCs w:val="0"/>
        </w:rPr>
      </w:pPr>
      <w:r w:rsidRPr="00EE7B77">
        <w:rPr>
          <w:rFonts w:cstheme="majorHAnsi"/>
          <w:b w:val="0"/>
          <w:bCs w:val="0"/>
        </w:rPr>
        <w:t xml:space="preserve">Successful collaboration to structure placements needs flexibility, so it is always important to communicate what your service requires or prefers </w:t>
      </w:r>
      <w:proofErr w:type="gramStart"/>
      <w:r w:rsidRPr="00EE7B77">
        <w:rPr>
          <w:rFonts w:cstheme="majorHAnsi"/>
          <w:b w:val="0"/>
          <w:bCs w:val="0"/>
        </w:rPr>
        <w:t>with regard to</w:t>
      </w:r>
      <w:proofErr w:type="gramEnd"/>
      <w:r w:rsidRPr="00EE7B77">
        <w:rPr>
          <w:rFonts w:cstheme="majorHAnsi"/>
          <w:b w:val="0"/>
          <w:bCs w:val="0"/>
        </w:rPr>
        <w:t xml:space="preserve"> </w:t>
      </w:r>
      <w:r w:rsidRPr="00966701">
        <w:rPr>
          <w:rFonts w:cstheme="majorHAnsi"/>
        </w:rPr>
        <w:t>timing and length</w:t>
      </w:r>
      <w:r w:rsidRPr="00EE7B77">
        <w:rPr>
          <w:rFonts w:cstheme="majorHAnsi"/>
          <w:b w:val="0"/>
          <w:bCs w:val="0"/>
        </w:rPr>
        <w:t xml:space="preserve"> of student placements. The way placements are structured differs across disciplines and universities. Through collaborating with university stakeholders, you can hope to develop a plan that works for your service, participants, and the students. </w:t>
      </w:r>
    </w:p>
    <w:p w14:paraId="78B4FB83" w14:textId="77777777" w:rsidR="00D17F92" w:rsidRPr="00EE7B77" w:rsidRDefault="00D17F92" w:rsidP="00D17F92">
      <w:pPr>
        <w:rPr>
          <w:rFonts w:cstheme="majorHAnsi"/>
          <w:b w:val="0"/>
          <w:bCs w:val="0"/>
        </w:rPr>
      </w:pPr>
    </w:p>
    <w:p w14:paraId="5221DA75" w14:textId="77777777" w:rsidR="00D17F92" w:rsidRPr="00EE7B77" w:rsidRDefault="00D17F92" w:rsidP="00D17F92">
      <w:pPr>
        <w:rPr>
          <w:rFonts w:cstheme="majorHAnsi"/>
          <w:b w:val="0"/>
          <w:bCs w:val="0"/>
        </w:rPr>
      </w:pPr>
      <w:r w:rsidRPr="00EE7B77">
        <w:rPr>
          <w:rFonts w:cstheme="majorHAnsi"/>
          <w:b w:val="0"/>
          <w:bCs w:val="0"/>
        </w:rPr>
        <w:t xml:space="preserve">Placement options do vary. There are different types: </w:t>
      </w:r>
    </w:p>
    <w:p w14:paraId="77C69CBB" w14:textId="77777777" w:rsidR="00D17F92" w:rsidRPr="00EE7B77" w:rsidRDefault="00D17F92" w:rsidP="00D17F92">
      <w:pPr>
        <w:pStyle w:val="ListParagraph"/>
        <w:numPr>
          <w:ilvl w:val="0"/>
          <w:numId w:val="5"/>
        </w:numPr>
        <w:autoSpaceDE w:val="0"/>
        <w:autoSpaceDN w:val="0"/>
        <w:adjustRightInd w:val="0"/>
        <w:spacing w:after="120" w:line="360" w:lineRule="auto"/>
        <w:rPr>
          <w:rFonts w:cstheme="majorHAnsi"/>
          <w:b w:val="0"/>
          <w:bCs w:val="0"/>
        </w:rPr>
      </w:pPr>
      <w:r w:rsidRPr="00EE7B77">
        <w:rPr>
          <w:rFonts w:cstheme="majorHAnsi"/>
          <w:b w:val="0"/>
          <w:bCs w:val="0"/>
        </w:rPr>
        <w:t>Professional experience</w:t>
      </w:r>
    </w:p>
    <w:p w14:paraId="1977B729" w14:textId="77777777" w:rsidR="00D17F92" w:rsidRPr="00EE7B77" w:rsidRDefault="00D17F92" w:rsidP="00D17F92">
      <w:pPr>
        <w:pStyle w:val="ListParagraph"/>
        <w:numPr>
          <w:ilvl w:val="0"/>
          <w:numId w:val="5"/>
        </w:numPr>
        <w:autoSpaceDE w:val="0"/>
        <w:autoSpaceDN w:val="0"/>
        <w:adjustRightInd w:val="0"/>
        <w:spacing w:after="120" w:line="360" w:lineRule="auto"/>
        <w:rPr>
          <w:rFonts w:cstheme="majorHAnsi"/>
          <w:b w:val="0"/>
          <w:bCs w:val="0"/>
        </w:rPr>
      </w:pPr>
      <w:r w:rsidRPr="00EE7B77">
        <w:rPr>
          <w:rFonts w:cstheme="majorHAnsi"/>
          <w:b w:val="0"/>
          <w:bCs w:val="0"/>
        </w:rPr>
        <w:t>Observation</w:t>
      </w:r>
    </w:p>
    <w:p w14:paraId="20BA51E0" w14:textId="77777777" w:rsidR="00D17F92" w:rsidRPr="00EE7B77" w:rsidRDefault="00D17F92" w:rsidP="00D17F92">
      <w:pPr>
        <w:pStyle w:val="ListParagraph"/>
        <w:numPr>
          <w:ilvl w:val="0"/>
          <w:numId w:val="5"/>
        </w:numPr>
        <w:autoSpaceDE w:val="0"/>
        <w:autoSpaceDN w:val="0"/>
        <w:adjustRightInd w:val="0"/>
        <w:spacing w:after="120" w:line="360" w:lineRule="auto"/>
        <w:rPr>
          <w:rFonts w:cstheme="majorHAnsi"/>
          <w:b w:val="0"/>
          <w:bCs w:val="0"/>
        </w:rPr>
      </w:pPr>
      <w:r w:rsidRPr="00EE7B77">
        <w:rPr>
          <w:rFonts w:cstheme="majorHAnsi"/>
          <w:b w:val="0"/>
          <w:bCs w:val="0"/>
        </w:rPr>
        <w:t>Quality improvement</w:t>
      </w:r>
    </w:p>
    <w:p w14:paraId="26E3B7C6" w14:textId="77777777" w:rsidR="00D17F92" w:rsidRPr="00EE7B77" w:rsidRDefault="00D17F92" w:rsidP="00D17F92">
      <w:pPr>
        <w:pStyle w:val="ListParagraph"/>
        <w:numPr>
          <w:ilvl w:val="0"/>
          <w:numId w:val="5"/>
        </w:numPr>
        <w:autoSpaceDE w:val="0"/>
        <w:autoSpaceDN w:val="0"/>
        <w:adjustRightInd w:val="0"/>
        <w:spacing w:after="120" w:line="360" w:lineRule="auto"/>
        <w:rPr>
          <w:rFonts w:cstheme="majorHAnsi"/>
          <w:b w:val="0"/>
          <w:bCs w:val="0"/>
        </w:rPr>
      </w:pPr>
      <w:r w:rsidRPr="00EE7B77">
        <w:rPr>
          <w:rFonts w:cstheme="majorHAnsi"/>
          <w:b w:val="0"/>
          <w:bCs w:val="0"/>
        </w:rPr>
        <w:t>Projects</w:t>
      </w:r>
    </w:p>
    <w:p w14:paraId="090DDFA7" w14:textId="77777777" w:rsidR="00D17F92" w:rsidRPr="00EE7B77" w:rsidRDefault="00D17F92" w:rsidP="00D17F92">
      <w:pPr>
        <w:pStyle w:val="ListParagraph"/>
        <w:numPr>
          <w:ilvl w:val="0"/>
          <w:numId w:val="5"/>
        </w:numPr>
        <w:autoSpaceDE w:val="0"/>
        <w:autoSpaceDN w:val="0"/>
        <w:adjustRightInd w:val="0"/>
        <w:spacing w:after="120" w:line="360" w:lineRule="auto"/>
        <w:rPr>
          <w:rFonts w:cstheme="majorHAnsi"/>
          <w:b w:val="0"/>
          <w:bCs w:val="0"/>
        </w:rPr>
      </w:pPr>
      <w:r w:rsidRPr="00EE7B77">
        <w:rPr>
          <w:rFonts w:cstheme="majorHAnsi"/>
          <w:b w:val="0"/>
          <w:bCs w:val="0"/>
        </w:rPr>
        <w:t>Research</w:t>
      </w:r>
    </w:p>
    <w:p w14:paraId="7449D066" w14:textId="77777777" w:rsidR="00D17F92" w:rsidRPr="00EE7B77" w:rsidRDefault="00D17F92" w:rsidP="00D17F92">
      <w:pPr>
        <w:rPr>
          <w:rFonts w:cstheme="majorHAnsi"/>
          <w:b w:val="0"/>
          <w:bCs w:val="0"/>
        </w:rPr>
      </w:pPr>
    </w:p>
    <w:p w14:paraId="4ECCC4E0" w14:textId="77777777" w:rsidR="00D17F92" w:rsidRPr="00EE7B77" w:rsidRDefault="00D17F92" w:rsidP="00D17F92">
      <w:pPr>
        <w:rPr>
          <w:rFonts w:cstheme="majorHAnsi"/>
          <w:b w:val="0"/>
          <w:bCs w:val="0"/>
        </w:rPr>
      </w:pPr>
      <w:proofErr w:type="gramStart"/>
      <w:r w:rsidRPr="00EE7B77">
        <w:rPr>
          <w:rFonts w:cstheme="majorHAnsi"/>
          <w:b w:val="0"/>
          <w:bCs w:val="0"/>
        </w:rPr>
        <w:t>And,</w:t>
      </w:r>
      <w:proofErr w:type="gramEnd"/>
      <w:r w:rsidRPr="00EE7B77">
        <w:rPr>
          <w:rFonts w:cstheme="majorHAnsi"/>
          <w:b w:val="0"/>
          <w:bCs w:val="0"/>
        </w:rPr>
        <w:t xml:space="preserve"> there are also different timing/s: </w:t>
      </w:r>
    </w:p>
    <w:p w14:paraId="20A9ADE7" w14:textId="77777777" w:rsidR="00D17F92" w:rsidRPr="00EE7B77" w:rsidRDefault="00D17F92" w:rsidP="00D17F92">
      <w:pPr>
        <w:pStyle w:val="ListParagraph"/>
        <w:numPr>
          <w:ilvl w:val="0"/>
          <w:numId w:val="5"/>
        </w:numPr>
        <w:autoSpaceDE w:val="0"/>
        <w:autoSpaceDN w:val="0"/>
        <w:adjustRightInd w:val="0"/>
        <w:spacing w:after="120" w:line="360" w:lineRule="auto"/>
        <w:rPr>
          <w:rFonts w:cstheme="majorHAnsi"/>
          <w:b w:val="0"/>
          <w:bCs w:val="0"/>
        </w:rPr>
      </w:pPr>
      <w:r w:rsidRPr="00EE7B77">
        <w:rPr>
          <w:rFonts w:cstheme="majorHAnsi"/>
          <w:b w:val="0"/>
          <w:bCs w:val="0"/>
        </w:rPr>
        <w:t>Intensity: 1 to 5 days per week</w:t>
      </w:r>
    </w:p>
    <w:p w14:paraId="2881394E" w14:textId="77777777" w:rsidR="00D17F92" w:rsidRPr="00EE7B77" w:rsidRDefault="00D17F92" w:rsidP="00D17F92">
      <w:pPr>
        <w:pStyle w:val="ListParagraph"/>
        <w:numPr>
          <w:ilvl w:val="0"/>
          <w:numId w:val="5"/>
        </w:numPr>
        <w:autoSpaceDE w:val="0"/>
        <w:autoSpaceDN w:val="0"/>
        <w:adjustRightInd w:val="0"/>
        <w:spacing w:after="120" w:line="360" w:lineRule="auto"/>
        <w:rPr>
          <w:rFonts w:cstheme="majorHAnsi"/>
          <w:b w:val="0"/>
          <w:bCs w:val="0"/>
        </w:rPr>
      </w:pPr>
      <w:r w:rsidRPr="00EE7B77">
        <w:rPr>
          <w:rFonts w:cstheme="majorHAnsi"/>
          <w:b w:val="0"/>
          <w:bCs w:val="0"/>
        </w:rPr>
        <w:t>Length: anything from one week to 20 weeks or more</w:t>
      </w:r>
    </w:p>
    <w:p w14:paraId="00803CA2" w14:textId="77777777" w:rsidR="00D17F92" w:rsidRPr="00EE7B77" w:rsidRDefault="00D17F92" w:rsidP="00D17F92">
      <w:pPr>
        <w:pStyle w:val="ListParagraph"/>
        <w:numPr>
          <w:ilvl w:val="0"/>
          <w:numId w:val="5"/>
        </w:numPr>
        <w:autoSpaceDE w:val="0"/>
        <w:autoSpaceDN w:val="0"/>
        <w:adjustRightInd w:val="0"/>
        <w:spacing w:after="120" w:line="360" w:lineRule="auto"/>
        <w:rPr>
          <w:rFonts w:cstheme="majorHAnsi"/>
          <w:b w:val="0"/>
          <w:bCs w:val="0"/>
        </w:rPr>
      </w:pPr>
      <w:r w:rsidRPr="00EE7B77">
        <w:rPr>
          <w:rFonts w:cstheme="majorHAnsi"/>
          <w:b w:val="0"/>
          <w:bCs w:val="0"/>
        </w:rPr>
        <w:t>Calendar: in, out of, or across university semesters</w:t>
      </w:r>
    </w:p>
    <w:p w14:paraId="52A2B76A" w14:textId="77777777" w:rsidR="00D17F92" w:rsidRDefault="00D17F92" w:rsidP="00D17F92">
      <w:pPr>
        <w:pStyle w:val="ListParagraph"/>
        <w:numPr>
          <w:ilvl w:val="0"/>
          <w:numId w:val="5"/>
        </w:numPr>
        <w:autoSpaceDE w:val="0"/>
        <w:autoSpaceDN w:val="0"/>
        <w:adjustRightInd w:val="0"/>
        <w:spacing w:after="120" w:line="360" w:lineRule="auto"/>
        <w:rPr>
          <w:rFonts w:cstheme="majorHAnsi"/>
          <w:b w:val="0"/>
          <w:bCs w:val="0"/>
        </w:rPr>
      </w:pPr>
      <w:r w:rsidRPr="00EE7B77">
        <w:rPr>
          <w:rFonts w:cstheme="majorHAnsi"/>
          <w:b w:val="0"/>
          <w:bCs w:val="0"/>
        </w:rPr>
        <w:t xml:space="preserve">Day: inside or out of 9-5. This can be negotiated with students at the start of the </w:t>
      </w:r>
      <w:proofErr w:type="gramStart"/>
      <w:r w:rsidRPr="00EE7B77">
        <w:rPr>
          <w:rFonts w:cstheme="majorHAnsi"/>
          <w:b w:val="0"/>
          <w:bCs w:val="0"/>
        </w:rPr>
        <w:t>placement, and</w:t>
      </w:r>
      <w:proofErr w:type="gramEnd"/>
      <w:r w:rsidRPr="00EE7B77">
        <w:rPr>
          <w:rFonts w:cstheme="majorHAnsi"/>
          <w:b w:val="0"/>
          <w:bCs w:val="0"/>
        </w:rPr>
        <w:t xml:space="preserve"> can go a long way in making sure that the services students are involved with match the needs of NDIS participants. </w:t>
      </w:r>
    </w:p>
    <w:p w14:paraId="47634FED" w14:textId="77777777" w:rsidR="00D17F92" w:rsidRDefault="00D17F92" w:rsidP="00D17F92">
      <w:pPr>
        <w:rPr>
          <w:rFonts w:eastAsiaTheme="majorEastAsia" w:cstheme="majorBidi"/>
          <w:b w:val="0"/>
          <w:bCs w:val="0"/>
        </w:rPr>
      </w:pPr>
    </w:p>
    <w:p w14:paraId="47FE040D" w14:textId="77777777" w:rsidR="00D17F92" w:rsidRPr="00D56812" w:rsidRDefault="00D17F92" w:rsidP="00D17F92">
      <w:pPr>
        <w:rPr>
          <w:rFonts w:cstheme="majorHAnsi"/>
          <w:b w:val="0"/>
          <w:bCs w:val="0"/>
        </w:rPr>
      </w:pPr>
      <w:r w:rsidRPr="00D56812">
        <w:rPr>
          <w:rFonts w:eastAsiaTheme="majorEastAsia" w:cstheme="majorBidi"/>
          <w:b w:val="0"/>
          <w:bCs w:val="0"/>
        </w:rPr>
        <w:t xml:space="preserve">The </w:t>
      </w:r>
      <w:r w:rsidRPr="00BD4814">
        <w:rPr>
          <w:rFonts w:eastAsiaTheme="majorEastAsia" w:cstheme="majorBidi"/>
        </w:rPr>
        <w:t>learning stage</w:t>
      </w:r>
      <w:r w:rsidRPr="00D56812">
        <w:rPr>
          <w:rFonts w:eastAsiaTheme="majorEastAsia" w:cstheme="majorBidi"/>
          <w:b w:val="0"/>
          <w:bCs w:val="0"/>
        </w:rPr>
        <w:t xml:space="preserve"> of the student (i.e. year level and placement number) can have an impact on different elements of the timing, for example intensity or length. Some of these requirements might be non-negotiable, and this information can be gained from the placement liaison at the university. It is highly likely there will be an option that will work for what you have in mind where students may be able to help you create, trial or deliver desired NDIS services. For a </w:t>
      </w:r>
      <w:proofErr w:type="gramStart"/>
      <w:r w:rsidRPr="00D56812">
        <w:rPr>
          <w:rFonts w:eastAsiaTheme="majorEastAsia" w:cstheme="majorBidi"/>
          <w:b w:val="0"/>
          <w:bCs w:val="0"/>
        </w:rPr>
        <w:t>full time</w:t>
      </w:r>
      <w:proofErr w:type="gramEnd"/>
      <w:r w:rsidRPr="00D56812">
        <w:rPr>
          <w:rFonts w:eastAsiaTheme="majorEastAsia" w:cstheme="majorBidi"/>
          <w:b w:val="0"/>
          <w:bCs w:val="0"/>
        </w:rPr>
        <w:t xml:space="preserve"> placement block, you could even share students with another service provider</w:t>
      </w:r>
      <w:r>
        <w:rPr>
          <w:rFonts w:eastAsiaTheme="majorEastAsia" w:cstheme="majorBidi"/>
          <w:b w:val="0"/>
          <w:bCs w:val="0"/>
        </w:rPr>
        <w:t xml:space="preserve">; or, you could structure in a clinic supported by students and negotiate to have a consistent stream of students. </w:t>
      </w:r>
    </w:p>
    <w:p w14:paraId="76EE2F1A" w14:textId="77777777" w:rsidR="00D17F92" w:rsidRDefault="00000000" w:rsidP="00D17F92">
      <w:pPr>
        <w:spacing w:line="480" w:lineRule="auto"/>
        <w:rPr>
          <w:rFonts w:ascii="Times New Roman" w:hAnsi="Times New Roman" w:cs="Times New Roman"/>
          <w:b w:val="0"/>
          <w:bCs w:val="0"/>
        </w:rPr>
      </w:pPr>
      <w:r>
        <w:rPr>
          <w:rFonts w:ascii="Times New Roman" w:hAnsi="Times New Roman" w:cs="Times New Roman"/>
          <w:b w:val="0"/>
          <w:noProof/>
        </w:rPr>
        <w:pict w14:anchorId="4425CD26">
          <v:rect id="_x0000_i1028" alt="" style="width:451.3pt;height:.05pt;mso-width-percent:0;mso-height-percent:0;mso-width-percent:0;mso-height-percent:0" o:hralign="center" o:hrstd="t" o:hr="t" fillcolor="#a0a0a0" stroked="f"/>
        </w:pict>
      </w:r>
    </w:p>
    <w:p w14:paraId="2A91E41E" w14:textId="77777777" w:rsidR="00D17F92" w:rsidRPr="00EE7B77" w:rsidRDefault="00D17F92" w:rsidP="00D17F92">
      <w:pPr>
        <w:rPr>
          <w:rFonts w:cstheme="majorHAnsi"/>
          <w:b w:val="0"/>
          <w:bCs w:val="0"/>
        </w:rPr>
      </w:pPr>
      <w:r w:rsidRPr="00EE7B77">
        <w:rPr>
          <w:rFonts w:cstheme="majorHAnsi"/>
          <w:b w:val="0"/>
          <w:bCs w:val="0"/>
          <w:color w:val="000000" w:themeColor="text1"/>
          <w:lang w:val="en-US"/>
        </w:rPr>
        <w:t xml:space="preserve">The </w:t>
      </w:r>
      <w:r w:rsidRPr="00F93E5E">
        <w:rPr>
          <w:rFonts w:cstheme="majorHAnsi"/>
          <w:color w:val="000000" w:themeColor="text1"/>
          <w:lang w:val="en-US"/>
        </w:rPr>
        <w:t>setting/s</w:t>
      </w:r>
      <w:r w:rsidRPr="00EE7B77">
        <w:rPr>
          <w:rFonts w:cstheme="majorHAnsi"/>
          <w:b w:val="0"/>
          <w:bCs w:val="0"/>
          <w:color w:val="000000" w:themeColor="text1"/>
          <w:lang w:val="en-US"/>
        </w:rPr>
        <w:t xml:space="preserve"> in which services are provided are unique to each provider, and often, to each participant. </w:t>
      </w:r>
      <w:r w:rsidRPr="00EE7B77">
        <w:rPr>
          <w:rFonts w:cstheme="majorHAnsi"/>
          <w:b w:val="0"/>
          <w:bCs w:val="0"/>
        </w:rPr>
        <w:t>Allied health students are bright, capable and highly motivated. They can be an amazing and valuable resource for your service and NDIS participants.</w:t>
      </w:r>
    </w:p>
    <w:p w14:paraId="39E92D7D" w14:textId="77777777" w:rsidR="00D17F92" w:rsidRPr="00EE7B77" w:rsidRDefault="00D17F92" w:rsidP="00D17F92">
      <w:pPr>
        <w:rPr>
          <w:rFonts w:cstheme="majorHAnsi"/>
          <w:b w:val="0"/>
          <w:bCs w:val="0"/>
        </w:rPr>
      </w:pPr>
    </w:p>
    <w:p w14:paraId="4182DF0A" w14:textId="77777777" w:rsidR="00D17F92" w:rsidRPr="00EE7B77" w:rsidRDefault="00D17F92" w:rsidP="00D17F92">
      <w:pPr>
        <w:rPr>
          <w:rFonts w:cstheme="majorHAnsi"/>
          <w:b w:val="0"/>
          <w:bCs w:val="0"/>
        </w:rPr>
      </w:pPr>
      <w:r w:rsidRPr="00EE7B77">
        <w:rPr>
          <w:rFonts w:cstheme="majorHAnsi"/>
          <w:b w:val="0"/>
          <w:bCs w:val="0"/>
        </w:rPr>
        <w:t>Explore the options</w:t>
      </w:r>
      <w:r>
        <w:rPr>
          <w:rFonts w:cstheme="majorHAnsi"/>
          <w:b w:val="0"/>
          <w:bCs w:val="0"/>
        </w:rPr>
        <w:t>:</w:t>
      </w:r>
      <w:r w:rsidRPr="00EE7B77">
        <w:rPr>
          <w:rFonts w:cstheme="majorHAnsi"/>
          <w:b w:val="0"/>
          <w:bCs w:val="0"/>
        </w:rPr>
        <w:t xml:space="preserve"> </w:t>
      </w:r>
    </w:p>
    <w:p w14:paraId="54B3592D" w14:textId="77777777" w:rsidR="00D17F92" w:rsidRPr="00EE7B77" w:rsidRDefault="00D17F92" w:rsidP="00D17F92">
      <w:pPr>
        <w:pStyle w:val="ListParagraph"/>
        <w:numPr>
          <w:ilvl w:val="0"/>
          <w:numId w:val="1"/>
        </w:numPr>
        <w:autoSpaceDE w:val="0"/>
        <w:autoSpaceDN w:val="0"/>
        <w:adjustRightInd w:val="0"/>
        <w:spacing w:after="120" w:line="360" w:lineRule="auto"/>
        <w:rPr>
          <w:rFonts w:cstheme="majorHAnsi"/>
          <w:b w:val="0"/>
          <w:bCs w:val="0"/>
        </w:rPr>
      </w:pPr>
      <w:r w:rsidRPr="00EE7B77">
        <w:rPr>
          <w:rFonts w:cstheme="majorHAnsi"/>
          <w:b w:val="0"/>
          <w:bCs w:val="0"/>
        </w:rPr>
        <w:t>What would make a difference to the people you provide services to?</w:t>
      </w:r>
    </w:p>
    <w:p w14:paraId="7F70E551" w14:textId="77777777" w:rsidR="00D17F92" w:rsidRPr="00EE7B77" w:rsidRDefault="00D17F92" w:rsidP="00D17F92">
      <w:pPr>
        <w:pStyle w:val="ListParagraph"/>
        <w:numPr>
          <w:ilvl w:val="0"/>
          <w:numId w:val="1"/>
        </w:numPr>
        <w:autoSpaceDE w:val="0"/>
        <w:autoSpaceDN w:val="0"/>
        <w:adjustRightInd w:val="0"/>
        <w:spacing w:after="120" w:line="360" w:lineRule="auto"/>
        <w:rPr>
          <w:rFonts w:cstheme="majorHAnsi"/>
          <w:b w:val="0"/>
          <w:bCs w:val="0"/>
        </w:rPr>
      </w:pPr>
      <w:r w:rsidRPr="00EE7B77">
        <w:rPr>
          <w:rFonts w:cstheme="majorHAnsi"/>
          <w:b w:val="0"/>
          <w:bCs w:val="0"/>
        </w:rPr>
        <w:t>How would you like your services to be different?</w:t>
      </w:r>
    </w:p>
    <w:p w14:paraId="291A49B1" w14:textId="77777777" w:rsidR="00D17F92" w:rsidRPr="00EE7B77" w:rsidRDefault="00D17F92" w:rsidP="00D17F92">
      <w:pPr>
        <w:pStyle w:val="ListParagraph"/>
        <w:numPr>
          <w:ilvl w:val="0"/>
          <w:numId w:val="1"/>
        </w:numPr>
        <w:autoSpaceDE w:val="0"/>
        <w:autoSpaceDN w:val="0"/>
        <w:adjustRightInd w:val="0"/>
        <w:spacing w:after="120" w:line="360" w:lineRule="auto"/>
        <w:rPr>
          <w:rFonts w:cstheme="majorHAnsi"/>
          <w:b w:val="0"/>
          <w:bCs w:val="0"/>
        </w:rPr>
      </w:pPr>
      <w:r w:rsidRPr="00EE7B77">
        <w:rPr>
          <w:rFonts w:cstheme="majorHAnsi"/>
          <w:b w:val="0"/>
          <w:bCs w:val="0"/>
        </w:rPr>
        <w:lastRenderedPageBreak/>
        <w:t>What do you wish you could offer but currently can’t?</w:t>
      </w:r>
    </w:p>
    <w:p w14:paraId="7089C91D" w14:textId="77777777" w:rsidR="00D17F92" w:rsidRPr="00EE7B77" w:rsidRDefault="00D17F92" w:rsidP="00D17F92">
      <w:pPr>
        <w:pStyle w:val="ListParagraph"/>
        <w:numPr>
          <w:ilvl w:val="0"/>
          <w:numId w:val="1"/>
        </w:numPr>
        <w:autoSpaceDE w:val="0"/>
        <w:autoSpaceDN w:val="0"/>
        <w:adjustRightInd w:val="0"/>
        <w:spacing w:after="120" w:line="360" w:lineRule="auto"/>
        <w:rPr>
          <w:rFonts w:cstheme="majorHAnsi"/>
          <w:b w:val="0"/>
          <w:bCs w:val="0"/>
        </w:rPr>
      </w:pPr>
      <w:r w:rsidRPr="00EE7B77">
        <w:rPr>
          <w:rFonts w:cstheme="majorHAnsi"/>
          <w:b w:val="0"/>
          <w:bCs w:val="0"/>
        </w:rPr>
        <w:t>How would you like to make your service participants’ experience better?</w:t>
      </w:r>
    </w:p>
    <w:p w14:paraId="70F5581D" w14:textId="77777777" w:rsidR="00D17F92" w:rsidRDefault="00D17F92" w:rsidP="00D17F92">
      <w:pPr>
        <w:pStyle w:val="ListParagraph"/>
        <w:numPr>
          <w:ilvl w:val="0"/>
          <w:numId w:val="1"/>
        </w:numPr>
        <w:autoSpaceDE w:val="0"/>
        <w:autoSpaceDN w:val="0"/>
        <w:adjustRightInd w:val="0"/>
        <w:spacing w:after="120" w:line="360" w:lineRule="auto"/>
        <w:rPr>
          <w:rFonts w:cstheme="majorHAnsi"/>
          <w:b w:val="0"/>
          <w:bCs w:val="0"/>
        </w:rPr>
      </w:pPr>
      <w:r w:rsidRPr="00EE7B77">
        <w:rPr>
          <w:rFonts w:cstheme="majorHAnsi"/>
          <w:b w:val="0"/>
          <w:bCs w:val="0"/>
        </w:rPr>
        <w:t>What would improve outcomes for your service participants?</w:t>
      </w:r>
    </w:p>
    <w:p w14:paraId="0F425709" w14:textId="77777777" w:rsidR="00D17F92" w:rsidRPr="00EE7B77" w:rsidRDefault="00D17F92" w:rsidP="00D17F92">
      <w:pPr>
        <w:pStyle w:val="ListParagraph"/>
        <w:numPr>
          <w:ilvl w:val="0"/>
          <w:numId w:val="1"/>
        </w:numPr>
        <w:autoSpaceDE w:val="0"/>
        <w:autoSpaceDN w:val="0"/>
        <w:adjustRightInd w:val="0"/>
        <w:spacing w:after="120" w:line="360" w:lineRule="auto"/>
        <w:rPr>
          <w:rFonts w:cstheme="majorHAnsi"/>
          <w:b w:val="0"/>
          <w:bCs w:val="0"/>
        </w:rPr>
      </w:pPr>
      <w:r>
        <w:rPr>
          <w:rFonts w:cstheme="majorHAnsi"/>
          <w:b w:val="0"/>
          <w:bCs w:val="0"/>
        </w:rPr>
        <w:t>Could travel time be used more effectively when students are involved; for debrief, reflection, orientation or discussion of new ideas that might work for existing clients?</w:t>
      </w:r>
    </w:p>
    <w:p w14:paraId="7F11A98A" w14:textId="77777777" w:rsidR="00D17F92" w:rsidRPr="00EE7B77" w:rsidRDefault="00D17F92" w:rsidP="00D17F92">
      <w:pPr>
        <w:rPr>
          <w:rFonts w:cstheme="majorHAnsi"/>
          <w:b w:val="0"/>
          <w:bCs w:val="0"/>
        </w:rPr>
      </w:pPr>
    </w:p>
    <w:p w14:paraId="63A218F4" w14:textId="77777777" w:rsidR="00D17F92" w:rsidRPr="00EE7B77" w:rsidRDefault="00D17F92" w:rsidP="00D17F92">
      <w:pPr>
        <w:rPr>
          <w:rFonts w:cstheme="majorHAnsi"/>
          <w:b w:val="0"/>
          <w:bCs w:val="0"/>
        </w:rPr>
      </w:pPr>
      <w:r w:rsidRPr="00EE7B77">
        <w:rPr>
          <w:rFonts w:cstheme="majorHAnsi"/>
          <w:b w:val="0"/>
          <w:bCs w:val="0"/>
        </w:rPr>
        <w:t>Students can</w:t>
      </w:r>
      <w:r>
        <w:rPr>
          <w:rFonts w:cstheme="majorHAnsi"/>
          <w:b w:val="0"/>
          <w:bCs w:val="0"/>
        </w:rPr>
        <w:t>:</w:t>
      </w:r>
    </w:p>
    <w:p w14:paraId="5CA4325D" w14:textId="77777777" w:rsidR="00D17F92" w:rsidRPr="00EE7B77" w:rsidRDefault="00D17F92" w:rsidP="00D17F92">
      <w:pPr>
        <w:pStyle w:val="ListParagraph"/>
        <w:numPr>
          <w:ilvl w:val="0"/>
          <w:numId w:val="2"/>
        </w:numPr>
        <w:autoSpaceDE w:val="0"/>
        <w:autoSpaceDN w:val="0"/>
        <w:adjustRightInd w:val="0"/>
        <w:spacing w:after="120" w:line="360" w:lineRule="auto"/>
        <w:rPr>
          <w:rFonts w:cstheme="majorHAnsi"/>
          <w:b w:val="0"/>
          <w:bCs w:val="0"/>
        </w:rPr>
      </w:pPr>
      <w:r w:rsidRPr="00EE7B77">
        <w:rPr>
          <w:rFonts w:cstheme="majorHAnsi"/>
          <w:b w:val="0"/>
          <w:bCs w:val="0"/>
        </w:rPr>
        <w:t>Be available when participants need the service – not just 9 to 5 or during semesters</w:t>
      </w:r>
    </w:p>
    <w:p w14:paraId="222CFEF1" w14:textId="77777777" w:rsidR="00D17F92" w:rsidRPr="00EE7B77" w:rsidRDefault="00D17F92" w:rsidP="00D17F92">
      <w:pPr>
        <w:pStyle w:val="ListParagraph"/>
        <w:numPr>
          <w:ilvl w:val="0"/>
          <w:numId w:val="2"/>
        </w:numPr>
        <w:autoSpaceDE w:val="0"/>
        <w:autoSpaceDN w:val="0"/>
        <w:adjustRightInd w:val="0"/>
        <w:spacing w:after="120" w:line="360" w:lineRule="auto"/>
        <w:rPr>
          <w:rFonts w:cstheme="majorHAnsi"/>
          <w:b w:val="0"/>
          <w:bCs w:val="0"/>
        </w:rPr>
      </w:pPr>
      <w:r w:rsidRPr="00EE7B77">
        <w:rPr>
          <w:rFonts w:cstheme="majorHAnsi"/>
          <w:b w:val="0"/>
          <w:bCs w:val="0"/>
        </w:rPr>
        <w:t>Be available where the participants need the service – not just in an office</w:t>
      </w:r>
    </w:p>
    <w:p w14:paraId="333D1F45" w14:textId="77777777" w:rsidR="00D17F92" w:rsidRPr="00EE7B77" w:rsidRDefault="00D17F92" w:rsidP="00D17F92">
      <w:pPr>
        <w:pStyle w:val="ListParagraph"/>
        <w:numPr>
          <w:ilvl w:val="0"/>
          <w:numId w:val="2"/>
        </w:numPr>
        <w:autoSpaceDE w:val="0"/>
        <w:autoSpaceDN w:val="0"/>
        <w:adjustRightInd w:val="0"/>
        <w:spacing w:after="120" w:line="360" w:lineRule="auto"/>
        <w:rPr>
          <w:rFonts w:cstheme="majorHAnsi"/>
          <w:b w:val="0"/>
          <w:bCs w:val="0"/>
        </w:rPr>
      </w:pPr>
      <w:r w:rsidRPr="00EE7B77">
        <w:rPr>
          <w:rFonts w:cstheme="majorHAnsi"/>
          <w:b w:val="0"/>
          <w:bCs w:val="0"/>
        </w:rPr>
        <w:t>Create, trial and/or evaluate service solutions</w:t>
      </w:r>
    </w:p>
    <w:p w14:paraId="4AE56AFD" w14:textId="77777777" w:rsidR="00D17F92" w:rsidRPr="00EE7B77" w:rsidRDefault="00D17F92" w:rsidP="00D17F92">
      <w:pPr>
        <w:ind w:left="360"/>
        <w:rPr>
          <w:rFonts w:cstheme="majorHAnsi"/>
          <w:b w:val="0"/>
          <w:bCs w:val="0"/>
        </w:rPr>
      </w:pPr>
    </w:p>
    <w:p w14:paraId="5E464C57" w14:textId="77777777" w:rsidR="00D17F92" w:rsidRPr="00EE7B77" w:rsidRDefault="00D17F92" w:rsidP="00D17F92">
      <w:pPr>
        <w:rPr>
          <w:rFonts w:cstheme="majorHAnsi"/>
          <w:b w:val="0"/>
          <w:bCs w:val="0"/>
          <w:color w:val="000000"/>
        </w:rPr>
      </w:pPr>
      <w:r>
        <w:rPr>
          <w:rFonts w:cstheme="majorHAnsi"/>
          <w:b w:val="0"/>
          <w:bCs w:val="0"/>
        </w:rPr>
        <w:t>They can</w:t>
      </w:r>
      <w:r w:rsidRPr="00EE7B77">
        <w:rPr>
          <w:rFonts w:cstheme="majorHAnsi"/>
          <w:b w:val="0"/>
          <w:bCs w:val="0"/>
        </w:rPr>
        <w:t xml:space="preserve"> assist with</w:t>
      </w:r>
      <w:r>
        <w:rPr>
          <w:rFonts w:cstheme="majorHAnsi"/>
          <w:b w:val="0"/>
          <w:bCs w:val="0"/>
        </w:rPr>
        <w:t>:</w:t>
      </w:r>
    </w:p>
    <w:p w14:paraId="49EB9D0A" w14:textId="77777777" w:rsidR="00D17F92" w:rsidRPr="00EE7B77" w:rsidRDefault="00D17F92" w:rsidP="00D17F92">
      <w:pPr>
        <w:pStyle w:val="ListParagraph"/>
        <w:numPr>
          <w:ilvl w:val="0"/>
          <w:numId w:val="3"/>
        </w:numPr>
        <w:autoSpaceDE w:val="0"/>
        <w:autoSpaceDN w:val="0"/>
        <w:adjustRightInd w:val="0"/>
        <w:spacing w:after="120" w:line="360" w:lineRule="auto"/>
        <w:rPr>
          <w:rFonts w:cstheme="majorHAnsi"/>
          <w:b w:val="0"/>
          <w:bCs w:val="0"/>
        </w:rPr>
      </w:pPr>
      <w:r w:rsidRPr="00EE7B77">
        <w:rPr>
          <w:rFonts w:cstheme="majorHAnsi"/>
          <w:b w:val="0"/>
          <w:bCs w:val="0"/>
          <w:color w:val="000000"/>
        </w:rPr>
        <w:t xml:space="preserve">Intensives – frequent sessions enabling delivery of </w:t>
      </w:r>
      <w:proofErr w:type="gramStart"/>
      <w:r w:rsidRPr="00EE7B77">
        <w:rPr>
          <w:rFonts w:cstheme="majorHAnsi"/>
          <w:b w:val="0"/>
          <w:bCs w:val="0"/>
          <w:color w:val="000000"/>
        </w:rPr>
        <w:t>evidence based</w:t>
      </w:r>
      <w:proofErr w:type="gramEnd"/>
      <w:r w:rsidRPr="00EE7B77">
        <w:rPr>
          <w:rFonts w:cstheme="majorHAnsi"/>
          <w:b w:val="0"/>
          <w:bCs w:val="0"/>
          <w:color w:val="000000"/>
        </w:rPr>
        <w:t xml:space="preserve"> interventions</w:t>
      </w:r>
    </w:p>
    <w:p w14:paraId="6EF47700" w14:textId="77777777" w:rsidR="00D17F92" w:rsidRPr="00EE7B77" w:rsidRDefault="00D17F92" w:rsidP="00D17F92">
      <w:pPr>
        <w:pStyle w:val="ListParagraph"/>
        <w:numPr>
          <w:ilvl w:val="0"/>
          <w:numId w:val="3"/>
        </w:numPr>
        <w:autoSpaceDE w:val="0"/>
        <w:autoSpaceDN w:val="0"/>
        <w:adjustRightInd w:val="0"/>
        <w:spacing w:after="120" w:line="360" w:lineRule="auto"/>
        <w:rPr>
          <w:rFonts w:cstheme="majorHAnsi"/>
          <w:b w:val="0"/>
          <w:bCs w:val="0"/>
        </w:rPr>
      </w:pPr>
      <w:r w:rsidRPr="00EE7B77">
        <w:rPr>
          <w:rFonts w:cstheme="majorHAnsi"/>
          <w:b w:val="0"/>
          <w:bCs w:val="0"/>
          <w:color w:val="000000"/>
        </w:rPr>
        <w:t>Welcome clinics and screening services</w:t>
      </w:r>
    </w:p>
    <w:p w14:paraId="33862A32" w14:textId="77777777" w:rsidR="00D17F92" w:rsidRPr="00EE7B77" w:rsidRDefault="00D17F92" w:rsidP="00D17F92">
      <w:pPr>
        <w:pStyle w:val="ListParagraph"/>
        <w:numPr>
          <w:ilvl w:val="0"/>
          <w:numId w:val="3"/>
        </w:numPr>
        <w:autoSpaceDE w:val="0"/>
        <w:autoSpaceDN w:val="0"/>
        <w:adjustRightInd w:val="0"/>
        <w:spacing w:after="120" w:line="360" w:lineRule="auto"/>
        <w:rPr>
          <w:rFonts w:cstheme="majorHAnsi"/>
          <w:b w:val="0"/>
          <w:bCs w:val="0"/>
        </w:rPr>
      </w:pPr>
      <w:r w:rsidRPr="00EE7B77">
        <w:rPr>
          <w:rFonts w:cstheme="majorHAnsi"/>
          <w:b w:val="0"/>
          <w:bCs w:val="0"/>
          <w:color w:val="000000"/>
        </w:rPr>
        <w:t>Groups</w:t>
      </w:r>
    </w:p>
    <w:p w14:paraId="3D0D88EC" w14:textId="77777777" w:rsidR="00D17F92" w:rsidRPr="00EE7B77" w:rsidRDefault="00D17F92" w:rsidP="00D17F92">
      <w:pPr>
        <w:pStyle w:val="ListParagraph"/>
        <w:numPr>
          <w:ilvl w:val="0"/>
          <w:numId w:val="3"/>
        </w:numPr>
        <w:autoSpaceDE w:val="0"/>
        <w:autoSpaceDN w:val="0"/>
        <w:adjustRightInd w:val="0"/>
        <w:spacing w:after="120" w:line="360" w:lineRule="auto"/>
        <w:rPr>
          <w:rFonts w:cstheme="majorHAnsi"/>
          <w:b w:val="0"/>
          <w:bCs w:val="0"/>
        </w:rPr>
      </w:pPr>
      <w:r w:rsidRPr="00EE7B77">
        <w:rPr>
          <w:rFonts w:cstheme="majorHAnsi"/>
          <w:b w:val="0"/>
          <w:bCs w:val="0"/>
          <w:color w:val="000000"/>
        </w:rPr>
        <w:t>Specialist or specific services e.g. assessment, screenings</w:t>
      </w:r>
    </w:p>
    <w:p w14:paraId="4B4A8785" w14:textId="77777777" w:rsidR="00D17F92" w:rsidRPr="00923EC3" w:rsidRDefault="00D17F92" w:rsidP="00D17F92">
      <w:pPr>
        <w:pStyle w:val="ListParagraph"/>
        <w:numPr>
          <w:ilvl w:val="0"/>
          <w:numId w:val="3"/>
        </w:numPr>
        <w:autoSpaceDE w:val="0"/>
        <w:autoSpaceDN w:val="0"/>
        <w:adjustRightInd w:val="0"/>
        <w:spacing w:after="120" w:line="360" w:lineRule="auto"/>
        <w:rPr>
          <w:rFonts w:cstheme="majorHAnsi"/>
          <w:b w:val="0"/>
          <w:bCs w:val="0"/>
        </w:rPr>
      </w:pPr>
      <w:r w:rsidRPr="00EE7B77">
        <w:rPr>
          <w:rFonts w:cstheme="majorHAnsi"/>
          <w:b w:val="0"/>
          <w:bCs w:val="0"/>
          <w:color w:val="000000"/>
        </w:rPr>
        <w:t xml:space="preserve">Project placements – quality improvement projects, </w:t>
      </w:r>
      <w:proofErr w:type="gramStart"/>
      <w:r w:rsidRPr="00EE7B77">
        <w:rPr>
          <w:rFonts w:cstheme="majorHAnsi"/>
          <w:b w:val="0"/>
          <w:bCs w:val="0"/>
          <w:color w:val="000000"/>
        </w:rPr>
        <w:t>evidence based</w:t>
      </w:r>
      <w:proofErr w:type="gramEnd"/>
      <w:r w:rsidRPr="00EE7B77">
        <w:rPr>
          <w:rFonts w:cstheme="majorHAnsi"/>
          <w:b w:val="0"/>
          <w:bCs w:val="0"/>
          <w:color w:val="000000"/>
        </w:rPr>
        <w:t xml:space="preserve"> practice, investigating and developing service solutions or resources.</w:t>
      </w:r>
    </w:p>
    <w:p w14:paraId="4F2EDC45" w14:textId="2A31AF45" w:rsidR="00D17F92" w:rsidRDefault="00000000">
      <w:r>
        <w:rPr>
          <w:rFonts w:cstheme="majorHAnsi"/>
          <w:b w:val="0"/>
          <w:noProof/>
        </w:rPr>
        <w:pict w14:anchorId="4F1DC63A">
          <v:rect id="_x0000_i1029" alt="" style="width:451.3pt;height:.05pt;mso-width-percent:0;mso-height-percent:0;mso-width-percent:0;mso-height-percent:0" o:hralign="center" o:hrstd="t" o:hr="t" fillcolor="#a0a0a0" stroked="f"/>
        </w:pict>
      </w:r>
    </w:p>
    <w:sectPr w:rsidR="00D17F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Times New Roman (Body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A51A8"/>
    <w:multiLevelType w:val="hybridMultilevel"/>
    <w:tmpl w:val="E6E8DA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3B0C17"/>
    <w:multiLevelType w:val="hybridMultilevel"/>
    <w:tmpl w:val="FA82E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1A47D62"/>
    <w:multiLevelType w:val="hybridMultilevel"/>
    <w:tmpl w:val="D2D253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0EB16CA"/>
    <w:multiLevelType w:val="hybridMultilevel"/>
    <w:tmpl w:val="D154F9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8773274"/>
    <w:multiLevelType w:val="hybridMultilevel"/>
    <w:tmpl w:val="70E6A9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88272145">
    <w:abstractNumId w:val="1"/>
  </w:num>
  <w:num w:numId="2" w16cid:durableId="731076785">
    <w:abstractNumId w:val="0"/>
  </w:num>
  <w:num w:numId="3" w16cid:durableId="1056665544">
    <w:abstractNumId w:val="2"/>
  </w:num>
  <w:num w:numId="4" w16cid:durableId="1383407015">
    <w:abstractNumId w:val="4"/>
  </w:num>
  <w:num w:numId="5" w16cid:durableId="3587031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F92"/>
    <w:rsid w:val="000123B6"/>
    <w:rsid w:val="00064613"/>
    <w:rsid w:val="00070FB5"/>
    <w:rsid w:val="00084B9C"/>
    <w:rsid w:val="00091B43"/>
    <w:rsid w:val="000A0FED"/>
    <w:rsid w:val="000A3FD9"/>
    <w:rsid w:val="000D22D0"/>
    <w:rsid w:val="000E04CE"/>
    <w:rsid w:val="000F12BD"/>
    <w:rsid w:val="0010210A"/>
    <w:rsid w:val="00136B3B"/>
    <w:rsid w:val="00143A49"/>
    <w:rsid w:val="0015175D"/>
    <w:rsid w:val="00153746"/>
    <w:rsid w:val="00160A4E"/>
    <w:rsid w:val="0016134D"/>
    <w:rsid w:val="001759E7"/>
    <w:rsid w:val="00180EE4"/>
    <w:rsid w:val="00184B50"/>
    <w:rsid w:val="00191C44"/>
    <w:rsid w:val="001A10E4"/>
    <w:rsid w:val="001A2836"/>
    <w:rsid w:val="001B3716"/>
    <w:rsid w:val="001B48C7"/>
    <w:rsid w:val="001C2098"/>
    <w:rsid w:val="001D6EAD"/>
    <w:rsid w:val="00202E9D"/>
    <w:rsid w:val="00216D7B"/>
    <w:rsid w:val="0022384E"/>
    <w:rsid w:val="00235BC5"/>
    <w:rsid w:val="00236142"/>
    <w:rsid w:val="00237501"/>
    <w:rsid w:val="00252B2C"/>
    <w:rsid w:val="00265D2F"/>
    <w:rsid w:val="00265FEA"/>
    <w:rsid w:val="00296CAB"/>
    <w:rsid w:val="002B16A7"/>
    <w:rsid w:val="002B3271"/>
    <w:rsid w:val="002B7287"/>
    <w:rsid w:val="002C1F7F"/>
    <w:rsid w:val="002F6BEC"/>
    <w:rsid w:val="0030655E"/>
    <w:rsid w:val="0031073D"/>
    <w:rsid w:val="00310D46"/>
    <w:rsid w:val="00322318"/>
    <w:rsid w:val="00352B8A"/>
    <w:rsid w:val="003531F6"/>
    <w:rsid w:val="00373368"/>
    <w:rsid w:val="00377518"/>
    <w:rsid w:val="00394321"/>
    <w:rsid w:val="003A2B2D"/>
    <w:rsid w:val="003A5AF4"/>
    <w:rsid w:val="00433E1B"/>
    <w:rsid w:val="00444029"/>
    <w:rsid w:val="00444660"/>
    <w:rsid w:val="00445F39"/>
    <w:rsid w:val="004461A8"/>
    <w:rsid w:val="00447859"/>
    <w:rsid w:val="00453DDA"/>
    <w:rsid w:val="00471C73"/>
    <w:rsid w:val="004758F5"/>
    <w:rsid w:val="0049592A"/>
    <w:rsid w:val="004C2DB1"/>
    <w:rsid w:val="004D2F9F"/>
    <w:rsid w:val="004D6F7A"/>
    <w:rsid w:val="004E6866"/>
    <w:rsid w:val="004F4509"/>
    <w:rsid w:val="00533E37"/>
    <w:rsid w:val="00544127"/>
    <w:rsid w:val="005473D4"/>
    <w:rsid w:val="00567C82"/>
    <w:rsid w:val="00576980"/>
    <w:rsid w:val="0057713F"/>
    <w:rsid w:val="00580467"/>
    <w:rsid w:val="00586C2E"/>
    <w:rsid w:val="005A1482"/>
    <w:rsid w:val="005A2373"/>
    <w:rsid w:val="005C10C9"/>
    <w:rsid w:val="005C3231"/>
    <w:rsid w:val="005C7C3D"/>
    <w:rsid w:val="005D2015"/>
    <w:rsid w:val="005E0517"/>
    <w:rsid w:val="005F59F1"/>
    <w:rsid w:val="00601C05"/>
    <w:rsid w:val="00602A45"/>
    <w:rsid w:val="00611F3F"/>
    <w:rsid w:val="00622904"/>
    <w:rsid w:val="00632D2B"/>
    <w:rsid w:val="00637594"/>
    <w:rsid w:val="0064714C"/>
    <w:rsid w:val="006722B3"/>
    <w:rsid w:val="006A017F"/>
    <w:rsid w:val="006A796A"/>
    <w:rsid w:val="006D48CE"/>
    <w:rsid w:val="006E589B"/>
    <w:rsid w:val="006F0D4F"/>
    <w:rsid w:val="006F380D"/>
    <w:rsid w:val="006F5B49"/>
    <w:rsid w:val="0070498D"/>
    <w:rsid w:val="00713D7A"/>
    <w:rsid w:val="00717D38"/>
    <w:rsid w:val="007269C5"/>
    <w:rsid w:val="0072797E"/>
    <w:rsid w:val="00743E4D"/>
    <w:rsid w:val="00753A1C"/>
    <w:rsid w:val="00764E77"/>
    <w:rsid w:val="00771164"/>
    <w:rsid w:val="007713E6"/>
    <w:rsid w:val="007A3DCC"/>
    <w:rsid w:val="007E4475"/>
    <w:rsid w:val="007F30E3"/>
    <w:rsid w:val="008055CC"/>
    <w:rsid w:val="00851A0A"/>
    <w:rsid w:val="00851A26"/>
    <w:rsid w:val="00860D18"/>
    <w:rsid w:val="00871B49"/>
    <w:rsid w:val="0087423E"/>
    <w:rsid w:val="00890E37"/>
    <w:rsid w:val="0089261F"/>
    <w:rsid w:val="008A4BBE"/>
    <w:rsid w:val="008B0173"/>
    <w:rsid w:val="008B2119"/>
    <w:rsid w:val="008B2313"/>
    <w:rsid w:val="008B43BC"/>
    <w:rsid w:val="008E11B6"/>
    <w:rsid w:val="008F101A"/>
    <w:rsid w:val="008F1DF9"/>
    <w:rsid w:val="008F30C2"/>
    <w:rsid w:val="00912D21"/>
    <w:rsid w:val="00914E08"/>
    <w:rsid w:val="009174C9"/>
    <w:rsid w:val="009472DB"/>
    <w:rsid w:val="009759B8"/>
    <w:rsid w:val="00982693"/>
    <w:rsid w:val="00993DEE"/>
    <w:rsid w:val="00996618"/>
    <w:rsid w:val="009B50CF"/>
    <w:rsid w:val="009D5A4B"/>
    <w:rsid w:val="009E4CB0"/>
    <w:rsid w:val="009F237B"/>
    <w:rsid w:val="009F5684"/>
    <w:rsid w:val="00A1160A"/>
    <w:rsid w:val="00A13754"/>
    <w:rsid w:val="00A16DC9"/>
    <w:rsid w:val="00A16EF4"/>
    <w:rsid w:val="00A27DC3"/>
    <w:rsid w:val="00A30272"/>
    <w:rsid w:val="00A40885"/>
    <w:rsid w:val="00A46872"/>
    <w:rsid w:val="00A567D9"/>
    <w:rsid w:val="00A63B29"/>
    <w:rsid w:val="00A76F21"/>
    <w:rsid w:val="00A80494"/>
    <w:rsid w:val="00A812D1"/>
    <w:rsid w:val="00A95D1E"/>
    <w:rsid w:val="00A95E5B"/>
    <w:rsid w:val="00AA1BB8"/>
    <w:rsid w:val="00AA2508"/>
    <w:rsid w:val="00AA60FB"/>
    <w:rsid w:val="00AA7FD4"/>
    <w:rsid w:val="00AB2B99"/>
    <w:rsid w:val="00AD0428"/>
    <w:rsid w:val="00AD291C"/>
    <w:rsid w:val="00AF0346"/>
    <w:rsid w:val="00AF5C00"/>
    <w:rsid w:val="00AF7D55"/>
    <w:rsid w:val="00B01CB0"/>
    <w:rsid w:val="00B022E2"/>
    <w:rsid w:val="00B104EA"/>
    <w:rsid w:val="00B17CC6"/>
    <w:rsid w:val="00B22857"/>
    <w:rsid w:val="00B26977"/>
    <w:rsid w:val="00B26AFA"/>
    <w:rsid w:val="00B57861"/>
    <w:rsid w:val="00B7452A"/>
    <w:rsid w:val="00B90A26"/>
    <w:rsid w:val="00B93EED"/>
    <w:rsid w:val="00B9465F"/>
    <w:rsid w:val="00BA457E"/>
    <w:rsid w:val="00BB32EC"/>
    <w:rsid w:val="00BB3B48"/>
    <w:rsid w:val="00BB7807"/>
    <w:rsid w:val="00BC7398"/>
    <w:rsid w:val="00BD4814"/>
    <w:rsid w:val="00BE58DA"/>
    <w:rsid w:val="00BE6C94"/>
    <w:rsid w:val="00BF49E5"/>
    <w:rsid w:val="00C04AA0"/>
    <w:rsid w:val="00C05791"/>
    <w:rsid w:val="00C22006"/>
    <w:rsid w:val="00C26137"/>
    <w:rsid w:val="00C3228A"/>
    <w:rsid w:val="00C4653B"/>
    <w:rsid w:val="00C50324"/>
    <w:rsid w:val="00C63C48"/>
    <w:rsid w:val="00C6536D"/>
    <w:rsid w:val="00C74ED7"/>
    <w:rsid w:val="00C84625"/>
    <w:rsid w:val="00C96330"/>
    <w:rsid w:val="00C969B5"/>
    <w:rsid w:val="00C97177"/>
    <w:rsid w:val="00CA38E3"/>
    <w:rsid w:val="00CA4BFA"/>
    <w:rsid w:val="00CC1CF0"/>
    <w:rsid w:val="00CC3633"/>
    <w:rsid w:val="00CC3FB6"/>
    <w:rsid w:val="00CE70A5"/>
    <w:rsid w:val="00D103D2"/>
    <w:rsid w:val="00D152E3"/>
    <w:rsid w:val="00D17F92"/>
    <w:rsid w:val="00D352C6"/>
    <w:rsid w:val="00D51092"/>
    <w:rsid w:val="00D61D48"/>
    <w:rsid w:val="00D82552"/>
    <w:rsid w:val="00D92534"/>
    <w:rsid w:val="00DB7091"/>
    <w:rsid w:val="00DE180B"/>
    <w:rsid w:val="00DE33B3"/>
    <w:rsid w:val="00E43383"/>
    <w:rsid w:val="00E44B00"/>
    <w:rsid w:val="00E45305"/>
    <w:rsid w:val="00E45D8F"/>
    <w:rsid w:val="00E46438"/>
    <w:rsid w:val="00E81DD1"/>
    <w:rsid w:val="00E977DB"/>
    <w:rsid w:val="00EA0192"/>
    <w:rsid w:val="00EB04FB"/>
    <w:rsid w:val="00EB2FBF"/>
    <w:rsid w:val="00EC73C0"/>
    <w:rsid w:val="00EE33D6"/>
    <w:rsid w:val="00EE4730"/>
    <w:rsid w:val="00EF0108"/>
    <w:rsid w:val="00EF3570"/>
    <w:rsid w:val="00F02A99"/>
    <w:rsid w:val="00F0524F"/>
    <w:rsid w:val="00F1250E"/>
    <w:rsid w:val="00F26CDA"/>
    <w:rsid w:val="00F40715"/>
    <w:rsid w:val="00F538AE"/>
    <w:rsid w:val="00F75C30"/>
    <w:rsid w:val="00FD050E"/>
    <w:rsid w:val="00FE423C"/>
    <w:rsid w:val="00FE4EC0"/>
    <w:rsid w:val="00FE6F99"/>
    <w:rsid w:val="00FF32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D834D"/>
  <w15:chartTrackingRefBased/>
  <w15:docId w15:val="{D083150A-6F3F-F84F-AFD9-4810F4660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imes New Roman (Body CS)"/>
        <w:b/>
        <w:bCs/>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7F92"/>
    <w:pPr>
      <w:keepNext/>
      <w:keepLines/>
      <w:spacing w:before="360" w:after="80"/>
      <w:outlineLvl w:val="0"/>
    </w:pPr>
    <w:rPr>
      <w:rFonts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7F92"/>
    <w:pPr>
      <w:keepNext/>
      <w:keepLines/>
      <w:spacing w:before="160" w:after="80"/>
      <w:outlineLvl w:val="1"/>
    </w:pPr>
    <w:rPr>
      <w:rFonts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7F9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7F9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17F9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17F9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17F9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17F9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17F9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7F92"/>
    <w:rPr>
      <w:rFonts w:eastAsiaTheme="majorEastAsia"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7F92"/>
    <w:rPr>
      <w:rFonts w:eastAsiaTheme="majorEastAsia"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7F9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7F9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17F9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17F9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17F9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17F9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17F9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17F92"/>
    <w:pPr>
      <w:spacing w:after="8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D17F92"/>
    <w:rPr>
      <w:rFonts w:eastAsiaTheme="majorEastAsia" w:cstheme="majorBidi"/>
      <w:spacing w:val="-10"/>
      <w:kern w:val="28"/>
      <w:sz w:val="56"/>
      <w:szCs w:val="56"/>
    </w:rPr>
  </w:style>
  <w:style w:type="paragraph" w:styleId="Subtitle">
    <w:name w:val="Subtitle"/>
    <w:basedOn w:val="Normal"/>
    <w:next w:val="Normal"/>
    <w:link w:val="SubtitleChar"/>
    <w:uiPriority w:val="11"/>
    <w:qFormat/>
    <w:rsid w:val="00D17F9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7F9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17F9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17F92"/>
    <w:rPr>
      <w:i/>
      <w:iCs/>
      <w:color w:val="404040" w:themeColor="text1" w:themeTint="BF"/>
    </w:rPr>
  </w:style>
  <w:style w:type="paragraph" w:styleId="ListParagraph">
    <w:name w:val="List Paragraph"/>
    <w:basedOn w:val="Normal"/>
    <w:uiPriority w:val="34"/>
    <w:qFormat/>
    <w:rsid w:val="00D17F92"/>
    <w:pPr>
      <w:ind w:left="720"/>
      <w:contextualSpacing/>
    </w:pPr>
  </w:style>
  <w:style w:type="character" w:styleId="IntenseEmphasis">
    <w:name w:val="Intense Emphasis"/>
    <w:basedOn w:val="DefaultParagraphFont"/>
    <w:uiPriority w:val="21"/>
    <w:qFormat/>
    <w:rsid w:val="00D17F92"/>
    <w:rPr>
      <w:i/>
      <w:iCs/>
      <w:color w:val="0F4761" w:themeColor="accent1" w:themeShade="BF"/>
    </w:rPr>
  </w:style>
  <w:style w:type="paragraph" w:styleId="IntenseQuote">
    <w:name w:val="Intense Quote"/>
    <w:basedOn w:val="Normal"/>
    <w:next w:val="Normal"/>
    <w:link w:val="IntenseQuoteChar"/>
    <w:uiPriority w:val="30"/>
    <w:qFormat/>
    <w:rsid w:val="00D17F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7F92"/>
    <w:rPr>
      <w:i/>
      <w:iCs/>
      <w:color w:val="0F4761" w:themeColor="accent1" w:themeShade="BF"/>
    </w:rPr>
  </w:style>
  <w:style w:type="character" w:styleId="IntenseReference">
    <w:name w:val="Intense Reference"/>
    <w:basedOn w:val="DefaultParagraphFont"/>
    <w:uiPriority w:val="32"/>
    <w:qFormat/>
    <w:rsid w:val="00D17F92"/>
    <w:rPr>
      <w:b w:val="0"/>
      <w:bCs w:val="0"/>
      <w:smallCaps/>
      <w:color w:val="0F4761" w:themeColor="accent1" w:themeShade="BF"/>
      <w:spacing w:val="5"/>
    </w:rPr>
  </w:style>
  <w:style w:type="character" w:styleId="CommentReference">
    <w:name w:val="annotation reference"/>
    <w:basedOn w:val="DefaultParagraphFont"/>
    <w:uiPriority w:val="99"/>
    <w:semiHidden/>
    <w:unhideWhenUsed/>
    <w:rsid w:val="00D17F92"/>
    <w:rPr>
      <w:sz w:val="16"/>
      <w:szCs w:val="16"/>
    </w:rPr>
  </w:style>
  <w:style w:type="paragraph" w:styleId="CommentText">
    <w:name w:val="annotation text"/>
    <w:basedOn w:val="Normal"/>
    <w:link w:val="CommentTextChar"/>
    <w:uiPriority w:val="99"/>
    <w:unhideWhenUsed/>
    <w:rsid w:val="00D17F92"/>
    <w:pPr>
      <w:autoSpaceDE w:val="0"/>
      <w:autoSpaceDN w:val="0"/>
      <w:adjustRightInd w:val="0"/>
      <w:spacing w:after="120" w:line="360" w:lineRule="auto"/>
    </w:pPr>
    <w:rPr>
      <w:rFonts w:ascii="Arial" w:hAnsi="Arial" w:cs="Arial"/>
      <w:kern w:val="0"/>
      <w:sz w:val="20"/>
      <w:szCs w:val="20"/>
      <w14:ligatures w14:val="none"/>
    </w:rPr>
  </w:style>
  <w:style w:type="character" w:customStyle="1" w:styleId="CommentTextChar">
    <w:name w:val="Comment Text Char"/>
    <w:basedOn w:val="DefaultParagraphFont"/>
    <w:link w:val="CommentText"/>
    <w:uiPriority w:val="99"/>
    <w:rsid w:val="00D17F92"/>
    <w:rPr>
      <w:rFonts w:ascii="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871</Words>
  <Characters>4967</Characters>
  <Application>Microsoft Office Word</Application>
  <DocSecurity>0</DocSecurity>
  <Lines>41</Lines>
  <Paragraphs>11</Paragraphs>
  <ScaleCrop>false</ScaleCrop>
  <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Foley</dc:creator>
  <cp:keywords/>
  <dc:description/>
  <cp:lastModifiedBy>Stacie Attrill</cp:lastModifiedBy>
  <cp:revision>3</cp:revision>
  <dcterms:created xsi:type="dcterms:W3CDTF">2025-08-01T00:38:00Z</dcterms:created>
  <dcterms:modified xsi:type="dcterms:W3CDTF">2025-08-11T07:56:00Z</dcterms:modified>
</cp:coreProperties>
</file>