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ascii="Times New Roman" w:hAnsi="Times New Roman" w:cs="Times New Roman"/>
          <w:b/>
          <w:bCs/>
          <w:sz w:val="36"/>
          <w:szCs w:val="36"/>
        </w:rPr>
      </w:pPr>
      <w:r>
        <w:rPr>
          <w:rFonts w:ascii="Times New Roman" w:hAnsi="Times New Roman" w:cs="Times New Roman"/>
          <w:b/>
          <w:bCs/>
          <w:sz w:val="36"/>
          <w:szCs w:val="36"/>
        </w:rPr>
        <w:t>Part A. The Supplementary Information of the PHOENIX,</w:t>
      </w:r>
      <w:r>
        <w:rPr>
          <w:rFonts w:hint="eastAsia" w:ascii="Times New Roman" w:hAnsi="Times New Roman" w:cs="Times New Roman"/>
          <w:b/>
          <w:bCs/>
          <w:sz w:val="36"/>
          <w:szCs w:val="36"/>
        </w:rPr>
        <w:t xml:space="preserve"> BLOSSOM, CAMELLIA, </w:t>
      </w:r>
      <w:r>
        <w:rPr>
          <w:rFonts w:ascii="Times New Roman" w:hAnsi="Times New Roman" w:cs="Times New Roman"/>
          <w:b/>
          <w:bCs/>
          <w:sz w:val="36"/>
          <w:szCs w:val="36"/>
        </w:rPr>
        <w:t>SAILING</w:t>
      </w:r>
      <w:r>
        <w:rPr>
          <w:rFonts w:hint="eastAsia" w:ascii="Times New Roman" w:hAnsi="Times New Roman" w:cs="Times New Roman"/>
          <w:b/>
          <w:bCs/>
          <w:sz w:val="36"/>
          <w:szCs w:val="36"/>
          <w:lang w:val="en-US" w:eastAsia="zh-CN"/>
        </w:rPr>
        <w:t xml:space="preserve"> </w:t>
      </w:r>
      <w:r>
        <w:rPr>
          <w:rFonts w:ascii="Times New Roman" w:hAnsi="Times New Roman" w:cs="Times New Roman"/>
          <w:b/>
          <w:bCs/>
          <w:sz w:val="36"/>
          <w:szCs w:val="36"/>
        </w:rPr>
        <w:t>and SHINY studies</w:t>
      </w:r>
    </w:p>
    <w:p>
      <w:pPr>
        <w:widowControl/>
        <w:shd w:val="clear" w:color="auto" w:fill="FFFFFF"/>
        <w:jc w:val="center"/>
        <w:rPr>
          <w:rFonts w:ascii="Times New Roman" w:hAnsi="Times New Roman" w:cs="Times New Roman"/>
          <w:sz w:val="28"/>
          <w:szCs w:val="32"/>
        </w:rPr>
      </w:pPr>
      <w:r>
        <w:rPr>
          <w:rFonts w:ascii="Times New Roman" w:hAnsi="Times New Roman" w:cs="Times New Roman"/>
          <w:b/>
          <w:bCs/>
          <w:sz w:val="28"/>
          <w:szCs w:val="32"/>
        </w:rPr>
        <w:t xml:space="preserve">Table S1 </w:t>
      </w:r>
      <w:r>
        <w:rPr>
          <w:rFonts w:ascii="Times New Roman" w:hAnsi="Times New Roman" w:cs="Times New Roman"/>
          <w:sz w:val="28"/>
          <w:szCs w:val="32"/>
        </w:rPr>
        <w:t>The health status classification and baseline visual acuity distribution</w:t>
      </w:r>
    </w:p>
    <w:tbl>
      <w:tblPr>
        <w:tblStyle w:val="17"/>
        <w:tblW w:w="587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498"/>
        <w:gridCol w:w="449"/>
        <w:gridCol w:w="818"/>
        <w:gridCol w:w="1435"/>
        <w:gridCol w:w="458"/>
        <w:gridCol w:w="708"/>
        <w:gridCol w:w="1378"/>
        <w:gridCol w:w="521"/>
        <w:gridCol w:w="781"/>
        <w:gridCol w:w="1457"/>
        <w:gridCol w:w="521"/>
        <w:gridCol w:w="853"/>
        <w:gridCol w:w="1387"/>
        <w:gridCol w:w="474"/>
        <w:gridCol w:w="8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27" w:hRule="atLeast"/>
          <w:jc w:val="center"/>
        </w:trPr>
        <w:tc>
          <w:tcPr>
            <w:tcW w:w="707" w:type="pct"/>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p>
        </w:tc>
        <w:tc>
          <w:tcPr>
            <w:tcW w:w="875" w:type="pct"/>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the PHOENIX study (n=81)</w:t>
            </w:r>
          </w:p>
        </w:tc>
        <w:tc>
          <w:tcPr>
            <w:tcW w:w="823" w:type="pct"/>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the </w:t>
            </w:r>
            <w:r>
              <w:rPr>
                <w:rFonts w:hint="default" w:ascii="Times New Roman" w:hAnsi="Times New Roman" w:cs="Times New Roman"/>
                <w:color w:val="000000"/>
                <w:sz w:val="18"/>
                <w:szCs w:val="18"/>
              </w:rPr>
              <w:t>BLOSSOM</w:t>
            </w:r>
            <w:r>
              <w:rPr>
                <w:rFonts w:hint="default" w:ascii="Times New Roman" w:hAnsi="Times New Roman" w:eastAsia="宋体" w:cs="Times New Roman"/>
                <w:sz w:val="18"/>
                <w:szCs w:val="18"/>
              </w:rPr>
              <w:t xml:space="preserve"> study (n=190)</w:t>
            </w:r>
          </w:p>
        </w:tc>
        <w:tc>
          <w:tcPr>
            <w:tcW w:w="848" w:type="pct"/>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the </w:t>
            </w:r>
            <w:r>
              <w:rPr>
                <w:rFonts w:hint="default" w:ascii="Times New Roman" w:hAnsi="Times New Roman" w:cs="Times New Roman"/>
                <w:color w:val="000000"/>
                <w:sz w:val="18"/>
                <w:szCs w:val="18"/>
              </w:rPr>
              <w:t>CAMELLIA</w:t>
            </w:r>
            <w:r>
              <w:rPr>
                <w:rFonts w:hint="default" w:ascii="Times New Roman" w:hAnsi="Times New Roman" w:eastAsia="宋体" w:cs="Times New Roman"/>
                <w:sz w:val="18"/>
                <w:szCs w:val="18"/>
              </w:rPr>
              <w:t xml:space="preserve"> study (n=</w:t>
            </w:r>
            <w:r>
              <w:rPr>
                <w:rFonts w:hint="eastAsia" w:ascii="Times New Roman" w:hAnsi="Times New Roman" w:eastAsia="宋体" w:cs="Times New Roman"/>
                <w:sz w:val="18"/>
                <w:szCs w:val="18"/>
              </w:rPr>
              <w:t>190</w:t>
            </w:r>
            <w:r>
              <w:rPr>
                <w:rFonts w:hint="default" w:ascii="Times New Roman" w:hAnsi="Times New Roman" w:eastAsia="宋体" w:cs="Times New Roman"/>
                <w:sz w:val="18"/>
                <w:szCs w:val="18"/>
              </w:rPr>
              <w:t>)</w:t>
            </w:r>
          </w:p>
        </w:tc>
        <w:tc>
          <w:tcPr>
            <w:tcW w:w="896" w:type="pct"/>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the SAILING study (n=248)</w:t>
            </w:r>
          </w:p>
        </w:tc>
        <w:tc>
          <w:tcPr>
            <w:tcW w:w="846" w:type="pct"/>
            <w:gridSpan w:val="3"/>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the SHINY study (n=177)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27" w:hRule="atLeast"/>
          <w:jc w:val="center"/>
        </w:trPr>
        <w:tc>
          <w:tcPr>
            <w:tcW w:w="707"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No visual impairment</w:t>
            </w:r>
          </w:p>
        </w:tc>
        <w:tc>
          <w:tcPr>
            <w:tcW w:w="474"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&gt; 78</w:t>
            </w:r>
          </w:p>
        </w:tc>
        <w:tc>
          <w:tcPr>
            <w:tcW w:w="142"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258" w:type="pct"/>
            <w:tcBorders>
              <w:top w:val="single" w:color="auto" w:sz="4" w:space="0"/>
              <w:left w:val="nil"/>
              <w:bottom w:val="nil"/>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454"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66≤BCVA≤100</w:t>
            </w:r>
          </w:p>
        </w:tc>
        <w:tc>
          <w:tcPr>
            <w:tcW w:w="145"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48</w:t>
            </w:r>
          </w:p>
        </w:tc>
        <w:tc>
          <w:tcPr>
            <w:tcW w:w="223"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color w:val="000000"/>
                <w:sz w:val="18"/>
                <w:szCs w:val="18"/>
              </w:rPr>
              <w:t>25.3%</w:t>
            </w:r>
          </w:p>
        </w:tc>
        <w:tc>
          <w:tcPr>
            <w:tcW w:w="436"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66≤BCVA≤100</w:t>
            </w:r>
          </w:p>
        </w:tc>
        <w:tc>
          <w:tcPr>
            <w:tcW w:w="165"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27</w:t>
            </w:r>
          </w:p>
        </w:tc>
        <w:tc>
          <w:tcPr>
            <w:tcW w:w="246"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color w:val="000000"/>
                <w:sz w:val="18"/>
                <w:szCs w:val="18"/>
              </w:rPr>
              <w:t>14.3%</w:t>
            </w:r>
          </w:p>
        </w:tc>
        <w:tc>
          <w:tcPr>
            <w:tcW w:w="461"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&gt; 75</w:t>
            </w:r>
          </w:p>
        </w:tc>
        <w:tc>
          <w:tcPr>
            <w:tcW w:w="165"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70"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rPr>
              <w:t>/</w:t>
            </w:r>
          </w:p>
        </w:tc>
        <w:tc>
          <w:tcPr>
            <w:tcW w:w="439"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&gt; 75</w:t>
            </w:r>
          </w:p>
        </w:tc>
        <w:tc>
          <w:tcPr>
            <w:tcW w:w="150"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256" w:type="pct"/>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cs="Times New Roman"/>
                <w:color w:val="00000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27" w:hRule="atLeast"/>
          <w:jc w:val="center"/>
        </w:trPr>
        <w:tc>
          <w:tcPr>
            <w:tcW w:w="707"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Slight visual impairment</w:t>
            </w:r>
          </w:p>
        </w:tc>
        <w:tc>
          <w:tcPr>
            <w:tcW w:w="47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68&lt; BCVA≤ 78</w:t>
            </w:r>
          </w:p>
        </w:tc>
        <w:tc>
          <w:tcPr>
            <w:tcW w:w="142"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258" w:type="pct"/>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default" w:ascii="Times New Roman" w:hAnsi="Times New Roman" w:eastAsia="等线" w:cs="Times New Roman"/>
                <w:color w:val="000000"/>
                <w:kern w:val="0"/>
                <w:sz w:val="18"/>
                <w:szCs w:val="18"/>
              </w:rPr>
              <w:t>11.11%</w:t>
            </w:r>
          </w:p>
        </w:tc>
        <w:tc>
          <w:tcPr>
            <w:tcW w:w="45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eastAsia"/>
              </w:rPr>
              <w:t>-</w:t>
            </w:r>
          </w:p>
        </w:tc>
        <w:tc>
          <w:tcPr>
            <w:tcW w:w="14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rPr>
              <w:t>-</w:t>
            </w:r>
          </w:p>
        </w:tc>
        <w:tc>
          <w:tcPr>
            <w:tcW w:w="223"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rPr>
              <w:t>-</w:t>
            </w:r>
          </w:p>
        </w:tc>
        <w:tc>
          <w:tcPr>
            <w:tcW w:w="43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eastAsia"/>
              </w:rPr>
              <w:t>-</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rPr>
              <w:t>-</w:t>
            </w:r>
          </w:p>
        </w:tc>
        <w:tc>
          <w:tcPr>
            <w:tcW w:w="24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rPr>
              <w:t>-</w:t>
            </w:r>
          </w:p>
        </w:tc>
        <w:tc>
          <w:tcPr>
            <w:tcW w:w="461"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c>
          <w:tcPr>
            <w:tcW w:w="27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c>
          <w:tcPr>
            <w:tcW w:w="439"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c>
          <w:tcPr>
            <w:tcW w:w="15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c>
          <w:tcPr>
            <w:tcW w:w="25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7"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Mild visual impairment</w:t>
            </w:r>
          </w:p>
        </w:tc>
        <w:tc>
          <w:tcPr>
            <w:tcW w:w="47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53&lt; BCVA≤ 68</w:t>
            </w:r>
          </w:p>
        </w:tc>
        <w:tc>
          <w:tcPr>
            <w:tcW w:w="142"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31</w:t>
            </w:r>
          </w:p>
        </w:tc>
        <w:tc>
          <w:tcPr>
            <w:tcW w:w="258" w:type="pct"/>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default" w:ascii="Times New Roman" w:hAnsi="Times New Roman" w:eastAsia="等线" w:cs="Times New Roman"/>
                <w:color w:val="000000"/>
                <w:kern w:val="0"/>
                <w:sz w:val="18"/>
                <w:szCs w:val="18"/>
              </w:rPr>
              <w:t>38.27%</w:t>
            </w:r>
          </w:p>
        </w:tc>
        <w:tc>
          <w:tcPr>
            <w:tcW w:w="45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56≤BCVA≤65</w:t>
            </w:r>
          </w:p>
        </w:tc>
        <w:tc>
          <w:tcPr>
            <w:tcW w:w="14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70</w:t>
            </w:r>
          </w:p>
        </w:tc>
        <w:tc>
          <w:tcPr>
            <w:tcW w:w="223"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36.6%</w:t>
            </w:r>
          </w:p>
        </w:tc>
        <w:tc>
          <w:tcPr>
            <w:tcW w:w="43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56≤BCVA≤65</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64</w:t>
            </w:r>
          </w:p>
        </w:tc>
        <w:tc>
          <w:tcPr>
            <w:tcW w:w="24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33.8%</w:t>
            </w:r>
          </w:p>
        </w:tc>
        <w:tc>
          <w:tcPr>
            <w:tcW w:w="461"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60&lt; BCVA≤ 75</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108</w:t>
            </w:r>
          </w:p>
        </w:tc>
        <w:tc>
          <w:tcPr>
            <w:tcW w:w="27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rPr>
              <w:t>43.60%</w:t>
            </w:r>
          </w:p>
        </w:tc>
        <w:tc>
          <w:tcPr>
            <w:tcW w:w="439"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60&lt; BCVA≤ 75</w:t>
            </w:r>
          </w:p>
        </w:tc>
        <w:tc>
          <w:tcPr>
            <w:tcW w:w="15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52</w:t>
            </w:r>
          </w:p>
        </w:tc>
        <w:tc>
          <w:tcPr>
            <w:tcW w:w="25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cs="Times New Roman"/>
                <w:color w:val="000000"/>
                <w:sz w:val="18"/>
                <w:szCs w:val="18"/>
              </w:rPr>
              <w:t>29.38%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7"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Moderate visual impairment</w:t>
            </w:r>
          </w:p>
        </w:tc>
        <w:tc>
          <w:tcPr>
            <w:tcW w:w="47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33&lt; BCVA≤ 53</w:t>
            </w:r>
          </w:p>
        </w:tc>
        <w:tc>
          <w:tcPr>
            <w:tcW w:w="142"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w:t>
            </w:r>
          </w:p>
        </w:tc>
        <w:tc>
          <w:tcPr>
            <w:tcW w:w="258" w:type="pct"/>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default" w:ascii="Times New Roman" w:hAnsi="Times New Roman" w:eastAsia="等线" w:cs="Times New Roman"/>
                <w:color w:val="000000"/>
                <w:kern w:val="0"/>
                <w:sz w:val="18"/>
                <w:szCs w:val="18"/>
              </w:rPr>
              <w:t>32.11%</w:t>
            </w:r>
          </w:p>
        </w:tc>
        <w:tc>
          <w:tcPr>
            <w:tcW w:w="45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46≤BCVA≤55</w:t>
            </w:r>
          </w:p>
        </w:tc>
        <w:tc>
          <w:tcPr>
            <w:tcW w:w="14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41</w:t>
            </w:r>
          </w:p>
        </w:tc>
        <w:tc>
          <w:tcPr>
            <w:tcW w:w="223"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21.5%</w:t>
            </w:r>
          </w:p>
        </w:tc>
        <w:tc>
          <w:tcPr>
            <w:tcW w:w="43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46≤BCVA≤55</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52</w:t>
            </w:r>
          </w:p>
        </w:tc>
        <w:tc>
          <w:tcPr>
            <w:tcW w:w="24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27.0%</w:t>
            </w:r>
          </w:p>
        </w:tc>
        <w:tc>
          <w:tcPr>
            <w:tcW w:w="461"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45&lt; BCVA≤ 60</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104</w:t>
            </w:r>
          </w:p>
        </w:tc>
        <w:tc>
          <w:tcPr>
            <w:tcW w:w="27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rPr>
              <w:t>41.90%</w:t>
            </w:r>
          </w:p>
        </w:tc>
        <w:tc>
          <w:tcPr>
            <w:tcW w:w="439"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45&lt; BCVA≤ 60</w:t>
            </w:r>
          </w:p>
        </w:tc>
        <w:tc>
          <w:tcPr>
            <w:tcW w:w="15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79</w:t>
            </w:r>
          </w:p>
        </w:tc>
        <w:tc>
          <w:tcPr>
            <w:tcW w:w="25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cs="Times New Roman"/>
                <w:color w:val="000000"/>
                <w:sz w:val="18"/>
                <w:szCs w:val="18"/>
              </w:rPr>
              <w:t>44.63%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7"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Severe visual impairment</w:t>
            </w:r>
          </w:p>
        </w:tc>
        <w:tc>
          <w:tcPr>
            <w:tcW w:w="47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18&lt; BCVA≤ 33</w:t>
            </w:r>
          </w:p>
        </w:tc>
        <w:tc>
          <w:tcPr>
            <w:tcW w:w="142"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258" w:type="pct"/>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default" w:ascii="Times New Roman" w:hAnsi="Times New Roman" w:eastAsia="等线" w:cs="Times New Roman"/>
                <w:color w:val="000000"/>
                <w:kern w:val="0"/>
                <w:sz w:val="18"/>
                <w:szCs w:val="18"/>
              </w:rPr>
              <w:t>17.28%</w:t>
            </w:r>
          </w:p>
        </w:tc>
        <w:tc>
          <w:tcPr>
            <w:tcW w:w="454"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36≤BCVA≤45</w:t>
            </w:r>
          </w:p>
        </w:tc>
        <w:tc>
          <w:tcPr>
            <w:tcW w:w="14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24</w:t>
            </w:r>
          </w:p>
        </w:tc>
        <w:tc>
          <w:tcPr>
            <w:tcW w:w="223"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12.9%</w:t>
            </w:r>
          </w:p>
        </w:tc>
        <w:tc>
          <w:tcPr>
            <w:tcW w:w="43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36≤BCVA≤45</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27</w:t>
            </w:r>
          </w:p>
        </w:tc>
        <w:tc>
          <w:tcPr>
            <w:tcW w:w="24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14.3%</w:t>
            </w:r>
          </w:p>
        </w:tc>
        <w:tc>
          <w:tcPr>
            <w:tcW w:w="461"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30&lt; BCVA≤ 45</w:t>
            </w:r>
          </w:p>
        </w:tc>
        <w:tc>
          <w:tcPr>
            <w:tcW w:w="165"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29</w:t>
            </w:r>
          </w:p>
        </w:tc>
        <w:tc>
          <w:tcPr>
            <w:tcW w:w="27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rPr>
              <w:t>11.70%</w:t>
            </w:r>
          </w:p>
        </w:tc>
        <w:tc>
          <w:tcPr>
            <w:tcW w:w="439"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30&lt; BCVA≤ 45</w:t>
            </w:r>
          </w:p>
        </w:tc>
        <w:tc>
          <w:tcPr>
            <w:tcW w:w="150"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256" w:type="pct"/>
            <w:tcBorders>
              <w:top w:val="nil"/>
              <w:left w:val="nil"/>
              <w:bottom w:val="nil"/>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cs="Times New Roman"/>
                <w:color w:val="000000"/>
                <w:sz w:val="18"/>
                <w:szCs w:val="18"/>
              </w:rPr>
              <w:t>20.34%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7"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Blindness</w:t>
            </w:r>
          </w:p>
        </w:tc>
        <w:tc>
          <w:tcPr>
            <w:tcW w:w="474"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 18</w:t>
            </w:r>
          </w:p>
        </w:tc>
        <w:tc>
          <w:tcPr>
            <w:tcW w:w="142"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58" w:type="pct"/>
            <w:tcBorders>
              <w:top w:val="nil"/>
              <w:left w:val="nil"/>
              <w:bottom w:val="single" w:color="auto" w:sz="4" w:space="0"/>
              <w:right w:val="nil"/>
            </w:tcBorders>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sz w:val="18"/>
                <w:szCs w:val="18"/>
              </w:rPr>
            </w:pPr>
            <w:r>
              <w:rPr>
                <w:rFonts w:hint="default" w:ascii="Times New Roman" w:hAnsi="Times New Roman" w:eastAsia="等线" w:cs="Times New Roman"/>
                <w:color w:val="000000"/>
                <w:kern w:val="0"/>
                <w:sz w:val="18"/>
                <w:szCs w:val="18"/>
              </w:rPr>
              <w:t>1.23%</w:t>
            </w:r>
          </w:p>
        </w:tc>
        <w:tc>
          <w:tcPr>
            <w:tcW w:w="454"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BCVA≤35</w:t>
            </w:r>
          </w:p>
        </w:tc>
        <w:tc>
          <w:tcPr>
            <w:tcW w:w="145"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223"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3.7%</w:t>
            </w:r>
          </w:p>
        </w:tc>
        <w:tc>
          <w:tcPr>
            <w:tcW w:w="436"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等线" w:cs="Times New Roman"/>
                <w:color w:val="000000"/>
                <w:kern w:val="0"/>
                <w:sz w:val="18"/>
                <w:szCs w:val="18"/>
              </w:rPr>
            </w:pPr>
            <w:r>
              <w:rPr>
                <w:rFonts w:hint="default" w:ascii="Times New Roman" w:hAnsi="Times New Roman" w:eastAsia="宋体" w:cs="Times New Roman"/>
                <w:sz w:val="18"/>
                <w:szCs w:val="18"/>
              </w:rPr>
              <w:t>BCVA≤35</w:t>
            </w:r>
          </w:p>
        </w:tc>
        <w:tc>
          <w:tcPr>
            <w:tcW w:w="165"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eastAsia" w:ascii="Times New Roman" w:hAnsi="Times New Roman" w:cs="Times New Roman"/>
                <w:sz w:val="18"/>
                <w:szCs w:val="18"/>
              </w:rPr>
              <w:t>20</w:t>
            </w:r>
          </w:p>
        </w:tc>
        <w:tc>
          <w:tcPr>
            <w:tcW w:w="246"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18"/>
                <w:szCs w:val="18"/>
              </w:rPr>
            </w:pPr>
            <w:r>
              <w:rPr>
                <w:rFonts w:hint="default" w:ascii="Times New Roman" w:hAnsi="Times New Roman" w:eastAsia="宋体" w:cs="Times New Roman"/>
                <w:sz w:val="18"/>
                <w:szCs w:val="18"/>
              </w:rPr>
              <w:t>10.6%</w:t>
            </w:r>
          </w:p>
        </w:tc>
        <w:tc>
          <w:tcPr>
            <w:tcW w:w="461"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 30</w:t>
            </w:r>
          </w:p>
        </w:tc>
        <w:tc>
          <w:tcPr>
            <w:tcW w:w="165"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270"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color w:val="000000"/>
                <w:kern w:val="0"/>
                <w:sz w:val="18"/>
                <w:szCs w:val="18"/>
              </w:rPr>
              <w:t>2.80%</w:t>
            </w:r>
          </w:p>
        </w:tc>
        <w:tc>
          <w:tcPr>
            <w:tcW w:w="439"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BCVA ≤ 30</w:t>
            </w:r>
          </w:p>
        </w:tc>
        <w:tc>
          <w:tcPr>
            <w:tcW w:w="150"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6" w:type="pct"/>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18"/>
                <w:szCs w:val="18"/>
              </w:rPr>
            </w:pPr>
            <w:r>
              <w:rPr>
                <w:rFonts w:hint="default" w:ascii="Times New Roman" w:hAnsi="Times New Roman" w:cs="Times New Roman"/>
                <w:color w:val="000000"/>
                <w:sz w:val="18"/>
                <w:szCs w:val="18"/>
              </w:rPr>
              <w:t>5.65%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000" w:type="pct"/>
            <w:gridSpan w:val="16"/>
            <w:tcBorders>
              <w:top w:val="single" w:color="auto" w:sz="4" w:space="0"/>
              <w:left w:val="nil"/>
              <w:bottom w:val="nil"/>
              <w:right w:val="nil"/>
            </w:tcBorders>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The data in the table are the number and percentage of patients with corresponding baseline visual acuity.</w:t>
            </w:r>
          </w:p>
          <w:p>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The number of participants in the SHINY study was 176 when designed, and 177 participants were actually enrolled.</w:t>
            </w:r>
          </w:p>
        </w:tc>
      </w:tr>
    </w:tbl>
    <w:p>
      <w:pPr>
        <w:widowControl/>
        <w:shd w:val="clear" w:color="auto" w:fill="FFFFFF"/>
        <w:jc w:val="center"/>
        <w:rPr>
          <w:rFonts w:ascii="Times New Roman" w:hAnsi="Times New Roman" w:cs="Times New Roman"/>
          <w:b/>
          <w:bCs/>
          <w:sz w:val="36"/>
          <w:szCs w:val="36"/>
        </w:rPr>
        <w:sectPr>
          <w:pgSz w:w="16838" w:h="11906" w:orient="landscape"/>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sz w:val="28"/>
          <w:szCs w:val="28"/>
        </w:rPr>
      </w:pPr>
      <w:r>
        <w:rPr>
          <w:rFonts w:ascii="Times New Roman" w:hAnsi="Times New Roman" w:eastAsia="宋体" w:cs="Times New Roman"/>
          <w:sz w:val="28"/>
          <w:szCs w:val="28"/>
        </w:rPr>
        <w:t>The PHOENIX Study</w:t>
      </w:r>
    </w:p>
    <w:p>
      <w:pPr>
        <w:rPr>
          <w:rFonts w:ascii="Times New Roman" w:hAnsi="Times New Roman" w:cs="Times New Roman"/>
          <w:sz w:val="28"/>
          <w:szCs w:val="32"/>
        </w:rPr>
      </w:pPr>
      <w:r>
        <w:rPr>
          <w:rFonts w:ascii="Times New Roman" w:hAnsi="Times New Roman" w:cs="Times New Roman"/>
          <w:b/>
          <w:bCs/>
          <w:sz w:val="28"/>
          <w:szCs w:val="32"/>
        </w:rPr>
        <w:t>Study Design</w:t>
      </w:r>
    </w:p>
    <w:p>
      <w:pPr>
        <w:rPr>
          <w:rFonts w:ascii="Times New Roman" w:hAnsi="Times New Roman" w:cs="Times New Roman"/>
        </w:rPr>
      </w:pPr>
      <w:r>
        <w:rPr>
          <w:rFonts w:ascii="Times New Roman" w:hAnsi="Times New Roman" w:cs="Times New Roman"/>
          <w:b/>
          <w:bCs/>
        </w:rPr>
        <w:t>Study Type:</w:t>
      </w:r>
      <w:r>
        <w:rPr>
          <w:rFonts w:ascii="Times New Roman" w:hAnsi="Times New Roman" w:cs="Times New Roman"/>
        </w:rPr>
        <w:t xml:space="preserve"> Interventional (Clinical Trial)</w:t>
      </w:r>
    </w:p>
    <w:p>
      <w:pPr>
        <w:rPr>
          <w:rFonts w:ascii="Times New Roman" w:hAnsi="Times New Roman" w:cs="Times New Roman"/>
        </w:rPr>
      </w:pPr>
      <w:r>
        <w:rPr>
          <w:rFonts w:ascii="Times New Roman" w:hAnsi="Times New Roman" w:cs="Times New Roman"/>
          <w:b/>
          <w:bCs/>
        </w:rPr>
        <w:t>Actual Enrollment:</w:t>
      </w:r>
      <w:r>
        <w:rPr>
          <w:rFonts w:ascii="Times New Roman" w:hAnsi="Times New Roman" w:cs="Times New Roman"/>
        </w:rPr>
        <w:t xml:space="preserve"> 125 participants</w:t>
      </w:r>
    </w:p>
    <w:p>
      <w:pPr>
        <w:rPr>
          <w:rFonts w:ascii="Times New Roman" w:hAnsi="Times New Roman" w:cs="Times New Roman"/>
        </w:rPr>
      </w:pPr>
      <w:r>
        <w:rPr>
          <w:rFonts w:ascii="Times New Roman" w:hAnsi="Times New Roman" w:cs="Times New Roman"/>
          <w:b/>
          <w:bCs/>
        </w:rPr>
        <w:t>Allocation:</w:t>
      </w:r>
      <w:r>
        <w:rPr>
          <w:rFonts w:ascii="Times New Roman" w:hAnsi="Times New Roman" w:cs="Times New Roman"/>
        </w:rPr>
        <w:t xml:space="preserve"> Randomized</w:t>
      </w:r>
    </w:p>
    <w:p>
      <w:pPr>
        <w:rPr>
          <w:rFonts w:ascii="Times New Roman" w:hAnsi="Times New Roman" w:cs="Times New Roman"/>
        </w:rPr>
      </w:pPr>
      <w:r>
        <w:rPr>
          <w:rFonts w:ascii="Times New Roman" w:hAnsi="Times New Roman" w:cs="Times New Roman"/>
          <w:b/>
          <w:bCs/>
        </w:rPr>
        <w:t>Intervention Model:</w:t>
      </w:r>
      <w:r>
        <w:rPr>
          <w:rFonts w:ascii="Times New Roman" w:hAnsi="Times New Roman" w:cs="Times New Roman"/>
        </w:rPr>
        <w:t xml:space="preserve"> Parallel Assignment</w:t>
      </w:r>
    </w:p>
    <w:p>
      <w:pPr>
        <w:rPr>
          <w:rFonts w:ascii="Times New Roman" w:hAnsi="Times New Roman" w:cs="Times New Roman"/>
        </w:rPr>
      </w:pPr>
      <w:r>
        <w:rPr>
          <w:rFonts w:ascii="Times New Roman" w:hAnsi="Times New Roman" w:cs="Times New Roman"/>
          <w:b/>
          <w:bCs/>
        </w:rPr>
        <w:t>Masking:</w:t>
      </w:r>
      <w:r>
        <w:rPr>
          <w:rFonts w:ascii="Times New Roman" w:hAnsi="Times New Roman" w:cs="Times New Roman"/>
        </w:rPr>
        <w:t xml:space="preserve"> Quadruple - masking involving the participants, care providers, investigators, and outcomes assessors.</w:t>
      </w:r>
    </w:p>
    <w:p>
      <w:pPr>
        <w:rPr>
          <w:rFonts w:ascii="Times New Roman" w:hAnsi="Times New Roman" w:cs="Times New Roman"/>
        </w:rPr>
      </w:pPr>
      <w:r>
        <w:rPr>
          <w:rFonts w:ascii="Times New Roman" w:hAnsi="Times New Roman" w:cs="Times New Roman"/>
          <w:b/>
          <w:bCs/>
        </w:rPr>
        <w:t>Primary Purpose:</w:t>
      </w:r>
      <w:r>
        <w:rPr>
          <w:rFonts w:ascii="Times New Roman" w:hAnsi="Times New Roman" w:cs="Times New Roman"/>
        </w:rPr>
        <w:t xml:space="preserve"> Treatment</w:t>
      </w:r>
    </w:p>
    <w:p>
      <w:pPr>
        <w:rPr>
          <w:rFonts w:ascii="Times New Roman" w:hAnsi="Times New Roman" w:cs="Times New Roman"/>
        </w:rPr>
      </w:pPr>
      <w:r>
        <w:rPr>
          <w:rFonts w:ascii="Times New Roman" w:hAnsi="Times New Roman" w:cs="Times New Roman"/>
          <w:b/>
          <w:bCs/>
        </w:rPr>
        <w:t>Intervention</w:t>
      </w:r>
      <w:r>
        <w:rPr>
          <w:rFonts w:hint="eastAsia" w:ascii="Times New Roman" w:hAnsi="Times New Roman" w:cs="Times New Roman"/>
          <w:b/>
          <w:bCs/>
        </w:rPr>
        <w:t>:</w:t>
      </w:r>
      <w:r>
        <w:rPr>
          <w:rFonts w:ascii="Times New Roman" w:hAnsi="Times New Roman" w:cs="Times New Roman"/>
        </w:rPr>
        <w:t xml:space="preserve"> Recombinant Human VEGF Receptor-Fc Fusion Protein </w:t>
      </w:r>
      <w:r>
        <w:rPr>
          <w:rFonts w:hint="eastAsia" w:ascii="Times New Roman" w:hAnsi="Times New Roman" w:cs="Times New Roman"/>
        </w:rPr>
        <w:t>(</w:t>
      </w:r>
      <w:r>
        <w:rPr>
          <w:rFonts w:ascii="Times New Roman" w:hAnsi="Times New Roman" w:cs="Times New Roman"/>
        </w:rPr>
        <w:t>Intravitreal injection of KH902 once per month</w:t>
      </w:r>
      <w:r>
        <w:rPr>
          <w:rFonts w:hint="eastAsia" w:ascii="Times New Roman" w:hAnsi="Times New Roman" w:cs="Times New Roman"/>
        </w:rPr>
        <w:t>)</w:t>
      </w:r>
    </w:p>
    <w:p>
      <w:pPr>
        <w:rPr>
          <w:rFonts w:ascii="Times New Roman" w:hAnsi="Times New Roman" w:cs="Times New Roman"/>
          <w:b/>
          <w:bCs/>
        </w:rPr>
      </w:pPr>
      <w:r>
        <w:rPr>
          <w:rFonts w:hint="eastAsia" w:ascii="Times New Roman" w:hAnsi="Times New Roman" w:cs="Times New Roman"/>
          <w:b/>
          <w:bCs/>
        </w:rPr>
        <w:t>Study Arms：</w:t>
      </w:r>
    </w:p>
    <w:p>
      <w:pPr>
        <w:numPr>
          <w:ilvl w:val="0"/>
          <w:numId w:val="1"/>
        </w:numPr>
        <w:rPr>
          <w:rFonts w:ascii="Times New Roman" w:hAnsi="Times New Roman" w:cs="Times New Roman"/>
          <w:b/>
          <w:bCs/>
        </w:rPr>
      </w:pPr>
      <w:r>
        <w:rPr>
          <w:rFonts w:hint="eastAsia" w:ascii="Times New Roman" w:hAnsi="Times New Roman" w:cs="Times New Roman"/>
          <w:b/>
          <w:bCs/>
        </w:rPr>
        <w:t>Experimental Group</w:t>
      </w:r>
    </w:p>
    <w:p>
      <w:pPr>
        <w:ind w:left="360"/>
        <w:rPr>
          <w:rFonts w:ascii="Times New Roman" w:hAnsi="Times New Roman" w:cs="Times New Roman"/>
        </w:rPr>
      </w:pPr>
      <w:r>
        <w:rPr>
          <w:rFonts w:hint="eastAsia" w:ascii="Times New Roman" w:hAnsi="Times New Roman" w:cs="Times New Roman"/>
          <w:b/>
          <w:bCs/>
        </w:rPr>
        <w:t>Treatment Regimen:</w:t>
      </w:r>
      <w:r>
        <w:rPr>
          <w:rFonts w:hint="eastAsia" w:ascii="Times New Roman" w:hAnsi="Times New Roman" w:cs="Times New Roman"/>
        </w:rPr>
        <w:t xml:space="preserve"> Patients in the experimental group will first receive intravitreal injections of 0.5mg KH902 per eye once a month for three times in the study eye. At the end of month 3 (visit 5), they will get 2 sham injections monthly. After that, starting from month 5, they will receive intravitreal injections of KH902 once every three months until month 12 (specifically at month 5, month 8, and month 11).</w:t>
      </w:r>
    </w:p>
    <w:p>
      <w:pPr>
        <w:ind w:left="360"/>
        <w:rPr>
          <w:rFonts w:ascii="Times New Roman" w:hAnsi="Times New Roman" w:cs="Times New Roman"/>
        </w:rPr>
      </w:pPr>
      <w:r>
        <w:rPr>
          <w:rFonts w:hint="eastAsia" w:ascii="Times New Roman" w:hAnsi="Times New Roman" w:cs="Times New Roman"/>
          <w:b/>
          <w:bCs/>
        </w:rPr>
        <w:t xml:space="preserve">Intervention: </w:t>
      </w:r>
      <w:r>
        <w:rPr>
          <w:rFonts w:hint="eastAsia" w:ascii="Times New Roman" w:hAnsi="Times New Roman" w:cs="Times New Roman"/>
        </w:rPr>
        <w:t>The intervention for this group is a biological agent, Recombinant Human VEGF Receptor - Fc Fusion Protein, in the form of intravitreal KH902 injections following the above - mentioned schedule.</w:t>
      </w:r>
    </w:p>
    <w:p>
      <w:pPr>
        <w:numPr>
          <w:ilvl w:val="0"/>
          <w:numId w:val="1"/>
        </w:numPr>
        <w:rPr>
          <w:rFonts w:ascii="Times New Roman" w:hAnsi="Times New Roman" w:cs="Times New Roman"/>
          <w:b/>
          <w:bCs/>
        </w:rPr>
      </w:pPr>
      <w:r>
        <w:rPr>
          <w:rFonts w:hint="eastAsia" w:ascii="Times New Roman" w:hAnsi="Times New Roman" w:cs="Times New Roman"/>
          <w:b/>
          <w:bCs/>
        </w:rPr>
        <w:t>Sham Comparator Group</w:t>
      </w:r>
    </w:p>
    <w:p>
      <w:pPr>
        <w:ind w:left="360"/>
        <w:rPr>
          <w:rFonts w:ascii="Times New Roman" w:hAnsi="Times New Roman" w:cs="Times New Roman"/>
        </w:rPr>
      </w:pPr>
      <w:r>
        <w:rPr>
          <w:rFonts w:hint="eastAsia" w:ascii="Times New Roman" w:hAnsi="Times New Roman" w:cs="Times New Roman"/>
          <w:b/>
          <w:bCs/>
        </w:rPr>
        <w:t>Treatment Regimen:</w:t>
      </w:r>
      <w:r>
        <w:rPr>
          <w:rFonts w:hint="eastAsia" w:ascii="Times New Roman" w:hAnsi="Times New Roman" w:cs="Times New Roman"/>
        </w:rPr>
        <w:t xml:space="preserve"> Initially, patients in the sham comparator group will receive sham injections once a month for three times. Subsequently, they will receive intravitreal injections of 0.5mg KH902 per eye once a month for three times in the study eye. After three months of treatment, from month 8, they will receive intravitreal injections of KH902 once every three months until month 12 (at month 8 and month 11).</w:t>
      </w:r>
    </w:p>
    <w:p>
      <w:pPr>
        <w:ind w:left="360"/>
        <w:rPr>
          <w:rFonts w:ascii="Times New Roman" w:hAnsi="Times New Roman" w:cs="Times New Roman"/>
        </w:rPr>
      </w:pPr>
      <w:r>
        <w:rPr>
          <w:rFonts w:hint="eastAsia" w:ascii="Times New Roman" w:hAnsi="Times New Roman" w:cs="Times New Roman"/>
          <w:b/>
          <w:bCs/>
        </w:rPr>
        <w:t xml:space="preserve">Intervention: </w:t>
      </w:r>
      <w:r>
        <w:rPr>
          <w:rFonts w:hint="eastAsia" w:ascii="Times New Roman" w:hAnsi="Times New Roman" w:cs="Times New Roman"/>
        </w:rPr>
        <w:t>The intervention for this group includes sham injections in the initial stage and then intravitreal injections of Recombinant Human VEGF Receptor - Fc Fusion Protein (KH902) following the specific schedule.</w:t>
      </w:r>
    </w:p>
    <w:p/>
    <w:p>
      <w:pPr>
        <w:rPr>
          <w:rFonts w:ascii="Times New Roman" w:hAnsi="Times New Roman" w:cs="Times New Roman"/>
          <w:b/>
          <w:bCs/>
          <w:sz w:val="28"/>
          <w:szCs w:val="32"/>
        </w:rPr>
      </w:pPr>
      <w:r>
        <w:rPr>
          <w:rFonts w:ascii="Times New Roman" w:hAnsi="Times New Roman" w:cs="Times New Roman"/>
          <w:b/>
          <w:bCs/>
          <w:sz w:val="28"/>
          <w:szCs w:val="32"/>
        </w:rPr>
        <w:t>Eligibility Criteria</w:t>
      </w:r>
    </w:p>
    <w:p>
      <w:pPr>
        <w:rPr>
          <w:rFonts w:ascii="Times New Roman" w:hAnsi="Times New Roman" w:cs="Times New Roman"/>
          <w:b/>
          <w:bCs/>
        </w:rPr>
      </w:pPr>
      <w:r>
        <w:rPr>
          <w:rFonts w:ascii="Times New Roman" w:hAnsi="Times New Roman" w:cs="Times New Roman"/>
          <w:b/>
          <w:bCs/>
        </w:rPr>
        <w:t xml:space="preserve">Ages Eligible for Study: </w:t>
      </w:r>
      <w:r>
        <w:rPr>
          <w:rFonts w:ascii="Times New Roman" w:hAnsi="Times New Roman" w:cs="Times New Roman"/>
        </w:rPr>
        <w:t>50 Years and older (Adult, Older Adult)</w:t>
      </w:r>
    </w:p>
    <w:p>
      <w:pPr>
        <w:rPr>
          <w:rFonts w:ascii="Times New Roman" w:hAnsi="Times New Roman" w:cs="Times New Roman"/>
          <w:b/>
          <w:bCs/>
        </w:rPr>
      </w:pPr>
      <w:r>
        <w:rPr>
          <w:rFonts w:ascii="Times New Roman" w:hAnsi="Times New Roman" w:cs="Times New Roman"/>
          <w:b/>
          <w:bCs/>
        </w:rPr>
        <w:t xml:space="preserve">Sexes Eligible for Study: </w:t>
      </w:r>
      <w:r>
        <w:rPr>
          <w:rFonts w:ascii="Times New Roman" w:hAnsi="Times New Roman" w:cs="Times New Roman"/>
        </w:rPr>
        <w:t>All</w:t>
      </w:r>
    </w:p>
    <w:p>
      <w:r>
        <w:rPr>
          <w:rFonts w:ascii="Times New Roman" w:hAnsi="Times New Roman" w:cs="Times New Roman"/>
          <w:b/>
          <w:bCs/>
        </w:rPr>
        <w:t xml:space="preserve">Accepts Healthy Volunteers: </w:t>
      </w:r>
      <w:r>
        <w:rPr>
          <w:rFonts w:ascii="Times New Roman" w:hAnsi="Times New Roman" w:cs="Times New Roman"/>
        </w:rPr>
        <w:t>No</w:t>
      </w:r>
    </w:p>
    <w:p>
      <w:pPr>
        <w:rPr>
          <w:rFonts w:ascii="Times New Roman" w:hAnsi="Times New Roman" w:cs="Times New Roman"/>
          <w:b/>
          <w:bCs/>
        </w:rPr>
      </w:pPr>
      <w:r>
        <w:rPr>
          <w:rFonts w:ascii="Times New Roman" w:hAnsi="Times New Roman" w:cs="Times New Roman"/>
          <w:b/>
          <w:bCs/>
        </w:rPr>
        <w:t>Criteria:</w:t>
      </w:r>
    </w:p>
    <w:p>
      <w:pPr>
        <w:pStyle w:val="32"/>
        <w:widowControl/>
        <w:numPr>
          <w:ilvl w:val="0"/>
          <w:numId w:val="2"/>
        </w:numPr>
        <w:shd w:val="clear" w:color="auto" w:fill="FFFFFF"/>
        <w:ind w:hanging="363"/>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Inclusion Criteria:</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signed the Informed Consent Form.</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is at least 50 years old, regardless of gender.</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For the study eye, the total lesion size is no more than 30 mm².</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BCVA score of the study eye ranges from 19 to 73 letters.</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ocular media is clear, and the pupil can be dilated adequately to enable high - quality fundus photographic imaging.</w:t>
      </w:r>
    </w:p>
    <w:p>
      <w:pPr>
        <w:widowControl/>
        <w:numPr>
          <w:ilvl w:val="0"/>
          <w:numId w:val="3"/>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BCVA score of the fellow eye is 19 letters or more.</w:t>
      </w:r>
    </w:p>
    <w:p>
      <w:pPr>
        <w:pStyle w:val="32"/>
        <w:widowControl/>
        <w:numPr>
          <w:ilvl w:val="0"/>
          <w:numId w:val="2"/>
        </w:numPr>
        <w:shd w:val="clear" w:color="auto" w:fill="FFFFFF"/>
        <w:ind w:hanging="363"/>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Exclusion Criteria:</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currently has or has a history of non - exudative AMD diseases that can affect the inspection and measurement of the macula or central visual acuity.</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In the study eye, the subretinal hemorrhage area is 50% or more of the total lesion size.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In the study eye, the scar or fibrosis area is 50% or more of the total lesion size; or there is central foveal scar, fibrosis, or atrophy of the macula.</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study eye has a retinal pigment epithelial tear, retinal macular traction, macular epiretinal membrane, or has been diagnosed with polypoidal choroidal vasculopathy.</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received anti - VEGF drug treatment in the study eye within six months before screening, or anti - VEGF treatment in the fellow eye within three months before screening.</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had previous intraocular or periocular operations, except for eyelid operations that do not interfere with intravitreal injection in the study eye.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had previous ophthalmologic operations in the study eye.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There is currently active inflammation or infection in either eye.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uncontrolled glaucoma (either previous or current) in either eye, or has had a previous glaucoma filtering operation in the study eye.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is currently taking systemic medications that may cause toxicity to the crystalline lens.</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a history of allergy or a current allergic response.</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had surgery within one month before enrollment.</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infectious diseases that require systemic treatment.</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systemic autoimmune diseases.</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has any uncontrolled clinical disorders.</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Female patients of child - bearing potential have not used adequate contraception methods.</w:t>
      </w:r>
    </w:p>
    <w:p>
      <w:pPr>
        <w:widowControl/>
        <w:numPr>
          <w:ilvl w:val="0"/>
          <w:numId w:val="4"/>
        </w:numPr>
        <w:ind w:hanging="363"/>
        <w:rPr>
          <w:rFonts w:ascii="Times New Roman" w:hAnsi="Times New Roman" w:cs="Times New Roman"/>
          <w:szCs w:val="21"/>
        </w:rPr>
      </w:pPr>
      <w:r>
        <w:rPr>
          <w:rFonts w:ascii="Times New Roman" w:hAnsi="Times New Roman" w:eastAsia="Segoe UI" w:cs="Times New Roman"/>
          <w:color w:val="000000"/>
          <w:szCs w:val="21"/>
          <w:shd w:val="clear" w:color="auto" w:fill="FFFFFF"/>
        </w:rPr>
        <w:t>The patient is pregnant or nursing.</w:t>
      </w:r>
    </w:p>
    <w:p>
      <w:pPr>
        <w:widowControl/>
        <w:numPr>
          <w:ilvl w:val="0"/>
          <w:numId w:val="5"/>
        </w:numPr>
        <w:shd w:val="clear" w:color="auto" w:fill="FFFFFF"/>
        <w:jc w:val="left"/>
      </w:pPr>
      <w:r>
        <w:rPr>
          <w:rFonts w:ascii="Times New Roman" w:hAnsi="Times New Roman" w:eastAsia="Segoe UI" w:cs="Times New Roman"/>
          <w:color w:val="000000"/>
          <w:szCs w:val="21"/>
          <w:shd w:val="clear" w:color="auto" w:fill="FFFFFF"/>
        </w:rPr>
        <w:t>In the opinion of the investigators, the patient should be excluded.</w:t>
      </w:r>
      <w:r>
        <w:rPr>
          <w:rFonts w:ascii="Times New Roman" w:hAnsi="Times New Roman" w:eastAsia="宋体" w:cs="Times New Roman"/>
          <w:color w:val="000000"/>
          <w:kern w:val="0"/>
          <w:szCs w:val="21"/>
        </w:rPr>
        <w:br w:type="page"/>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t>The BLOSSOM Study</w:t>
      </w:r>
    </w:p>
    <w:p>
      <w:pPr>
        <w:rPr>
          <w:rFonts w:ascii="Times New Roman" w:hAnsi="Times New Roman" w:cs="Times New Roman"/>
          <w:sz w:val="28"/>
          <w:szCs w:val="32"/>
        </w:rPr>
      </w:pPr>
      <w:r>
        <w:rPr>
          <w:rFonts w:ascii="Times New Roman" w:hAnsi="Times New Roman" w:cs="Times New Roman"/>
          <w:b/>
          <w:bCs/>
          <w:sz w:val="28"/>
          <w:szCs w:val="32"/>
        </w:rPr>
        <w:t>Study Design</w:t>
      </w:r>
    </w:p>
    <w:p>
      <w:pPr>
        <w:rPr>
          <w:rFonts w:ascii="Times New Roman" w:hAnsi="Times New Roman" w:cs="Times New Roman"/>
          <w:b/>
          <w:bCs/>
        </w:rPr>
      </w:pPr>
      <w:r>
        <w:rPr>
          <w:rFonts w:ascii="Times New Roman" w:hAnsi="Times New Roman" w:cs="Times New Roman"/>
          <w:b/>
          <w:bCs/>
        </w:rPr>
        <w:t xml:space="preserve">Study Type: </w:t>
      </w:r>
      <w:r>
        <w:rPr>
          <w:rFonts w:ascii="Times New Roman" w:hAnsi="Times New Roman" w:cs="Times New Roman"/>
        </w:rPr>
        <w:t>Interventional (Clinical Trial)</w:t>
      </w:r>
      <w:r>
        <w:rPr>
          <w:rFonts w:ascii="Times New Roman" w:hAnsi="Times New Roman" w:cs="Times New Roman"/>
        </w:rPr>
        <w:br w:type="textWrapping"/>
      </w:r>
      <w:r>
        <w:rPr>
          <w:rFonts w:ascii="Times New Roman" w:hAnsi="Times New Roman" w:cs="Times New Roman"/>
          <w:b/>
          <w:bCs/>
        </w:rPr>
        <w:t xml:space="preserve">Actual Enrollment: </w:t>
      </w:r>
      <w:r>
        <w:rPr>
          <w:rFonts w:ascii="Times New Roman" w:hAnsi="Times New Roman" w:cs="Times New Roman"/>
        </w:rPr>
        <w:t>283 participants</w:t>
      </w:r>
      <w:r>
        <w:rPr>
          <w:rFonts w:ascii="Times New Roman" w:hAnsi="Times New Roman" w:cs="Times New Roman"/>
          <w:b/>
          <w:bCs/>
        </w:rPr>
        <w:br w:type="textWrapping"/>
      </w:r>
      <w:r>
        <w:rPr>
          <w:rFonts w:ascii="Times New Roman" w:hAnsi="Times New Roman" w:cs="Times New Roman"/>
          <w:b/>
          <w:bCs/>
        </w:rPr>
        <w:t xml:space="preserve">Allocation: </w:t>
      </w:r>
      <w:r>
        <w:rPr>
          <w:rFonts w:ascii="Times New Roman" w:hAnsi="Times New Roman" w:cs="Times New Roman"/>
        </w:rPr>
        <w:t>Randomized</w:t>
      </w:r>
      <w:r>
        <w:rPr>
          <w:rFonts w:ascii="Times New Roman" w:hAnsi="Times New Roman" w:cs="Times New Roman"/>
          <w:b/>
          <w:bCs/>
        </w:rPr>
        <w:br w:type="textWrapping"/>
      </w:r>
      <w:r>
        <w:rPr>
          <w:rFonts w:ascii="Times New Roman" w:hAnsi="Times New Roman" w:cs="Times New Roman"/>
          <w:b/>
          <w:bCs/>
        </w:rPr>
        <w:t xml:space="preserve">Intervention Model: </w:t>
      </w:r>
      <w:r>
        <w:rPr>
          <w:rFonts w:ascii="Times New Roman" w:hAnsi="Times New Roman" w:cs="Times New Roman"/>
        </w:rPr>
        <w:t>Parallel Assignment</w:t>
      </w:r>
      <w:r>
        <w:rPr>
          <w:rFonts w:ascii="Times New Roman" w:hAnsi="Times New Roman" w:cs="Times New Roman"/>
          <w:b/>
          <w:bCs/>
        </w:rPr>
        <w:br w:type="textWrapping"/>
      </w:r>
      <w:r>
        <w:rPr>
          <w:rFonts w:ascii="Times New Roman" w:hAnsi="Times New Roman" w:cs="Times New Roman"/>
          <w:b/>
          <w:bCs/>
        </w:rPr>
        <w:t xml:space="preserve">Masking: </w:t>
      </w:r>
      <w:r>
        <w:rPr>
          <w:rFonts w:ascii="Times New Roman" w:hAnsi="Times New Roman" w:cs="Times New Roman"/>
        </w:rPr>
        <w:t>Double - masked</w:t>
      </w:r>
      <w:r>
        <w:rPr>
          <w:rFonts w:ascii="Times New Roman" w:hAnsi="Times New Roman" w:cs="Times New Roman"/>
          <w:b/>
          <w:bCs/>
        </w:rPr>
        <w:br w:type="textWrapping"/>
      </w:r>
      <w:r>
        <w:rPr>
          <w:rFonts w:ascii="Times New Roman" w:hAnsi="Times New Roman" w:cs="Times New Roman"/>
          <w:b/>
          <w:bCs/>
        </w:rPr>
        <w:t xml:space="preserve">Primary Purpose: </w:t>
      </w:r>
      <w:r>
        <w:rPr>
          <w:rFonts w:ascii="Times New Roman" w:hAnsi="Times New Roman" w:cs="Times New Roman"/>
        </w:rPr>
        <w:t>Treatment</w:t>
      </w:r>
      <w:r>
        <w:rPr>
          <w:rFonts w:ascii="Times New Roman" w:hAnsi="Times New Roman" w:cs="Times New Roman"/>
          <w:b/>
          <w:bCs/>
        </w:rPr>
        <w:br w:type="textWrapping"/>
      </w:r>
      <w:r>
        <w:rPr>
          <w:rFonts w:ascii="Times New Roman" w:hAnsi="Times New Roman" w:cs="Times New Roman"/>
          <w:b/>
          <w:bCs/>
        </w:rPr>
        <w:t xml:space="preserve">Official Title: </w:t>
      </w:r>
      <w:r>
        <w:rPr>
          <w:rFonts w:ascii="Times New Roman" w:hAnsi="Times New Roman" w:cs="Times New Roman"/>
        </w:rPr>
        <w:t>Efficacy and Safety of Ranibizumab in Asian Patients with Branch Retinal Vein Occlusion: Results from the Randomized BLOSSOM Study</w:t>
      </w:r>
      <w:r>
        <w:rPr>
          <w:rFonts w:ascii="Times New Roman" w:hAnsi="Times New Roman" w:cs="Times New Roman"/>
        </w:rPr>
        <w:br w:type="textWrapping"/>
      </w:r>
      <w:r>
        <w:rPr>
          <w:rFonts w:ascii="Times New Roman" w:hAnsi="Times New Roman" w:cs="Times New Roman"/>
          <w:b/>
          <w:bCs/>
        </w:rPr>
        <w:t>Intervention:</w:t>
      </w:r>
    </w:p>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Ranibizumab 0.5 mg (Intravitreal injection of 0.5mg ranibizumab. The ranibizumab group received this treatment with a corresponding injection regimen).</w:t>
      </w:r>
    </w:p>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Sham (Sham injection. The sham group received sham injections in the early stage, and some patients switched to receive ranibizumab treatment later).</w:t>
      </w:r>
    </w:p>
    <w:p>
      <w:pPr>
        <w:rPr>
          <w:rFonts w:ascii="Times New Roman" w:hAnsi="Times New Roman" w:cs="Times New Roman"/>
          <w:b/>
          <w:bCs/>
          <w:szCs w:val="21"/>
        </w:rPr>
      </w:pPr>
      <w:r>
        <w:rPr>
          <w:rFonts w:ascii="Times New Roman" w:hAnsi="Times New Roman" w:cs="Times New Roman"/>
          <w:b/>
          <w:bCs/>
          <w:szCs w:val="21"/>
        </w:rPr>
        <w:t>Study Arms：</w:t>
      </w:r>
    </w:p>
    <w:p>
      <w:pPr>
        <w:rPr>
          <w:rFonts w:ascii="Times New Roman" w:hAnsi="Times New Roman" w:cs="Times New Roman"/>
        </w:rPr>
      </w:pPr>
      <w:r>
        <w:rPr>
          <w:rFonts w:ascii="Times New Roman" w:hAnsi="Times New Roman" w:cs="Times New Roman"/>
          <w:b/>
          <w:bCs/>
        </w:rPr>
        <w:t>Experimental: Ranibizumab 0.5 mg：</w:t>
      </w:r>
      <w:r>
        <w:rPr>
          <w:rFonts w:ascii="Times New Roman" w:hAnsi="Times New Roman" w:cs="Times New Roman"/>
        </w:rPr>
        <w:t>Patients will receive intravitreal injection of Ranibizumab 0.5mg/eye monthly for at least 3 times until stable maximal visual acuity (VA) is achieved. After that, an individualized VA stabilization criteria - driven pro re nata (PRN) regimen is followed.</w:t>
      </w:r>
    </w:p>
    <w:p>
      <w:pPr>
        <w:rPr>
          <w:rFonts w:ascii="Times New Roman" w:hAnsi="Times New Roman" w:cs="Times New Roman"/>
        </w:rPr>
      </w:pPr>
      <w:r>
        <w:rPr>
          <w:rFonts w:ascii="Times New Roman" w:hAnsi="Times New Roman" w:cs="Times New Roman"/>
          <w:b/>
          <w:bCs/>
        </w:rPr>
        <w:t>Sham Comparator:Sham - injection：</w:t>
      </w:r>
      <w:r>
        <w:rPr>
          <w:rFonts w:ascii="Times New Roman" w:hAnsi="Times New Roman" w:cs="Times New Roman"/>
        </w:rPr>
        <w:t>Patients will receive sham injection monthly up to month 5. From month 6, they could receive intravitreal injection of Ranibizumab 0.5mg/eye PRN. After that, they will receive intravitreal injection of Ranibizumab 0.5mg/eye once every three months, till month 12.</w:t>
      </w:r>
    </w:p>
    <w:p>
      <w:pPr>
        <w:rPr>
          <w:rFonts w:ascii="Times New Roman" w:hAnsi="Times New Roman" w:cs="Times New Roman"/>
          <w:b/>
          <w:bCs/>
        </w:rPr>
      </w:pPr>
      <w:r>
        <w:rPr>
          <w:rFonts w:ascii="Times New Roman" w:hAnsi="Times New Roman" w:cs="Times New Roman"/>
          <w:b/>
          <w:bCs/>
        </w:rPr>
        <w:t>Intervention：</w:t>
      </w:r>
    </w:p>
    <w:p>
      <w:pPr>
        <w:rPr>
          <w:rFonts w:ascii="Times New Roman" w:hAnsi="Times New Roman" w:cs="Times New Roman"/>
        </w:rPr>
      </w:pPr>
      <w:r>
        <w:rPr>
          <w:rFonts w:ascii="Times New Roman" w:hAnsi="Times New Roman" w:cs="Times New Roman"/>
          <w:b/>
          <w:bCs/>
        </w:rPr>
        <w:t>Experimental Group：</w:t>
      </w:r>
      <w:r>
        <w:rPr>
          <w:rFonts w:ascii="Times New Roman" w:hAnsi="Times New Roman" w:cs="Times New Roman"/>
        </w:rPr>
        <w:t>Biological: Ranibizumab 0.5 mg (Intravitreal injection of Ranibizumab 0.5mg/eye with specific injection frequency according to the treatment plan)</w:t>
      </w:r>
    </w:p>
    <w:p>
      <w:pPr>
        <w:rPr>
          <w:rFonts w:ascii="Times New Roman" w:hAnsi="Times New Roman" w:cs="Times New Roman"/>
        </w:rPr>
      </w:pPr>
      <w:r>
        <w:rPr>
          <w:rFonts w:ascii="Times New Roman" w:hAnsi="Times New Roman" w:cs="Times New Roman"/>
          <w:b/>
          <w:bCs/>
        </w:rPr>
        <w:t>Sham Comparator Group：</w:t>
      </w:r>
      <w:r>
        <w:rPr>
          <w:rFonts w:ascii="Times New Roman" w:hAnsi="Times New Roman" w:cs="Times New Roman"/>
        </w:rPr>
        <w:t>Biological: Ranibizumab 0.5 mg (Intravitreal injection of Ranibizumab 0.5mg/eye with specific injection frequency after month 6 according to the treatment plan), Sham injection (Received in the early stage of the study)</w:t>
      </w:r>
    </w:p>
    <w:p>
      <w:pPr>
        <w:rPr>
          <w:rFonts w:ascii="Times New Roman" w:hAnsi="Times New Roman" w:cs="Times New Roman"/>
        </w:rPr>
      </w:pPr>
    </w:p>
    <w:p>
      <w:pPr>
        <w:rPr>
          <w:rFonts w:ascii="Times New Roman" w:hAnsi="Times New Roman" w:cs="Times New Roman"/>
          <w:b/>
          <w:bCs/>
          <w:sz w:val="28"/>
          <w:szCs w:val="32"/>
        </w:rPr>
      </w:pPr>
      <w:r>
        <w:rPr>
          <w:rFonts w:ascii="Times New Roman" w:hAnsi="Times New Roman" w:cs="Times New Roman"/>
          <w:b/>
          <w:bCs/>
          <w:sz w:val="28"/>
          <w:szCs w:val="32"/>
        </w:rPr>
        <w:t>Eligibility Criteria</w:t>
      </w:r>
    </w:p>
    <w:p>
      <w:pPr>
        <w:rPr>
          <w:rFonts w:ascii="Times New Roman" w:hAnsi="Times New Roman" w:cs="Times New Roman"/>
        </w:rPr>
      </w:pPr>
      <w:r>
        <w:rPr>
          <w:rFonts w:ascii="Times New Roman" w:hAnsi="Times New Roman" w:cs="Times New Roman"/>
          <w:b/>
          <w:bCs/>
        </w:rPr>
        <w:t>Ages Eligible for Study:</w:t>
      </w:r>
      <w:r>
        <w:rPr>
          <w:rFonts w:ascii="Times New Roman" w:hAnsi="Times New Roman" w:cs="Times New Roman"/>
        </w:rPr>
        <w:t xml:space="preserve"> 18 Years and older</w:t>
      </w:r>
      <w:r>
        <w:rPr>
          <w:rFonts w:ascii="Times New Roman" w:hAnsi="Times New Roman" w:cs="Times New Roman"/>
        </w:rPr>
        <w:br w:type="textWrapping"/>
      </w:r>
      <w:r>
        <w:rPr>
          <w:rFonts w:ascii="Times New Roman" w:hAnsi="Times New Roman" w:cs="Times New Roman"/>
          <w:b/>
          <w:bCs/>
        </w:rPr>
        <w:t>Sexes Eligible for Study:</w:t>
      </w:r>
      <w:r>
        <w:rPr>
          <w:rFonts w:ascii="Times New Roman" w:hAnsi="Times New Roman" w:cs="Times New Roman"/>
        </w:rPr>
        <w:t xml:space="preserve"> All</w:t>
      </w:r>
      <w:r>
        <w:rPr>
          <w:rFonts w:ascii="Times New Roman" w:hAnsi="Times New Roman" w:cs="Times New Roman"/>
        </w:rPr>
        <w:br w:type="textWrapping"/>
      </w:r>
      <w:r>
        <w:rPr>
          <w:rFonts w:ascii="Times New Roman" w:hAnsi="Times New Roman" w:cs="Times New Roman"/>
          <w:b/>
          <w:bCs/>
        </w:rPr>
        <w:t xml:space="preserve">Accepts Healthy Volunteers: </w:t>
      </w:r>
      <w:r>
        <w:rPr>
          <w:rFonts w:ascii="Times New Roman" w:hAnsi="Times New Roman" w:cs="Times New Roman"/>
        </w:rPr>
        <w:t>No</w:t>
      </w:r>
    </w:p>
    <w:p>
      <w:pPr>
        <w:rPr>
          <w:rFonts w:ascii="Times New Roman" w:hAnsi="Times New Roman" w:cs="Times New Roman"/>
          <w:b/>
          <w:bCs/>
        </w:rPr>
      </w:pPr>
      <w:r>
        <w:rPr>
          <w:rFonts w:ascii="Times New Roman" w:hAnsi="Times New Roman" w:cs="Times New Roman"/>
          <w:b/>
          <w:bCs/>
        </w:rPr>
        <w:t>Criteria:</w:t>
      </w:r>
    </w:p>
    <w:p>
      <w:pPr>
        <w:pStyle w:val="32"/>
        <w:widowControl/>
        <w:numPr>
          <w:ilvl w:val="0"/>
          <w:numId w:val="6"/>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Inclusion Criteria:</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Signed the Informed Consent Form.</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 years old or older.</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 study eye best - corrected VA (BCVA) score ≥19 and ≤73 Early Treatment Diabetic Retinopathy Study (ETDRS) letters at screening and baseline visits (approximate Snellen equivalent of 20/400 and 20/40) and at least 34 letters in the fellow eye. If both eyes were eligible, the eye with the worse VA at the screening visit was selected as the study eye, unless, on the basis of medical reasons, the investigator deemed the other eye more appropriate for treatment and study inclusion. Only the study eye was treated with ranibizumab or sham injections.</w:t>
      </w:r>
    </w:p>
    <w:p>
      <w:pPr>
        <w:pStyle w:val="32"/>
        <w:widowControl/>
        <w:numPr>
          <w:ilvl w:val="0"/>
          <w:numId w:val="6"/>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Exclusion Criteria:</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ocular medical condition that may confound the interpretation of study results, compromise VA, affect ME, or require medical or surgical intervention in the study eye during the 12 - month study period.</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type of ocular or systemic disease or its treatment that may have biased the assessment of the clinical status of the patient to a significant degree or put the patient at special risk.</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Malignancy of any organ system within the 5 years before screening.</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Stroke or myocardial infarction &lt;3 months before screening.</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Confirmed uncontrolled blood pressure defined as a systolic value of &gt;160 mmHg or a diastolic value of &gt;100 mmHg at the screening or baseline visit.</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Use of any systemic anti - VEGF agents within 6 months before the baseline visit, treatment with any antiangiogenic agents within 3 months before the baseline visit in either eye, panretinal photocoagulation within 3 months before the baseline or anticipated within the next 12 months after the baseline visit in the study eye.</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Focal/grid laser photocoagulation within 4 months before the baseline visit.</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intraocular procedure (including yttrium - aluminum - garnet capsulotomy) within 2 months before the baseline visit or anticipated within the next 12 months after the baseline visit.</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Use of systemic or topical corticosteroids administered for at least 30 days within 6 months before the screening visit.</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Use of intraocular/periocular corticosteroids (including sub - tenon and implants) within 3 months before screening visit.</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History of vitrectomy, optic neurotomy, sheathotomy, or filtration surgery.</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Use of other investigational drugs within 30 days or 5 half - lives of the baseline visit, whichever was longer.</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Current or planned use of systemic medications known to be toxic to the lens, retina, or optic nerve.</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Known hypersensitivity to ranibizumab or any component of the ranibizumab formulation, or fluorescein.</w:t>
      </w:r>
    </w:p>
    <w:p>
      <w:pPr>
        <w:widowControl/>
        <w:numPr>
          <w:ilvl w:val="0"/>
          <w:numId w:val="5"/>
        </w:numPr>
        <w:shd w:val="clear" w:color="auto" w:fill="FFFFFF"/>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Pregnant or nursing women and women not on reliable contraception.</w:t>
      </w:r>
    </w:p>
    <w:p>
      <w:pPr>
        <w:widowControl/>
        <w:numPr>
          <w:ilvl w:val="0"/>
          <w:numId w:val="5"/>
        </w:numPr>
        <w:shd w:val="clear" w:color="auto" w:fill="FFFFFF"/>
        <w:jc w:val="left"/>
        <w:rPr>
          <w:rFonts w:ascii="Times New Roman" w:hAnsi="Times New Roman" w:eastAsia="宋体" w:cs="Times New Roman"/>
          <w:color w:val="000000"/>
          <w:kern w:val="0"/>
          <w:szCs w:val="21"/>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宋体" w:cs="Times New Roman"/>
          <w:sz w:val="28"/>
          <w:szCs w:val="28"/>
        </w:rPr>
      </w:pPr>
      <w:r>
        <w:rPr>
          <w:rFonts w:ascii="Times New Roman" w:hAnsi="Times New Roman" w:eastAsia="宋体" w:cs="Times New Roman"/>
          <w:sz w:val="28"/>
          <w:szCs w:val="28"/>
        </w:rPr>
        <w:t>The</w:t>
      </w:r>
      <w:r>
        <w:rPr>
          <w:rFonts w:hint="eastAsia" w:ascii="Times New Roman" w:hAnsi="Times New Roman" w:eastAsia="宋体" w:cs="Times New Roman"/>
          <w:sz w:val="28"/>
          <w:szCs w:val="28"/>
        </w:rPr>
        <w:t xml:space="preserve"> CAMELLIA Study</w:t>
      </w:r>
    </w:p>
    <w:p>
      <w:pPr>
        <w:rPr>
          <w:rFonts w:ascii="Times New Roman" w:hAnsi="Times New Roman" w:eastAsia="等线" w:cs="Times New Roman"/>
          <w:sz w:val="28"/>
          <w:szCs w:val="32"/>
        </w:rPr>
      </w:pPr>
      <w:r>
        <w:rPr>
          <w:rFonts w:ascii="Times New Roman" w:hAnsi="Times New Roman" w:eastAsia="等线" w:cs="Times New Roman"/>
          <w:b/>
          <w:bCs/>
          <w:sz w:val="28"/>
          <w:szCs w:val="32"/>
        </w:rPr>
        <w:t>Study Design</w:t>
      </w:r>
    </w:p>
    <w:p>
      <w:pPr>
        <w:rPr>
          <w:rFonts w:ascii="Times New Roman" w:hAnsi="Times New Roman" w:eastAsia="等线" w:cs="Times New Roman"/>
        </w:rPr>
      </w:pPr>
      <w:r>
        <w:rPr>
          <w:rFonts w:ascii="Times New Roman" w:hAnsi="Times New Roman" w:eastAsia="等线" w:cs="Times New Roman"/>
          <w:b/>
          <w:bCs/>
        </w:rPr>
        <w:t>Study Type:</w:t>
      </w:r>
      <w:r>
        <w:rPr>
          <w:rFonts w:ascii="Times New Roman" w:hAnsi="Times New Roman" w:eastAsia="等线" w:cs="Times New Roman"/>
        </w:rPr>
        <w:t xml:space="preserve"> Interventional (Clinical Trial)</w:t>
      </w:r>
    </w:p>
    <w:p>
      <w:pPr>
        <w:rPr>
          <w:rFonts w:ascii="Times New Roman" w:hAnsi="Times New Roman" w:eastAsia="等线" w:cs="Times New Roman"/>
        </w:rPr>
      </w:pPr>
      <w:r>
        <w:rPr>
          <w:rFonts w:ascii="Times New Roman" w:hAnsi="Times New Roman" w:eastAsia="等线" w:cs="Times New Roman"/>
          <w:b/>
          <w:bCs/>
        </w:rPr>
        <w:t>Actual Enrollment:</w:t>
      </w:r>
      <w:r>
        <w:rPr>
          <w:rFonts w:ascii="Times New Roman" w:hAnsi="Times New Roman" w:eastAsia="等线" w:cs="Times New Roman"/>
        </w:rPr>
        <w:t xml:space="preserve"> 25</w:t>
      </w:r>
      <w:r>
        <w:rPr>
          <w:rFonts w:hint="eastAsia" w:ascii="Times New Roman" w:hAnsi="Times New Roman" w:eastAsia="等线" w:cs="Times New Roman"/>
        </w:rPr>
        <w:t>2</w:t>
      </w:r>
      <w:r>
        <w:rPr>
          <w:rFonts w:ascii="Times New Roman" w:hAnsi="Times New Roman" w:eastAsia="等线" w:cs="Times New Roman"/>
        </w:rPr>
        <w:t xml:space="preserve"> participants</w:t>
      </w:r>
    </w:p>
    <w:p>
      <w:pPr>
        <w:rPr>
          <w:rFonts w:ascii="Times New Roman" w:hAnsi="Times New Roman" w:eastAsia="等线" w:cs="Times New Roman"/>
        </w:rPr>
      </w:pPr>
      <w:r>
        <w:rPr>
          <w:rFonts w:ascii="Times New Roman" w:hAnsi="Times New Roman" w:eastAsia="等线" w:cs="Times New Roman"/>
          <w:b/>
          <w:bCs/>
        </w:rPr>
        <w:t>Allocation:</w:t>
      </w:r>
      <w:r>
        <w:rPr>
          <w:rFonts w:ascii="Times New Roman" w:hAnsi="Times New Roman" w:eastAsia="等线" w:cs="Times New Roman"/>
        </w:rPr>
        <w:t xml:space="preserve"> Randomized</w:t>
      </w:r>
    </w:p>
    <w:p>
      <w:pPr>
        <w:rPr>
          <w:rFonts w:ascii="Times New Roman" w:hAnsi="Times New Roman" w:eastAsia="等线" w:cs="Times New Roman"/>
        </w:rPr>
      </w:pPr>
      <w:r>
        <w:rPr>
          <w:rFonts w:ascii="Times New Roman" w:hAnsi="Times New Roman" w:eastAsia="等线" w:cs="Times New Roman"/>
          <w:b/>
          <w:bCs/>
        </w:rPr>
        <w:t>Intervention Model:</w:t>
      </w:r>
      <w:r>
        <w:rPr>
          <w:rFonts w:ascii="Times New Roman" w:hAnsi="Times New Roman" w:eastAsia="等线" w:cs="Times New Roman"/>
        </w:rPr>
        <w:t xml:space="preserve"> Parallel Assignment</w:t>
      </w:r>
    </w:p>
    <w:p>
      <w:pPr>
        <w:rPr>
          <w:rFonts w:ascii="Times New Roman" w:hAnsi="Times New Roman" w:eastAsia="等线" w:cs="Times New Roman"/>
        </w:rPr>
      </w:pPr>
      <w:r>
        <w:rPr>
          <w:rFonts w:ascii="Times New Roman" w:hAnsi="Times New Roman" w:eastAsia="等线" w:cs="Times New Roman"/>
          <w:b/>
          <w:bCs/>
        </w:rPr>
        <w:t>Masking:</w:t>
      </w:r>
      <w:r>
        <w:rPr>
          <w:rFonts w:hint="eastAsia" w:ascii="Times New Roman" w:hAnsi="Times New Roman" w:eastAsia="等线" w:cs="Times New Roman"/>
        </w:rPr>
        <w:t xml:space="preserve"> Double</w:t>
      </w:r>
    </w:p>
    <w:p>
      <w:pPr>
        <w:rPr>
          <w:rFonts w:ascii="Times New Roman" w:hAnsi="Times New Roman" w:eastAsia="等线" w:cs="Times New Roman"/>
        </w:rPr>
      </w:pPr>
      <w:r>
        <w:rPr>
          <w:rFonts w:ascii="Times New Roman" w:hAnsi="Times New Roman" w:eastAsia="等线" w:cs="Times New Roman"/>
          <w:b/>
          <w:bCs/>
        </w:rPr>
        <w:t>Primary Purpose:</w:t>
      </w:r>
      <w:r>
        <w:rPr>
          <w:rFonts w:ascii="Times New Roman" w:hAnsi="Times New Roman" w:eastAsia="等线" w:cs="Times New Roman"/>
        </w:rPr>
        <w:t xml:space="preserve"> Treatment</w:t>
      </w:r>
    </w:p>
    <w:p>
      <w:pPr>
        <w:rPr>
          <w:rFonts w:ascii="Times New Roman" w:hAnsi="Times New Roman" w:eastAsia="等线" w:cs="Times New Roman"/>
        </w:rPr>
      </w:pPr>
      <w:r>
        <w:rPr>
          <w:rFonts w:ascii="Times New Roman" w:hAnsi="Times New Roman" w:eastAsia="等线" w:cs="Times New Roman"/>
          <w:b/>
          <w:bCs/>
        </w:rPr>
        <w:t>Official Title:</w:t>
      </w:r>
      <w:r>
        <w:rPr>
          <w:rFonts w:hint="eastAsia" w:ascii="Times New Roman" w:hAnsi="Times New Roman" w:eastAsia="等线" w:cs="Times New Roman"/>
        </w:rPr>
        <w:t>Ranibizumab 0.5 mg in Asian patients with visual impairment due to macular edema secondary to central retinal vein occlusion: results from the 12-month CAMELLIA study</w:t>
      </w:r>
    </w:p>
    <w:p>
      <w:pPr>
        <w:rPr>
          <w:rFonts w:ascii="Times New Roman" w:hAnsi="Times New Roman" w:eastAsia="等线" w:cs="Times New Roman"/>
        </w:rPr>
      </w:pPr>
      <w:r>
        <w:rPr>
          <w:rFonts w:ascii="Times New Roman" w:hAnsi="Times New Roman" w:eastAsia="等线" w:cs="Times New Roman"/>
          <w:b/>
          <w:bCs/>
        </w:rPr>
        <w:t>Intervention</w:t>
      </w:r>
      <w:r>
        <w:rPr>
          <w:rFonts w:hint="eastAsia" w:ascii="Times New Roman" w:hAnsi="Times New Roman" w:eastAsia="等线" w:cs="Times New Roman"/>
          <w:b/>
          <w:bCs/>
        </w:rPr>
        <w:t>:</w:t>
      </w:r>
      <w:r>
        <w:rPr>
          <w:rFonts w:hint="eastAsia" w:ascii="Times New Roman" w:hAnsi="Times New Roman" w:eastAsia="等线" w:cs="Times New Roman"/>
        </w:rPr>
        <w:t>Patients with central retinal veinwere randomized 3:1 to receive ranibizumab pro re nata (PRN) or sham.The main intervention measure is to use ranibizumab 0.5 mg for treatment.</w:t>
      </w:r>
    </w:p>
    <w:p>
      <w:pPr>
        <w:rPr>
          <w:rFonts w:ascii="Times New Roman" w:hAnsi="Times New Roman" w:cs="Times New Roman"/>
        </w:rPr>
      </w:pPr>
      <w:r>
        <w:rPr>
          <w:rFonts w:hint="eastAsia" w:ascii="Times New Roman" w:hAnsi="Times New Roman" w:cs="Times New Roman"/>
          <w:b/>
          <w:bCs/>
        </w:rPr>
        <w:t>Study Arms:</w:t>
      </w:r>
    </w:p>
    <w:p>
      <w:pPr>
        <w:widowControl/>
        <w:numPr>
          <w:ilvl w:val="0"/>
          <w:numId w:val="7"/>
        </w:numPr>
        <w:shd w:val="clear" w:color="auto" w:fill="FFFFFF"/>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Ranibizumab-group patients received 3 initial consecutive monthly injections, followed by individualized stabilization criteria-driven PRN treatment. </w:t>
      </w:r>
    </w:p>
    <w:p>
      <w:pPr>
        <w:widowControl/>
        <w:numPr>
          <w:ilvl w:val="0"/>
          <w:numId w:val="7"/>
        </w:numPr>
        <w:shd w:val="clear" w:color="auto" w:fill="FFFFFF"/>
        <w:jc w:val="left"/>
      </w:pPr>
      <w:r>
        <w:rPr>
          <w:rFonts w:hint="eastAsia" w:ascii="Times New Roman" w:hAnsi="Times New Roman" w:eastAsia="宋体" w:cs="Times New Roman"/>
          <w:color w:val="000000"/>
          <w:kern w:val="0"/>
          <w:szCs w:val="21"/>
        </w:rPr>
        <w:t>Sham-group patients received sham injections up to Month 2 and could receive ranibizumab PRN from Month 3 onwards.</w:t>
      </w:r>
    </w:p>
    <w:p/>
    <w:p/>
    <w:p/>
    <w:p/>
    <w:p>
      <w:pPr>
        <w:jc w:val="left"/>
        <w:sectPr>
          <w:pgSz w:w="11906" w:h="16838"/>
          <w:pgMar w:top="1440" w:right="1800" w:bottom="1440" w:left="1800" w:header="851" w:footer="992" w:gutter="0"/>
          <w:cols w:space="425" w:num="1"/>
          <w:docGrid w:type="lines" w:linePitch="312" w:charSpace="0"/>
        </w:sectPr>
      </w:pPr>
    </w:p>
    <w:p>
      <w:pPr>
        <w:widowControl/>
        <w:shd w:val="clear" w:color="auto" w:fill="FFFFFF"/>
        <w:jc w:val="left"/>
        <w:rPr>
          <w:rFonts w:ascii="Times New Roman" w:hAnsi="Times New Roman" w:eastAsia="宋体" w:cs="Times New Roman"/>
          <w:color w:val="000000"/>
          <w:kern w:val="0"/>
          <w:szCs w:val="21"/>
        </w:rPr>
      </w:pPr>
    </w:p>
    <w:p>
      <w:pPr>
        <w:jc w:val="center"/>
        <w:rPr>
          <w:rFonts w:ascii="Times New Roman" w:hAnsi="Times New Roman" w:cs="Times New Roman"/>
          <w:sz w:val="28"/>
          <w:szCs w:val="32"/>
        </w:rPr>
      </w:pPr>
      <w:r>
        <w:rPr>
          <w:rFonts w:ascii="Times New Roman" w:hAnsi="Times New Roman" w:cs="Times New Roman"/>
          <w:sz w:val="28"/>
          <w:szCs w:val="32"/>
        </w:rPr>
        <w:t>The SAILING Study</w:t>
      </w:r>
    </w:p>
    <w:p>
      <w:pPr>
        <w:rPr>
          <w:rFonts w:ascii="Times New Roman" w:hAnsi="Times New Roman" w:cs="Times New Roman"/>
          <w:sz w:val="28"/>
          <w:szCs w:val="32"/>
        </w:rPr>
      </w:pPr>
      <w:r>
        <w:rPr>
          <w:rFonts w:ascii="Times New Roman" w:hAnsi="Times New Roman" w:cs="Times New Roman"/>
          <w:b/>
          <w:bCs/>
          <w:sz w:val="28"/>
          <w:szCs w:val="32"/>
        </w:rPr>
        <w:t>Study Design</w:t>
      </w:r>
    </w:p>
    <w:p>
      <w:pPr>
        <w:rPr>
          <w:rFonts w:ascii="Times New Roman" w:hAnsi="Times New Roman" w:cs="Times New Roman"/>
          <w:szCs w:val="21"/>
        </w:rPr>
      </w:pPr>
      <w:r>
        <w:rPr>
          <w:rFonts w:ascii="Times New Roman" w:hAnsi="Times New Roman" w:cs="Times New Roman"/>
          <w:b/>
          <w:bCs/>
          <w:szCs w:val="21"/>
        </w:rPr>
        <w:t>Study Type:</w:t>
      </w:r>
      <w:r>
        <w:rPr>
          <w:rFonts w:ascii="Times New Roman" w:hAnsi="Times New Roman" w:cs="Times New Roman"/>
          <w:szCs w:val="21"/>
        </w:rPr>
        <w:t xml:space="preserve"> Interventional (Clinical Trial)</w:t>
      </w:r>
    </w:p>
    <w:p>
      <w:pPr>
        <w:rPr>
          <w:rFonts w:ascii="Times New Roman" w:hAnsi="Times New Roman" w:cs="Times New Roman"/>
          <w:szCs w:val="21"/>
        </w:rPr>
      </w:pPr>
      <w:r>
        <w:rPr>
          <w:rFonts w:ascii="Times New Roman" w:hAnsi="Times New Roman" w:cs="Times New Roman"/>
          <w:b/>
          <w:bCs/>
          <w:szCs w:val="21"/>
        </w:rPr>
        <w:t>Actual Enrollment:</w:t>
      </w:r>
      <w:r>
        <w:rPr>
          <w:rFonts w:ascii="Times New Roman" w:hAnsi="Times New Roman" w:cs="Times New Roman"/>
          <w:szCs w:val="21"/>
        </w:rPr>
        <w:t xml:space="preserve"> 248 participants</w:t>
      </w:r>
    </w:p>
    <w:p>
      <w:pPr>
        <w:rPr>
          <w:rFonts w:ascii="Times New Roman" w:hAnsi="Times New Roman" w:cs="Times New Roman"/>
          <w:szCs w:val="21"/>
        </w:rPr>
      </w:pPr>
      <w:r>
        <w:rPr>
          <w:rFonts w:ascii="Times New Roman" w:hAnsi="Times New Roman" w:cs="Times New Roman"/>
          <w:b/>
          <w:bCs/>
          <w:szCs w:val="21"/>
        </w:rPr>
        <w:t>Allocation:</w:t>
      </w:r>
      <w:r>
        <w:rPr>
          <w:rFonts w:ascii="Times New Roman" w:hAnsi="Times New Roman" w:cs="Times New Roman"/>
          <w:szCs w:val="21"/>
        </w:rPr>
        <w:t xml:space="preserve"> Randomized</w:t>
      </w:r>
    </w:p>
    <w:p>
      <w:pPr>
        <w:rPr>
          <w:rFonts w:ascii="Times New Roman" w:hAnsi="Times New Roman" w:cs="Times New Roman"/>
          <w:szCs w:val="21"/>
        </w:rPr>
      </w:pPr>
      <w:r>
        <w:rPr>
          <w:rFonts w:ascii="Times New Roman" w:hAnsi="Times New Roman" w:cs="Times New Roman"/>
          <w:b/>
          <w:bCs/>
          <w:szCs w:val="21"/>
        </w:rPr>
        <w:t>Intervention Model:</w:t>
      </w:r>
      <w:r>
        <w:rPr>
          <w:rFonts w:ascii="Times New Roman" w:hAnsi="Times New Roman" w:cs="Times New Roman"/>
          <w:szCs w:val="21"/>
        </w:rPr>
        <w:t xml:space="preserve"> Parallel Assignment</w:t>
      </w:r>
    </w:p>
    <w:p>
      <w:pPr>
        <w:rPr>
          <w:rFonts w:ascii="Times New Roman" w:hAnsi="Times New Roman" w:cs="Times New Roman"/>
          <w:szCs w:val="21"/>
        </w:rPr>
      </w:pPr>
      <w:r>
        <w:rPr>
          <w:rFonts w:ascii="Times New Roman" w:hAnsi="Times New Roman" w:cs="Times New Roman"/>
          <w:b/>
          <w:bCs/>
          <w:szCs w:val="21"/>
        </w:rPr>
        <w:t>Masking:</w:t>
      </w:r>
      <w:r>
        <w:rPr>
          <w:rFonts w:ascii="Times New Roman" w:hAnsi="Times New Roman" w:cs="Times New Roman"/>
          <w:szCs w:val="21"/>
        </w:rPr>
        <w:t xml:space="preserve"> Quadruple (Participant, Care Provider, Investigator, Outcomes Assessor)</w:t>
      </w:r>
    </w:p>
    <w:p>
      <w:pPr>
        <w:rPr>
          <w:rFonts w:ascii="Times New Roman" w:hAnsi="Times New Roman" w:cs="Times New Roman"/>
          <w:szCs w:val="21"/>
        </w:rPr>
      </w:pPr>
      <w:r>
        <w:rPr>
          <w:rFonts w:ascii="Times New Roman" w:hAnsi="Times New Roman" w:cs="Times New Roman"/>
          <w:b/>
          <w:bCs/>
          <w:szCs w:val="21"/>
        </w:rPr>
        <w:t>Primary Purpose:</w:t>
      </w:r>
      <w:r>
        <w:rPr>
          <w:rFonts w:ascii="Times New Roman" w:hAnsi="Times New Roman" w:cs="Times New Roman"/>
          <w:szCs w:val="21"/>
        </w:rPr>
        <w:t xml:space="preserve"> Treatment</w:t>
      </w:r>
    </w:p>
    <w:p>
      <w:pPr>
        <w:rPr>
          <w:rFonts w:ascii="Times New Roman" w:hAnsi="Times New Roman" w:cs="Times New Roman"/>
          <w:b/>
          <w:bCs/>
          <w:szCs w:val="21"/>
        </w:rPr>
      </w:pPr>
      <w:r>
        <w:rPr>
          <w:rFonts w:ascii="Times New Roman" w:hAnsi="Times New Roman" w:cs="Times New Roman"/>
          <w:b/>
          <w:bCs/>
          <w:szCs w:val="21"/>
        </w:rPr>
        <w:t>Intervention:</w:t>
      </w:r>
    </w:p>
    <w:p>
      <w:pPr>
        <w:numPr>
          <w:ilvl w:val="0"/>
          <w:numId w:val="8"/>
        </w:numPr>
        <w:rPr>
          <w:rFonts w:ascii="Times New Roman" w:hAnsi="Times New Roman" w:eastAsia="宋体" w:cs="Times New Roman"/>
          <w:szCs w:val="21"/>
        </w:rPr>
      </w:pPr>
      <w:r>
        <w:rPr>
          <w:rFonts w:ascii="Times New Roman" w:hAnsi="Times New Roman" w:eastAsia="宋体" w:cs="Times New Roman"/>
          <w:szCs w:val="21"/>
        </w:rPr>
        <w:t>Drug:  Conbercept (Intravitreal injection of 0.5 mg Conbercept in the first month, and then repeated as required.)</w:t>
      </w:r>
    </w:p>
    <w:p>
      <w:pPr>
        <w:numPr>
          <w:ilvl w:val="0"/>
          <w:numId w:val="8"/>
        </w:numPr>
        <w:rPr>
          <w:rFonts w:ascii="Times New Roman" w:hAnsi="Times New Roman" w:eastAsia="宋体" w:cs="Times New Roman"/>
          <w:szCs w:val="21"/>
        </w:rPr>
      </w:pPr>
      <w:r>
        <w:rPr>
          <w:rFonts w:ascii="Times New Roman" w:hAnsi="Times New Roman" w:eastAsia="宋体" w:cs="Times New Roman"/>
          <w:szCs w:val="21"/>
        </w:rPr>
        <w:t>Other: Sham injection (Sham intravitreal injection in the first month, and then repeated as required.)</w:t>
      </w:r>
    </w:p>
    <w:p>
      <w:pPr>
        <w:numPr>
          <w:ilvl w:val="0"/>
          <w:numId w:val="8"/>
        </w:numPr>
        <w:rPr>
          <w:rFonts w:ascii="Times New Roman" w:hAnsi="Times New Roman" w:eastAsia="宋体" w:cs="Times New Roman"/>
          <w:szCs w:val="21"/>
        </w:rPr>
      </w:pPr>
      <w:r>
        <w:rPr>
          <w:rFonts w:ascii="Times New Roman" w:hAnsi="Times New Roman" w:eastAsia="宋体" w:cs="Times New Roman"/>
          <w:szCs w:val="21"/>
        </w:rPr>
        <w:t>Procedure: Laser Treatment (Laser treatment in the first month, and then repeated as required.)</w:t>
      </w:r>
    </w:p>
    <w:p>
      <w:pPr>
        <w:numPr>
          <w:ilvl w:val="0"/>
          <w:numId w:val="8"/>
        </w:numPr>
        <w:rPr>
          <w:rFonts w:ascii="Times New Roman" w:hAnsi="Times New Roman" w:eastAsia="宋体" w:cs="Times New Roman"/>
          <w:szCs w:val="21"/>
        </w:rPr>
      </w:pPr>
      <w:r>
        <w:rPr>
          <w:rFonts w:ascii="Times New Roman" w:hAnsi="Times New Roman" w:eastAsia="宋体" w:cs="Times New Roman"/>
          <w:szCs w:val="21"/>
        </w:rPr>
        <w:t>Other: Sham Laser Treatment (Sham laser treatment in the first month, and then repeated as required.)</w:t>
      </w:r>
    </w:p>
    <w:p>
      <w:pPr>
        <w:rPr>
          <w:rFonts w:ascii="Times New Roman" w:hAnsi="Times New Roman" w:cs="Times New Roman"/>
          <w:b/>
          <w:bCs/>
          <w:szCs w:val="21"/>
        </w:rPr>
      </w:pPr>
      <w:r>
        <w:rPr>
          <w:rFonts w:ascii="Times New Roman" w:hAnsi="Times New Roman" w:cs="Times New Roman"/>
          <w:b/>
          <w:bCs/>
          <w:szCs w:val="21"/>
        </w:rPr>
        <w:t>Study Arms:</w:t>
      </w:r>
    </w:p>
    <w:p>
      <w:pPr>
        <w:numPr>
          <w:ilvl w:val="0"/>
          <w:numId w:val="9"/>
        </w:numPr>
        <w:rPr>
          <w:rFonts w:ascii="Times New Roman" w:hAnsi="Times New Roman" w:eastAsia="宋体" w:cs="Times New Roman"/>
          <w:b/>
          <w:bCs/>
          <w:szCs w:val="21"/>
        </w:rPr>
      </w:pPr>
      <w:r>
        <w:rPr>
          <w:rFonts w:ascii="Times New Roman" w:hAnsi="Times New Roman" w:eastAsia="宋体" w:cs="Times New Roman"/>
          <w:b/>
          <w:bCs/>
          <w:szCs w:val="21"/>
        </w:rPr>
        <w:t>Experimental: Conbercept treatment group</w:t>
      </w:r>
    </w:p>
    <w:p>
      <w:pPr>
        <w:ind w:left="420" w:leftChars="200"/>
        <w:rPr>
          <w:rFonts w:ascii="Times New Roman" w:hAnsi="Times New Roman" w:eastAsia="宋体" w:cs="Times New Roman"/>
          <w:szCs w:val="21"/>
        </w:rPr>
      </w:pPr>
      <w:r>
        <w:rPr>
          <w:rFonts w:ascii="Times New Roman" w:hAnsi="Times New Roman" w:eastAsia="宋体" w:cs="Times New Roman"/>
          <w:szCs w:val="21"/>
        </w:rPr>
        <w:t>Conduct the first Conbercept injection and sham laser treatment on day 0. Researchers will decide whether the subjects need to receive repeated treatment according to the monthly assessment results.</w:t>
      </w:r>
    </w:p>
    <w:p>
      <w:pPr>
        <w:ind w:left="420" w:leftChars="200"/>
        <w:rPr>
          <w:rFonts w:ascii="Times New Roman" w:hAnsi="Times New Roman" w:eastAsia="宋体" w:cs="Times New Roman"/>
          <w:b/>
          <w:bCs/>
          <w:szCs w:val="21"/>
        </w:rPr>
      </w:pPr>
      <w:r>
        <w:rPr>
          <w:rFonts w:ascii="Times New Roman" w:hAnsi="Times New Roman" w:eastAsia="宋体" w:cs="Times New Roman"/>
          <w:b/>
          <w:bCs/>
          <w:szCs w:val="21"/>
        </w:rPr>
        <w:t>Interventions:</w:t>
      </w:r>
    </w:p>
    <w:p>
      <w:pPr>
        <w:numPr>
          <w:ilvl w:val="1"/>
          <w:numId w:val="9"/>
        </w:numPr>
        <w:rPr>
          <w:rFonts w:ascii="Times New Roman" w:hAnsi="Times New Roman" w:eastAsia="宋体" w:cs="Times New Roman"/>
          <w:szCs w:val="21"/>
        </w:rPr>
      </w:pPr>
      <w:r>
        <w:rPr>
          <w:rFonts w:ascii="Times New Roman" w:hAnsi="Times New Roman" w:eastAsia="宋体" w:cs="Times New Roman"/>
          <w:szCs w:val="21"/>
        </w:rPr>
        <w:t>Drug: Conbercept</w:t>
      </w:r>
    </w:p>
    <w:p>
      <w:pPr>
        <w:numPr>
          <w:ilvl w:val="1"/>
          <w:numId w:val="9"/>
        </w:numPr>
        <w:rPr>
          <w:rFonts w:ascii="Times New Roman" w:hAnsi="Times New Roman" w:eastAsia="宋体" w:cs="Times New Roman"/>
          <w:szCs w:val="21"/>
        </w:rPr>
      </w:pPr>
      <w:r>
        <w:rPr>
          <w:rFonts w:ascii="Times New Roman" w:hAnsi="Times New Roman" w:eastAsia="宋体" w:cs="Times New Roman"/>
          <w:szCs w:val="21"/>
        </w:rPr>
        <w:t>Other: Sham laser</w:t>
      </w:r>
    </w:p>
    <w:p>
      <w:pPr>
        <w:numPr>
          <w:ilvl w:val="0"/>
          <w:numId w:val="9"/>
        </w:numPr>
        <w:rPr>
          <w:rFonts w:ascii="Times New Roman" w:hAnsi="Times New Roman" w:eastAsia="宋体" w:cs="Times New Roman"/>
          <w:b/>
          <w:bCs/>
          <w:szCs w:val="21"/>
        </w:rPr>
      </w:pPr>
      <w:r>
        <w:rPr>
          <w:rFonts w:ascii="Times New Roman" w:hAnsi="Times New Roman" w:eastAsia="宋体" w:cs="Times New Roman"/>
          <w:b/>
          <w:bCs/>
          <w:szCs w:val="21"/>
        </w:rPr>
        <w:t>Positive Control Group: Laser treatment group</w:t>
      </w:r>
    </w:p>
    <w:p>
      <w:pPr>
        <w:ind w:left="420" w:leftChars="200"/>
        <w:rPr>
          <w:rFonts w:ascii="Times New Roman" w:hAnsi="Times New Roman" w:eastAsia="宋体" w:cs="Times New Roman"/>
          <w:szCs w:val="21"/>
        </w:rPr>
      </w:pPr>
      <w:r>
        <w:rPr>
          <w:rFonts w:ascii="Times New Roman" w:hAnsi="Times New Roman" w:eastAsia="宋体" w:cs="Times New Roman"/>
          <w:szCs w:val="21"/>
        </w:rPr>
        <w:t>Conduct the first laser treatment and sham injection on day 0. Researchers will decide whether repeated laser treatment is needed according to the monthly results during the follow-up visit after 3 months.</w:t>
      </w:r>
    </w:p>
    <w:p>
      <w:pPr>
        <w:ind w:left="420" w:leftChars="200"/>
        <w:rPr>
          <w:rFonts w:ascii="Times New Roman" w:hAnsi="Times New Roman" w:eastAsia="宋体" w:cs="Times New Roman"/>
          <w:b/>
          <w:bCs/>
          <w:szCs w:val="21"/>
        </w:rPr>
      </w:pPr>
      <w:r>
        <w:rPr>
          <w:rFonts w:ascii="Times New Roman" w:hAnsi="Times New Roman" w:eastAsia="宋体" w:cs="Times New Roman"/>
          <w:b/>
          <w:bCs/>
          <w:szCs w:val="21"/>
        </w:rPr>
        <w:t>Interventions:</w:t>
      </w:r>
    </w:p>
    <w:p>
      <w:pPr>
        <w:numPr>
          <w:ilvl w:val="1"/>
          <w:numId w:val="9"/>
        </w:numPr>
        <w:rPr>
          <w:rFonts w:ascii="Times New Roman" w:hAnsi="Times New Roman" w:eastAsia="宋体" w:cs="Times New Roman"/>
          <w:szCs w:val="21"/>
        </w:rPr>
      </w:pPr>
      <w:r>
        <w:rPr>
          <w:rFonts w:ascii="Times New Roman" w:hAnsi="Times New Roman" w:eastAsia="宋体" w:cs="Times New Roman"/>
          <w:szCs w:val="21"/>
        </w:rPr>
        <w:t>Other: Sham injection</w:t>
      </w:r>
    </w:p>
    <w:p>
      <w:pPr>
        <w:numPr>
          <w:ilvl w:val="1"/>
          <w:numId w:val="9"/>
        </w:numPr>
        <w:rPr>
          <w:rFonts w:ascii="Times New Roman" w:hAnsi="Times New Roman" w:eastAsia="宋体" w:cs="Times New Roman"/>
          <w:szCs w:val="21"/>
        </w:rPr>
      </w:pPr>
      <w:r>
        <w:rPr>
          <w:rFonts w:ascii="Times New Roman" w:hAnsi="Times New Roman" w:eastAsia="宋体" w:cs="Times New Roman"/>
          <w:szCs w:val="21"/>
        </w:rPr>
        <w:t>Procedure: Laser</w:t>
      </w:r>
    </w:p>
    <w:p>
      <w:pPr>
        <w:rPr>
          <w:rFonts w:ascii="Times New Roman" w:hAnsi="Times New Roman" w:eastAsia="宋体" w:cs="Times New Roman"/>
          <w:sz w:val="22"/>
        </w:rPr>
      </w:pPr>
    </w:p>
    <w:p>
      <w:pPr>
        <w:rPr>
          <w:rFonts w:ascii="Times New Roman" w:hAnsi="Times New Roman" w:cs="Times New Roman"/>
          <w:b/>
          <w:bCs/>
          <w:sz w:val="28"/>
          <w:szCs w:val="32"/>
        </w:rPr>
      </w:pPr>
      <w:r>
        <w:rPr>
          <w:rFonts w:ascii="Times New Roman" w:hAnsi="Times New Roman" w:cs="Times New Roman"/>
          <w:b/>
          <w:bCs/>
          <w:sz w:val="28"/>
          <w:szCs w:val="32"/>
        </w:rPr>
        <w:t>Eligibility Criteria</w:t>
      </w:r>
    </w:p>
    <w:p>
      <w:pPr>
        <w:rPr>
          <w:rFonts w:ascii="Times New Roman" w:hAnsi="Times New Roman" w:cs="Times New Roman"/>
          <w:b/>
          <w:bCs/>
          <w:szCs w:val="21"/>
        </w:rPr>
      </w:pPr>
      <w:r>
        <w:rPr>
          <w:rFonts w:ascii="Times New Roman" w:hAnsi="Times New Roman" w:cs="Times New Roman"/>
          <w:b/>
          <w:bCs/>
          <w:szCs w:val="21"/>
        </w:rPr>
        <w:t xml:space="preserve">Ages Eligible for Study: </w:t>
      </w:r>
      <w:r>
        <w:rPr>
          <w:rFonts w:ascii="Times New Roman" w:hAnsi="Times New Roman" w:cs="Times New Roman"/>
          <w:szCs w:val="21"/>
        </w:rPr>
        <w:t>18 years old and above (Adults, Older Adults)</w:t>
      </w:r>
    </w:p>
    <w:p>
      <w:pPr>
        <w:rPr>
          <w:rFonts w:ascii="Times New Roman" w:hAnsi="Times New Roman" w:cs="Times New Roman"/>
          <w:b/>
          <w:bCs/>
          <w:szCs w:val="21"/>
        </w:rPr>
      </w:pPr>
      <w:r>
        <w:rPr>
          <w:rFonts w:ascii="Times New Roman" w:hAnsi="Times New Roman" w:cs="Times New Roman"/>
          <w:b/>
          <w:bCs/>
          <w:szCs w:val="21"/>
        </w:rPr>
        <w:t xml:space="preserve">Sexes Eligible for Study: </w:t>
      </w:r>
      <w:r>
        <w:rPr>
          <w:rFonts w:ascii="Times New Roman" w:hAnsi="Times New Roman" w:cs="Times New Roman"/>
          <w:szCs w:val="21"/>
        </w:rPr>
        <w:t>All</w:t>
      </w:r>
    </w:p>
    <w:p>
      <w:pPr>
        <w:rPr>
          <w:rFonts w:ascii="Times New Roman" w:hAnsi="Times New Roman" w:cs="Times New Roman"/>
          <w:b/>
          <w:bCs/>
          <w:szCs w:val="21"/>
        </w:rPr>
      </w:pPr>
      <w:r>
        <w:rPr>
          <w:rFonts w:ascii="Times New Roman" w:hAnsi="Times New Roman" w:cs="Times New Roman"/>
          <w:b/>
          <w:bCs/>
          <w:szCs w:val="21"/>
        </w:rPr>
        <w:t xml:space="preserve">Accepts Healthy Volunteers: </w:t>
      </w:r>
      <w:r>
        <w:rPr>
          <w:rFonts w:ascii="Times New Roman" w:hAnsi="Times New Roman" w:cs="Times New Roman"/>
          <w:szCs w:val="21"/>
        </w:rPr>
        <w:t>No</w:t>
      </w:r>
    </w:p>
    <w:p>
      <w:pPr>
        <w:rPr>
          <w:rFonts w:ascii="Times New Roman" w:hAnsi="Times New Roman" w:cs="Times New Roman"/>
          <w:b/>
          <w:bCs/>
          <w:szCs w:val="21"/>
        </w:rPr>
      </w:pPr>
      <w:r>
        <w:rPr>
          <w:rFonts w:ascii="Times New Roman" w:hAnsi="Times New Roman" w:cs="Times New Roman"/>
          <w:b/>
          <w:bCs/>
          <w:szCs w:val="21"/>
        </w:rPr>
        <w:t>Criteria:</w:t>
      </w:r>
    </w:p>
    <w:p>
      <w:pPr>
        <w:numPr>
          <w:ilvl w:val="0"/>
          <w:numId w:val="10"/>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Inclusion Criteria:</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Patients sign the informed consent form and are willing and able to comply with all follow-up requirements.</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Age ≥ 18 years old, regardless of gender.</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Diagnosis of type 1 or type 2 diabetes mellitus.</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Serum glycated hemoglobin (HbA1c) ≤ 10%.</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study eye must meet the following conditions.</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Visual impairment caused by diabetic macular edema (DME) involving the fovea centralis.</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best corrected visual acuity (BCVA) score is ≥ 24 and ≤ 73 letters in the Early Treatment Diabetic Retinopathy Study (ETDRS) 4-meter/1-meter test (equivalent to Snellen visual acuity chart 20/40 to 20/320).</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Visual impairment caused by choroidal neovascularization (CNV) secondary to high myopia.</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central retinal thickness (CRT) ≥ 300μm (measured by spectral domain optical coherence tomography (OCT), and the CRT measurement results must be confirmed by the central reading center).</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Opacities of the refractive media and miosis do not affect fundus examination.</w:t>
      </w:r>
    </w:p>
    <w:p>
      <w:pPr>
        <w:numPr>
          <w:ilvl w:val="0"/>
          <w:numId w:val="11"/>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BCVA of the non-study eye ≥ 24 letters (equivalent to Snellen visual acuity 20/320).</w:t>
      </w:r>
    </w:p>
    <w:p>
      <w:pPr>
        <w:numPr>
          <w:ilvl w:val="0"/>
          <w:numId w:val="10"/>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Exclusion Criteria:</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Active infectious ocular inflammation in either eye.</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Proliferative diabetic retinopathy (PDR) in the study eye, except for inactive and regressed PDR.</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other ocular diseases in the study eye that may cause macular edema, excluding diabetic retinopathy.</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Iris neovascularization in the study eye.</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Uncontrolled glaucoma or a history of glaucoma surgery.</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Aphakia in the study eye.</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 history of vitrectomy in the study eye.</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 history of panretinal laser photocoagulation (PRP) in the study eye within 6 months before screening, or the possibility of needing panretinal photocoagulation of the study eye during the study.</w:t>
      </w:r>
    </w:p>
    <w:p>
      <w:pPr>
        <w:numPr>
          <w:ilvl w:val="0"/>
          <w:numId w:val="12"/>
        </w:numP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Hepatic or renal dysfunction.</w:t>
      </w:r>
    </w:p>
    <w:p>
      <w:pPr>
        <w:numPr>
          <w:ilvl w:val="0"/>
          <w:numId w:val="12"/>
        </w:numPr>
        <w:rPr>
          <w:rFonts w:ascii="Times New Roman" w:hAnsi="Times New Roman" w:eastAsia="宋体" w:cs="Times New Roman"/>
          <w:color w:val="000000"/>
          <w:kern w:val="0"/>
          <w:szCs w:val="21"/>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kern w:val="0"/>
          <w:szCs w:val="21"/>
        </w:rPr>
        <w:t>A history of allergic reactions to fluorescein, protein agents for diagnosis or treatment, or being allergic to more than 2 drug or non-drug factors, or having concurrent allergic diseases.</w:t>
      </w:r>
    </w:p>
    <w:p>
      <w:pPr>
        <w:jc w:val="center"/>
        <w:rPr>
          <w:rFonts w:ascii="Times New Roman" w:hAnsi="Times New Roman" w:cs="Times New Roman"/>
          <w:sz w:val="28"/>
          <w:szCs w:val="32"/>
        </w:rPr>
      </w:pPr>
      <w:r>
        <w:rPr>
          <w:rFonts w:ascii="Times New Roman" w:hAnsi="Times New Roman" w:cs="Times New Roman"/>
          <w:sz w:val="28"/>
          <w:szCs w:val="32"/>
        </w:rPr>
        <w:t>The SHINY Study</w:t>
      </w:r>
    </w:p>
    <w:p>
      <w:pPr>
        <w:rPr>
          <w:rFonts w:ascii="Times New Roman" w:hAnsi="Times New Roman" w:cs="Times New Roman"/>
          <w:sz w:val="28"/>
          <w:szCs w:val="32"/>
        </w:rPr>
      </w:pPr>
      <w:r>
        <w:rPr>
          <w:rFonts w:ascii="Times New Roman" w:hAnsi="Times New Roman" w:cs="Times New Roman"/>
          <w:b/>
          <w:bCs/>
          <w:sz w:val="28"/>
          <w:szCs w:val="32"/>
        </w:rPr>
        <w:t>Study Design</w:t>
      </w:r>
    </w:p>
    <w:p>
      <w:pPr>
        <w:rPr>
          <w:rFonts w:ascii="Times New Roman" w:hAnsi="Times New Roman" w:cs="Times New Roman"/>
        </w:rPr>
      </w:pPr>
      <w:r>
        <w:rPr>
          <w:rFonts w:ascii="Times New Roman" w:hAnsi="Times New Roman" w:cs="Times New Roman"/>
          <w:b/>
          <w:bCs/>
        </w:rPr>
        <w:t>Study Type:</w:t>
      </w:r>
      <w:r>
        <w:rPr>
          <w:rFonts w:ascii="Times New Roman" w:hAnsi="Times New Roman" w:cs="Times New Roman"/>
        </w:rPr>
        <w:t xml:space="preserve"> Interventional (Clinical Trial)</w:t>
      </w:r>
    </w:p>
    <w:p>
      <w:pPr>
        <w:rPr>
          <w:rFonts w:ascii="Times New Roman" w:hAnsi="Times New Roman" w:cs="Times New Roman"/>
          <w:szCs w:val="21"/>
        </w:rPr>
      </w:pPr>
      <w:r>
        <w:rPr>
          <w:rFonts w:ascii="Times New Roman" w:hAnsi="Times New Roman" w:cs="Times New Roman"/>
          <w:b/>
          <w:bCs/>
          <w:szCs w:val="21"/>
        </w:rPr>
        <w:t>Actual Enrollment:</w:t>
      </w:r>
      <w:r>
        <w:rPr>
          <w:rFonts w:ascii="Times New Roman" w:hAnsi="Times New Roman" w:cs="Times New Roman"/>
          <w:szCs w:val="21"/>
        </w:rPr>
        <w:t xml:space="preserve"> 176 participants</w:t>
      </w:r>
    </w:p>
    <w:p>
      <w:pPr>
        <w:rPr>
          <w:rFonts w:ascii="Times New Roman" w:hAnsi="Times New Roman" w:cs="Times New Roman"/>
          <w:szCs w:val="21"/>
        </w:rPr>
      </w:pPr>
      <w:r>
        <w:rPr>
          <w:rFonts w:ascii="Times New Roman" w:hAnsi="Times New Roman" w:cs="Times New Roman"/>
          <w:b/>
          <w:bCs/>
          <w:szCs w:val="21"/>
        </w:rPr>
        <w:t>Allocation:</w:t>
      </w:r>
      <w:r>
        <w:rPr>
          <w:rFonts w:ascii="Times New Roman" w:hAnsi="Times New Roman" w:cs="Times New Roman"/>
          <w:szCs w:val="21"/>
        </w:rPr>
        <w:t xml:space="preserve"> Randomized</w:t>
      </w:r>
    </w:p>
    <w:p>
      <w:pPr>
        <w:rPr>
          <w:rFonts w:ascii="Times New Roman" w:hAnsi="Times New Roman" w:cs="Times New Roman"/>
          <w:szCs w:val="21"/>
        </w:rPr>
      </w:pPr>
      <w:r>
        <w:rPr>
          <w:rFonts w:ascii="Times New Roman" w:hAnsi="Times New Roman" w:cs="Times New Roman"/>
          <w:b/>
          <w:bCs/>
          <w:szCs w:val="21"/>
        </w:rPr>
        <w:t>Intervention Model:</w:t>
      </w:r>
      <w:r>
        <w:rPr>
          <w:rFonts w:ascii="Times New Roman" w:hAnsi="Times New Roman" w:cs="Times New Roman"/>
          <w:szCs w:val="21"/>
        </w:rPr>
        <w:t xml:space="preserve"> Parallel Assignment</w:t>
      </w:r>
    </w:p>
    <w:p>
      <w:pPr>
        <w:rPr>
          <w:rFonts w:ascii="Times New Roman" w:hAnsi="Times New Roman" w:cs="Times New Roman"/>
          <w:szCs w:val="21"/>
        </w:rPr>
      </w:pPr>
      <w:r>
        <w:rPr>
          <w:rFonts w:ascii="Times New Roman" w:hAnsi="Times New Roman" w:cs="Times New Roman"/>
          <w:b/>
          <w:bCs/>
          <w:szCs w:val="21"/>
        </w:rPr>
        <w:t>Masking:</w:t>
      </w:r>
      <w:r>
        <w:rPr>
          <w:rFonts w:ascii="Times New Roman" w:hAnsi="Times New Roman" w:cs="Times New Roman"/>
          <w:szCs w:val="21"/>
        </w:rPr>
        <w:t xml:space="preserve"> Double (Participant, Investigator)</w:t>
      </w:r>
    </w:p>
    <w:p>
      <w:pPr>
        <w:rPr>
          <w:rFonts w:ascii="Times New Roman" w:hAnsi="Times New Roman" w:cs="Times New Roman"/>
          <w:szCs w:val="21"/>
        </w:rPr>
      </w:pPr>
      <w:r>
        <w:rPr>
          <w:rFonts w:ascii="Times New Roman" w:hAnsi="Times New Roman" w:cs="Times New Roman"/>
          <w:b/>
          <w:bCs/>
          <w:szCs w:val="21"/>
        </w:rPr>
        <w:t>Primary Purpose:</w:t>
      </w:r>
      <w:r>
        <w:rPr>
          <w:rFonts w:ascii="Times New Roman" w:hAnsi="Times New Roman" w:cs="Times New Roman"/>
          <w:szCs w:val="21"/>
        </w:rPr>
        <w:t xml:space="preserve"> Treatment</w:t>
      </w:r>
    </w:p>
    <w:p>
      <w:pPr>
        <w:rPr>
          <w:rFonts w:ascii="Times New Roman" w:hAnsi="Times New Roman" w:eastAsia="宋体" w:cs="Times New Roman"/>
          <w:b/>
          <w:bCs/>
          <w:szCs w:val="21"/>
        </w:rPr>
      </w:pPr>
      <w:r>
        <w:rPr>
          <w:rFonts w:ascii="Times New Roman" w:hAnsi="Times New Roman" w:eastAsia="宋体" w:cs="Times New Roman"/>
          <w:b/>
          <w:bCs/>
          <w:szCs w:val="21"/>
        </w:rPr>
        <w:t>Intervention:</w:t>
      </w:r>
    </w:p>
    <w:p>
      <w:pPr>
        <w:numPr>
          <w:ilvl w:val="0"/>
          <w:numId w:val="13"/>
        </w:numPr>
        <w:rPr>
          <w:rFonts w:ascii="Times New Roman" w:hAnsi="Times New Roman" w:eastAsia="宋体" w:cs="Times New Roman"/>
          <w:szCs w:val="21"/>
        </w:rPr>
      </w:pPr>
      <w:r>
        <w:rPr>
          <w:rFonts w:ascii="Times New Roman" w:hAnsi="Times New Roman" w:eastAsia="宋体" w:cs="Times New Roman"/>
          <w:szCs w:val="21"/>
        </w:rPr>
        <w:t>Drug:Conbercept, Fixed Dose Group (Intravitreal injection of 0.5 mg Conbercept per month, with fixed injection schedule)</w:t>
      </w:r>
    </w:p>
    <w:p>
      <w:pPr>
        <w:numPr>
          <w:ilvl w:val="0"/>
          <w:numId w:val="13"/>
        </w:numPr>
        <w:rPr>
          <w:rFonts w:ascii="Times New Roman" w:hAnsi="Times New Roman" w:eastAsia="宋体" w:cs="Times New Roman"/>
          <w:szCs w:val="21"/>
        </w:rPr>
      </w:pPr>
      <w:r>
        <w:rPr>
          <w:rFonts w:ascii="Times New Roman" w:hAnsi="Times New Roman" w:eastAsia="宋体" w:cs="Times New Roman"/>
          <w:szCs w:val="21"/>
        </w:rPr>
        <w:t>Drug: Conbercept, PRN (Pro Re Nata) Group (Intravitreal injection of 0.5 mg Conbercept</w:t>
      </w:r>
    </w:p>
    <w:p>
      <w:pPr>
        <w:numPr>
          <w:ilvl w:val="0"/>
          <w:numId w:val="13"/>
        </w:numPr>
        <w:rPr>
          <w:rFonts w:ascii="Times New Roman" w:hAnsi="Times New Roman" w:eastAsia="宋体" w:cs="Times New Roman"/>
          <w:szCs w:val="21"/>
        </w:rPr>
      </w:pPr>
      <w:r>
        <w:rPr>
          <w:rFonts w:ascii="Times New Roman" w:hAnsi="Times New Roman" w:eastAsia="宋体" w:cs="Times New Roman"/>
          <w:szCs w:val="21"/>
        </w:rPr>
        <w:t>Other: Sham Injection (Sham intravitreal injection per month, with fixed injection schedule)</w:t>
      </w:r>
    </w:p>
    <w:p>
      <w:pPr>
        <w:rPr>
          <w:rFonts w:ascii="Times New Roman" w:hAnsi="Times New Roman" w:eastAsia="宋体" w:cs="Times New Roman"/>
          <w:b/>
          <w:bCs/>
          <w:szCs w:val="21"/>
        </w:rPr>
      </w:pPr>
      <w:r>
        <w:rPr>
          <w:rFonts w:ascii="Times New Roman" w:hAnsi="Times New Roman" w:eastAsia="宋体" w:cs="Times New Roman"/>
          <w:b/>
          <w:bCs/>
          <w:szCs w:val="21"/>
        </w:rPr>
        <w:t>Study Arms:</w:t>
      </w:r>
    </w:p>
    <w:p>
      <w:pPr>
        <w:numPr>
          <w:ilvl w:val="0"/>
          <w:numId w:val="14"/>
        </w:numPr>
        <w:rPr>
          <w:rFonts w:ascii="Times New Roman" w:hAnsi="Times New Roman" w:eastAsia="宋体" w:cs="Times New Roman"/>
          <w:b/>
          <w:bCs/>
          <w:szCs w:val="21"/>
        </w:rPr>
      </w:pPr>
      <w:r>
        <w:rPr>
          <w:rFonts w:ascii="Times New Roman" w:hAnsi="Times New Roman" w:eastAsia="宋体" w:cs="Times New Roman"/>
          <w:b/>
          <w:bCs/>
          <w:szCs w:val="21"/>
        </w:rPr>
        <w:t>Experimental: Conbercept Treatment Group</w:t>
      </w:r>
    </w:p>
    <w:p>
      <w:pPr>
        <w:ind w:left="420" w:leftChars="200"/>
        <w:rPr>
          <w:rFonts w:ascii="Times New Roman" w:hAnsi="Times New Roman" w:eastAsia="宋体" w:cs="Times New Roman"/>
          <w:szCs w:val="21"/>
        </w:rPr>
      </w:pPr>
      <w:r>
        <w:rPr>
          <w:rFonts w:ascii="Times New Roman" w:hAnsi="Times New Roman" w:eastAsia="宋体" w:cs="Times New Roman"/>
          <w:szCs w:val="21"/>
        </w:rPr>
        <w:t>Subjects will receive Conbercept injections at a dose of 0.5 mg per eye. The injection will be administered once a month for the first 3 months. In the following 6 months, the investigators will decide whether repeated injections are needed based on the monthly assessment results.</w:t>
      </w:r>
    </w:p>
    <w:p>
      <w:pPr>
        <w:ind w:left="420" w:leftChars="200"/>
        <w:rPr>
          <w:rFonts w:ascii="Times New Roman" w:hAnsi="Times New Roman" w:eastAsia="宋体" w:cs="Times New Roman"/>
          <w:b/>
          <w:bCs/>
          <w:szCs w:val="21"/>
        </w:rPr>
      </w:pPr>
      <w:r>
        <w:rPr>
          <w:rFonts w:ascii="Times New Roman" w:hAnsi="Times New Roman" w:eastAsia="宋体" w:cs="Times New Roman"/>
          <w:b/>
          <w:bCs/>
          <w:szCs w:val="21"/>
        </w:rPr>
        <w:t>InterventionsMeasures:</w:t>
      </w:r>
    </w:p>
    <w:p>
      <w:pPr>
        <w:numPr>
          <w:ilvl w:val="1"/>
          <w:numId w:val="14"/>
        </w:numPr>
        <w:rPr>
          <w:rFonts w:ascii="Times New Roman" w:hAnsi="Times New Roman" w:eastAsia="宋体" w:cs="Times New Roman"/>
          <w:szCs w:val="21"/>
        </w:rPr>
      </w:pPr>
      <w:r>
        <w:rPr>
          <w:rFonts w:ascii="Times New Roman" w:hAnsi="Times New Roman" w:eastAsia="宋体" w:cs="Times New Roman"/>
          <w:szCs w:val="21"/>
        </w:rPr>
        <w:t>Drug: Conbercept, Fixed Dose Group</w:t>
      </w:r>
    </w:p>
    <w:p>
      <w:pPr>
        <w:numPr>
          <w:ilvl w:val="1"/>
          <w:numId w:val="14"/>
        </w:numPr>
        <w:rPr>
          <w:rFonts w:ascii="Times New Roman" w:hAnsi="Times New Roman" w:eastAsia="宋体" w:cs="Times New Roman"/>
          <w:szCs w:val="21"/>
        </w:rPr>
      </w:pPr>
      <w:r>
        <w:rPr>
          <w:rFonts w:ascii="Times New Roman" w:hAnsi="Times New Roman" w:eastAsia="宋体" w:cs="Times New Roman"/>
          <w:szCs w:val="21"/>
        </w:rPr>
        <w:t>Drug: Conbercept, PRN Group</w:t>
      </w:r>
    </w:p>
    <w:p>
      <w:pPr>
        <w:numPr>
          <w:ilvl w:val="0"/>
          <w:numId w:val="14"/>
        </w:numPr>
        <w:rPr>
          <w:rFonts w:ascii="Times New Roman" w:hAnsi="Times New Roman" w:eastAsia="宋体" w:cs="Times New Roman"/>
          <w:b/>
          <w:bCs/>
          <w:szCs w:val="21"/>
        </w:rPr>
      </w:pPr>
      <w:r>
        <w:rPr>
          <w:rFonts w:ascii="Times New Roman" w:hAnsi="Times New Roman" w:eastAsia="宋体" w:cs="Times New Roman"/>
          <w:b/>
          <w:bCs/>
          <w:szCs w:val="21"/>
        </w:rPr>
        <w:t>Sham Injection Control Group: Sham</w:t>
      </w:r>
    </w:p>
    <w:p>
      <w:pPr>
        <w:ind w:left="420" w:leftChars="200"/>
        <w:rPr>
          <w:rFonts w:ascii="Times New Roman" w:hAnsi="Times New Roman" w:eastAsia="宋体" w:cs="Times New Roman"/>
          <w:szCs w:val="21"/>
        </w:rPr>
      </w:pPr>
      <w:r>
        <w:rPr>
          <w:rFonts w:ascii="Times New Roman" w:hAnsi="Times New Roman" w:eastAsia="宋体" w:cs="Times New Roman"/>
          <w:szCs w:val="21"/>
        </w:rPr>
        <w:t>Subjects will receive sham injections monthly for 3 months and then receive a 0.5 mg per eye Conbercept injection at the 4th month. From the 5th month to the 9th month, the investigators will decide whether repeated injections are needed based on the monthly assessment results.</w:t>
      </w:r>
    </w:p>
    <w:p>
      <w:pPr>
        <w:ind w:left="420" w:leftChars="200"/>
        <w:rPr>
          <w:rFonts w:ascii="Times New Roman" w:hAnsi="Times New Roman" w:eastAsia="宋体" w:cs="Times New Roman"/>
          <w:b/>
          <w:bCs/>
          <w:szCs w:val="21"/>
        </w:rPr>
      </w:pPr>
      <w:r>
        <w:rPr>
          <w:rFonts w:ascii="Times New Roman" w:hAnsi="Times New Roman" w:eastAsia="宋体" w:cs="Times New Roman"/>
          <w:b/>
          <w:bCs/>
          <w:szCs w:val="21"/>
        </w:rPr>
        <w:t>Interventions:</w:t>
      </w:r>
    </w:p>
    <w:p>
      <w:pPr>
        <w:numPr>
          <w:ilvl w:val="1"/>
          <w:numId w:val="14"/>
        </w:numPr>
        <w:rPr>
          <w:rFonts w:ascii="Times New Roman" w:hAnsi="Times New Roman" w:eastAsia="宋体" w:cs="Times New Roman"/>
          <w:szCs w:val="21"/>
        </w:rPr>
      </w:pPr>
      <w:r>
        <w:rPr>
          <w:rFonts w:ascii="Times New Roman" w:hAnsi="Times New Roman" w:eastAsia="宋体" w:cs="Times New Roman"/>
          <w:szCs w:val="21"/>
        </w:rPr>
        <w:t>Drug: Conbercept, Fixed Dose Group</w:t>
      </w:r>
    </w:p>
    <w:p>
      <w:pPr>
        <w:numPr>
          <w:ilvl w:val="1"/>
          <w:numId w:val="14"/>
        </w:numPr>
        <w:rPr>
          <w:rFonts w:ascii="Times New Roman" w:hAnsi="Times New Roman" w:eastAsia="宋体" w:cs="Times New Roman"/>
          <w:szCs w:val="21"/>
        </w:rPr>
      </w:pPr>
      <w:r>
        <w:rPr>
          <w:rFonts w:ascii="Times New Roman" w:hAnsi="Times New Roman" w:eastAsia="宋体" w:cs="Times New Roman"/>
          <w:szCs w:val="21"/>
        </w:rPr>
        <w:t>Drug: Conbercept, PRN Group</w:t>
      </w:r>
    </w:p>
    <w:p>
      <w:pPr>
        <w:numPr>
          <w:ilvl w:val="1"/>
          <w:numId w:val="14"/>
        </w:numPr>
        <w:rPr>
          <w:rFonts w:ascii="Times New Roman" w:hAnsi="Times New Roman" w:eastAsia="宋体" w:cs="Times New Roman"/>
          <w:szCs w:val="21"/>
        </w:rPr>
      </w:pPr>
      <w:r>
        <w:rPr>
          <w:rFonts w:ascii="Times New Roman" w:hAnsi="Times New Roman" w:eastAsia="宋体" w:cs="Times New Roman"/>
          <w:szCs w:val="21"/>
        </w:rPr>
        <w:t>Other: Sham Injection</w:t>
      </w:r>
    </w:p>
    <w:p>
      <w:pPr>
        <w:rPr>
          <w:rFonts w:ascii="Times New Roman" w:hAnsi="Times New Roman" w:eastAsia="宋体" w:cs="Times New Roman"/>
          <w:sz w:val="20"/>
          <w:szCs w:val="20"/>
        </w:rPr>
      </w:pPr>
    </w:p>
    <w:p>
      <w:pPr>
        <w:rPr>
          <w:rFonts w:ascii="Times New Roman" w:hAnsi="Times New Roman" w:cs="Times New Roman"/>
          <w:b/>
          <w:bCs/>
          <w:sz w:val="28"/>
          <w:szCs w:val="32"/>
        </w:rPr>
      </w:pPr>
      <w:bookmarkStart w:id="0" w:name="_Hlk85634875"/>
      <w:r>
        <w:rPr>
          <w:rFonts w:ascii="Times New Roman" w:hAnsi="Times New Roman" w:cs="Times New Roman"/>
          <w:b/>
          <w:bCs/>
          <w:sz w:val="28"/>
          <w:szCs w:val="32"/>
        </w:rPr>
        <w:t>Eligibility Criteria</w:t>
      </w:r>
    </w:p>
    <w:bookmarkEnd w:id="0"/>
    <w:p>
      <w:pPr>
        <w:rPr>
          <w:rFonts w:ascii="Times New Roman" w:hAnsi="Times New Roman" w:cs="Times New Roman"/>
          <w:b/>
          <w:bCs/>
        </w:rPr>
      </w:pPr>
      <w:r>
        <w:rPr>
          <w:rFonts w:ascii="Times New Roman" w:hAnsi="Times New Roman" w:cs="Times New Roman"/>
          <w:b/>
          <w:bCs/>
        </w:rPr>
        <w:t xml:space="preserve">Ages Eligible for Study: </w:t>
      </w:r>
      <w:r>
        <w:rPr>
          <w:rFonts w:ascii="Times New Roman" w:hAnsi="Times New Roman" w:cs="Times New Roman"/>
        </w:rPr>
        <w:t>18 years old and above (Adults, Older Adults)</w:t>
      </w:r>
    </w:p>
    <w:p>
      <w:pPr>
        <w:rPr>
          <w:rFonts w:ascii="Times New Roman" w:hAnsi="Times New Roman" w:cs="Times New Roman"/>
          <w:b/>
          <w:bCs/>
        </w:rPr>
      </w:pPr>
      <w:r>
        <w:rPr>
          <w:rFonts w:ascii="Times New Roman" w:hAnsi="Times New Roman" w:cs="Times New Roman"/>
          <w:b/>
          <w:bCs/>
        </w:rPr>
        <w:t xml:space="preserve">Sexes Eligible for Study: </w:t>
      </w:r>
      <w:r>
        <w:rPr>
          <w:rFonts w:ascii="Times New Roman" w:hAnsi="Times New Roman" w:cs="Times New Roman"/>
        </w:rPr>
        <w:t>All genders are eligible</w:t>
      </w:r>
    </w:p>
    <w:p>
      <w:pPr>
        <w:rPr>
          <w:rFonts w:ascii="Times New Roman" w:hAnsi="Times New Roman" w:cs="Times New Roman"/>
          <w:b/>
          <w:bCs/>
        </w:rPr>
      </w:pPr>
      <w:r>
        <w:rPr>
          <w:rFonts w:ascii="Times New Roman" w:hAnsi="Times New Roman" w:cs="Times New Roman"/>
          <w:b/>
          <w:bCs/>
        </w:rPr>
        <w:t xml:space="preserve">Accepts Healthy Volunteers: </w:t>
      </w:r>
      <w:r>
        <w:rPr>
          <w:rFonts w:ascii="Times New Roman" w:hAnsi="Times New Roman" w:cs="Times New Roman"/>
        </w:rPr>
        <w:t>No</w:t>
      </w:r>
    </w:p>
    <w:p>
      <w:pPr>
        <w:rPr>
          <w:rFonts w:ascii="Times New Roman" w:hAnsi="Times New Roman" w:cs="Times New Roman"/>
          <w:b/>
          <w:bCs/>
        </w:rPr>
      </w:pPr>
      <w:r>
        <w:rPr>
          <w:rFonts w:ascii="Times New Roman" w:hAnsi="Times New Roman" w:cs="Times New Roman"/>
          <w:b/>
          <w:bCs/>
        </w:rPr>
        <w:t>Criteria:</w:t>
      </w:r>
    </w:p>
    <w:p>
      <w:pPr>
        <w:widowControl/>
        <w:numPr>
          <w:ilvl w:val="0"/>
          <w:numId w:val="15"/>
        </w:numPr>
        <w:shd w:val="clear" w:color="auto" w:fill="FFFFFF"/>
        <w:spacing w:before="120" w:after="12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Inclusion Criteria:</w:t>
      </w:r>
    </w:p>
    <w:p>
      <w:pPr>
        <w:widowControl/>
        <w:numPr>
          <w:ilvl w:val="0"/>
          <w:numId w:val="16"/>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Patients provide fully informed consent and are willing and able to comply with all study procedures.</w:t>
      </w:r>
    </w:p>
    <w:p>
      <w:pPr>
        <w:widowControl/>
        <w:numPr>
          <w:ilvl w:val="0"/>
          <w:numId w:val="16"/>
        </w:numPr>
        <w:shd w:val="clear" w:color="auto" w:fill="FFFFFF"/>
        <w:spacing w:after="12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study eye must meet the following criteria:</w:t>
      </w:r>
    </w:p>
    <w:p>
      <w:pPr>
        <w:widowControl/>
        <w:numPr>
          <w:ilvl w:val="0"/>
          <w:numId w:val="16"/>
        </w:numPr>
        <w:shd w:val="clear" w:color="auto" w:fill="FFFFFF"/>
        <w:spacing w:before="84" w:after="6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Myopia with a degree of ≥ -6.00 diopters (D), and an axial length ≥ 26.5 mm.</w:t>
      </w:r>
    </w:p>
    <w:p>
      <w:pPr>
        <w:widowControl/>
        <w:numPr>
          <w:ilvl w:val="0"/>
          <w:numId w:val="16"/>
        </w:numPr>
        <w:shd w:val="clear" w:color="auto" w:fill="FFFFFF"/>
        <w:spacing w:before="84" w:after="6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Diagnosis of active subfoveal, juxafoveal, or extrafoveal choroidalneovascularization (CNV) secondary to high myopia.</w:t>
      </w:r>
    </w:p>
    <w:p>
      <w:pPr>
        <w:widowControl/>
        <w:numPr>
          <w:ilvl w:val="0"/>
          <w:numId w:val="16"/>
        </w:numPr>
        <w:shd w:val="clear" w:color="auto" w:fill="FFFFFF"/>
        <w:spacing w:before="84" w:after="6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Visual impairment caused by CNV secondary to high myopia.</w:t>
      </w:r>
    </w:p>
    <w:p>
      <w:pPr>
        <w:widowControl/>
        <w:numPr>
          <w:ilvl w:val="0"/>
          <w:numId w:val="16"/>
        </w:numPr>
        <w:shd w:val="clear" w:color="auto" w:fill="FFFFFF"/>
        <w:spacing w:before="84" w:after="6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best corrected visual acuity (BCVA) score in the Early Treatment Diabetic Retinopathy Study (ETDRS) is ≥ 24 and ≤ 73 letters (approximately equivalent to 20/40 to 20/320 on the Snellen visual acuity chart).</w:t>
      </w:r>
    </w:p>
    <w:p>
      <w:pPr>
        <w:widowControl/>
        <w:numPr>
          <w:ilvl w:val="0"/>
          <w:numId w:val="16"/>
        </w:numPr>
        <w:shd w:val="clear" w:color="auto" w:fill="FFFFFF"/>
        <w:spacing w:before="84" w:after="6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ocular media has sufficient quality to obtain fundus and optical coherence tomography (OCT) images.</w:t>
      </w:r>
    </w:p>
    <w:p>
      <w:pPr>
        <w:widowControl/>
        <w:numPr>
          <w:ilvl w:val="0"/>
          <w:numId w:val="16"/>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BCVA score of the fellow eye is ≥ 19 ETDRS letters (approximately equivalent to 20/400 on the Snellen visual acuity chart)</w:t>
      </w:r>
    </w:p>
    <w:p>
      <w:pPr>
        <w:widowControl/>
        <w:numPr>
          <w:ilvl w:val="0"/>
          <w:numId w:val="15"/>
        </w:numPr>
        <w:shd w:val="clear" w:color="auto" w:fill="FFFFFF"/>
        <w:spacing w:after="12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Exclusion Criteria:</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Current vitreous hemorrhage in either eye.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study eye has received intravitreal corticosteroid treatment within the last 3 months or periocular corticosteroid treatment within the last month.</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Active infectious ocular inflammation in either eye.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Fibrosis or atrophy involving the center of foveal in the study eye.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concurrent intraocular condition in the study eye that, in the opinion of investigator, could either require medical or surgical intervention during the study period to prevent or treat potential visual loss caused by that disease.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The lesion size in the study eye is ≥ 30 square millimeters.</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Any ocular disease in the study eye that, in the opinion of the investigators, may interfere with the interpretation of the study results.</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Uncontrolled glaucoma in the study eye, or a cup-to-disc ratio &gt; 0.8 in the study eye.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Aphakia (excluding artificial lens) in the study eye.</w:t>
      </w:r>
    </w:p>
    <w:p>
      <w:pPr>
        <w:widowControl/>
        <w:numPr>
          <w:ilvl w:val="0"/>
          <w:numId w:val="17"/>
        </w:numPr>
        <w:shd w:val="clear" w:color="auto" w:fill="FFFFFF"/>
        <w:spacing w:before="84" w:after="100" w:afterAutospacing="1"/>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Severe amblyopia and amaurosis in the fellow eye.</w:t>
      </w:r>
    </w:p>
    <w:p>
      <w:pPr>
        <w:widowControl/>
        <w:shd w:val="clear" w:color="auto" w:fill="FFFFFF"/>
        <w:jc w:val="center"/>
        <w:rPr>
          <w:rFonts w:ascii="Times New Roman" w:hAnsi="Times New Roman" w:cs="Times New Roman"/>
          <w:b/>
          <w:bCs/>
          <w:sz w:val="36"/>
          <w:szCs w:val="36"/>
        </w:rPr>
        <w:sectPr>
          <w:pgSz w:w="11906" w:h="16838"/>
          <w:pgMar w:top="1440" w:right="1800" w:bottom="1440" w:left="1800" w:header="851" w:footer="992" w:gutter="0"/>
          <w:cols w:space="425" w:num="1"/>
          <w:docGrid w:type="lines" w:linePitch="312" w:charSpace="0"/>
        </w:sectPr>
      </w:pPr>
    </w:p>
    <w:p>
      <w:pPr>
        <w:widowControl/>
        <w:shd w:val="clear" w:color="auto" w:fill="FFFFFF"/>
        <w:jc w:val="center"/>
        <w:rPr>
          <w:rFonts w:ascii="Times New Roman" w:hAnsi="Times New Roman" w:cs="Times New Roman"/>
          <w:b/>
          <w:bCs/>
          <w:sz w:val="36"/>
          <w:szCs w:val="36"/>
        </w:rPr>
      </w:pPr>
      <w:r>
        <w:rPr>
          <w:rFonts w:ascii="Times New Roman" w:hAnsi="Times New Roman" w:cs="Times New Roman"/>
          <w:b/>
          <w:bCs/>
          <w:sz w:val="36"/>
          <w:szCs w:val="36"/>
        </w:rPr>
        <w:t>Part B. Sensitivity Analysis</w:t>
      </w:r>
    </w:p>
    <w:p>
      <w:pPr>
        <w:spacing w:line="360" w:lineRule="auto"/>
        <w:jc w:val="center"/>
        <w:rPr>
          <w:rFonts w:ascii="Times New Roman" w:hAnsi="Times New Roman"/>
          <w:b/>
          <w:bCs/>
          <w:sz w:val="32"/>
          <w:szCs w:val="28"/>
        </w:rPr>
      </w:pPr>
      <w:r>
        <w:rPr>
          <w:rFonts w:ascii="Times New Roman" w:hAnsi="Times New Roman"/>
          <w:b/>
          <w:bCs/>
          <w:sz w:val="32"/>
          <w:szCs w:val="28"/>
        </w:rPr>
        <w:t>Supplemental Materials</w:t>
      </w:r>
    </w:p>
    <w:tbl>
      <w:tblPr>
        <w:tblStyle w:val="17"/>
        <w:tblW w:w="8931"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81"/>
        <w:gridCol w:w="8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tcBorders>
              <w:top w:val="single" w:color="000000" w:sz="12" w:space="0"/>
              <w:bottom w:val="single" w:color="000000" w:sz="4" w:space="0"/>
              <w:tl2br w:val="nil"/>
            </w:tcBorders>
            <w:shd w:val="clear" w:color="auto" w:fill="FFFFFF"/>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000000"/>
              </w:rPr>
            </w:pPr>
            <w:r>
              <w:rPr>
                <w:rFonts w:hint="default" w:ascii="Times New Roman" w:hAnsi="Times New Roman" w:cs="Times New Roman"/>
                <w:b/>
                <w:color w:val="000000"/>
                <w:szCs w:val="28"/>
              </w:rPr>
              <w:t>Table of Contents</w:t>
            </w:r>
          </w:p>
        </w:tc>
        <w:tc>
          <w:tcPr>
            <w:tcW w:w="850" w:type="dxa"/>
            <w:tcBorders>
              <w:top w:val="single" w:color="000000" w:sz="12" w:space="0"/>
              <w:bottom w:val="single" w:color="000000" w:sz="4" w:space="0"/>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rPr>
            </w:pPr>
            <w:r>
              <w:rPr>
                <w:rFonts w:hint="default" w:ascii="Times New Roman" w:hAnsi="Times New Roman" w:cs="Times New Roman"/>
                <w:b/>
                <w:color w:val="000000"/>
                <w:szCs w:val="28"/>
              </w:rPr>
              <w:t>Page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54" w:hRule="atLeast"/>
          <w:jc w:val="center"/>
        </w:trPr>
        <w:tc>
          <w:tcPr>
            <w:tcW w:w="8081" w:type="dxa"/>
            <w:tcBorders>
              <w:top w:val="single" w:color="000000" w:sz="4" w:space="0"/>
              <w:bottom w:val="nil"/>
            </w:tcBorders>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Table S1. </w:t>
            </w:r>
            <w:r>
              <w:rPr>
                <w:rFonts w:hint="eastAsia" w:ascii="Times New Roman" w:hAnsi="Times New Roman" w:eastAsia="等线" w:cs="Times New Roman"/>
                <w:color w:val="000000"/>
              </w:rPr>
              <w:t>The prices of conbercept and ranibizumaband the daily wage.</w:t>
            </w:r>
          </w:p>
        </w:tc>
        <w:tc>
          <w:tcPr>
            <w:tcW w:w="850" w:type="dxa"/>
            <w:tcBorders>
              <w:top w:val="single" w:color="000000" w:sz="4" w:space="0"/>
              <w:bottom w:val="nil"/>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tcBorders>
              <w:top w:val="nil"/>
              <w:bottom w:val="nil"/>
            </w:tcBorders>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eastAsia" w:ascii="Times New Roman" w:hAnsi="Times New Roman" w:eastAsia="等线" w:cs="Times New Roman"/>
                <w:b/>
                <w:color w:val="000000"/>
              </w:rPr>
              <w:t xml:space="preserve">Table S2. </w:t>
            </w:r>
            <w:r>
              <w:rPr>
                <w:rFonts w:hint="eastAsia" w:ascii="Times New Roman" w:hAnsi="Times New Roman" w:eastAsia="等线" w:cs="Times New Roman"/>
                <w:bCs/>
                <w:color w:val="000000"/>
              </w:rPr>
              <w:t>The number of days lost from work.</w:t>
            </w:r>
          </w:p>
        </w:tc>
        <w:tc>
          <w:tcPr>
            <w:tcW w:w="850" w:type="dxa"/>
            <w:tcBorders>
              <w:top w:val="nil"/>
              <w:bottom w:val="nil"/>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54" w:hRule="atLeast"/>
          <w:jc w:val="center"/>
        </w:trPr>
        <w:tc>
          <w:tcPr>
            <w:tcW w:w="8081" w:type="dxa"/>
            <w:tcBorders>
              <w:top w:val="nil"/>
              <w:bottom w:val="nil"/>
            </w:tcBorders>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default" w:ascii="Times New Roman" w:hAnsi="Times New Roman" w:eastAsia="等线" w:cs="Times New Roman"/>
                <w:b/>
                <w:color w:val="000000"/>
              </w:rPr>
              <w:t>Table S</w:t>
            </w:r>
            <w:r>
              <w:rPr>
                <w:rFonts w:hint="eastAsia" w:ascii="Times New Roman" w:hAnsi="Times New Roman" w:eastAsia="等线" w:cs="Times New Roman"/>
                <w:b/>
                <w:color w:val="000000"/>
              </w:rPr>
              <w:t>3</w:t>
            </w:r>
            <w:r>
              <w:rPr>
                <w:rFonts w:hint="default" w:ascii="Times New Roman" w:hAnsi="Times New Roman" w:eastAsia="等线" w:cs="Times New Roman"/>
                <w:b/>
                <w:color w:val="000000"/>
              </w:rPr>
              <w:t xml:space="preserve">. </w:t>
            </w:r>
            <w:r>
              <w:rPr>
                <w:rFonts w:hint="default" w:ascii="Times New Roman" w:hAnsi="Times New Roman" w:eastAsia="等线" w:cs="Times New Roman"/>
                <w:color w:val="000000"/>
              </w:rPr>
              <w:t>The Two-way Sensitivity Analysis of Conbercept and Ranibizumab from the Perspective of the Whole Society in 2021.</w:t>
            </w:r>
          </w:p>
        </w:tc>
        <w:tc>
          <w:tcPr>
            <w:tcW w:w="850" w:type="dxa"/>
            <w:tcBorders>
              <w:top w:val="nil"/>
              <w:bottom w:val="nil"/>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tcBorders>
              <w:top w:val="nil"/>
            </w:tcBorders>
            <w:shd w:val="clear" w:color="auto" w:fill="FFFFFF"/>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000000"/>
              </w:rPr>
            </w:pPr>
            <w:r>
              <w:rPr>
                <w:rFonts w:hint="default" w:ascii="Times New Roman" w:hAnsi="Times New Roman" w:cs="Times New Roman"/>
                <w:b/>
                <w:color w:val="000000"/>
              </w:rPr>
              <w:t>Table S</w:t>
            </w:r>
            <w:r>
              <w:rPr>
                <w:rFonts w:hint="eastAsia" w:ascii="Times New Roman" w:hAnsi="Times New Roman" w:cs="Times New Roman"/>
                <w:b/>
                <w:color w:val="000000"/>
              </w:rPr>
              <w:t>4</w:t>
            </w:r>
            <w:r>
              <w:rPr>
                <w:rFonts w:hint="default" w:ascii="Times New Roman" w:hAnsi="Times New Roman" w:cs="Times New Roman"/>
                <w:b/>
                <w:color w:val="000000"/>
              </w:rPr>
              <w:t xml:space="preserve">. </w:t>
            </w:r>
            <w:r>
              <w:rPr>
                <w:rFonts w:hint="default" w:ascii="Times New Roman" w:hAnsi="Times New Roman" w:cs="Times New Roman"/>
                <w:color w:val="000000"/>
              </w:rPr>
              <w:t>The Two-way Sensitivity Analysis of Conbercept and Ranibizumab from the Perspective of the Whole Society in 2022.</w:t>
            </w:r>
          </w:p>
        </w:tc>
        <w:tc>
          <w:tcPr>
            <w:tcW w:w="850" w:type="dxa"/>
            <w:tcBorders>
              <w:top w:val="nil"/>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等线" w:cs="Times New Roman"/>
                <w:color w:val="000000"/>
              </w:rPr>
            </w:pPr>
            <w:r>
              <w:rPr>
                <w:rFonts w:hint="default" w:ascii="Times New Roman" w:hAnsi="Times New Roman" w:eastAsia="等线" w:cs="Times New Roman"/>
                <w:b/>
                <w:color w:val="000000"/>
              </w:rPr>
              <w:t>T</w:t>
            </w:r>
            <w:r>
              <w:rPr>
                <w:rFonts w:hint="eastAsia" w:ascii="Times New Roman" w:hAnsi="Times New Roman" w:eastAsia="等线" w:cs="Times New Roman"/>
                <w:b/>
                <w:color w:val="000000"/>
              </w:rPr>
              <w:t>able</w:t>
            </w:r>
            <w:r>
              <w:rPr>
                <w:rFonts w:hint="default" w:ascii="Times New Roman" w:hAnsi="Times New Roman" w:eastAsia="等线" w:cs="Times New Roman"/>
                <w:b/>
                <w:color w:val="000000"/>
              </w:rPr>
              <w:t xml:space="preserve"> S</w:t>
            </w:r>
            <w:r>
              <w:rPr>
                <w:rFonts w:hint="eastAsia" w:ascii="Times New Roman" w:hAnsi="Times New Roman" w:eastAsia="等线" w:cs="Times New Roman"/>
                <w:b/>
                <w:color w:val="000000"/>
              </w:rPr>
              <w:t>5</w:t>
            </w:r>
            <w:r>
              <w:rPr>
                <w:rFonts w:hint="default" w:ascii="Times New Roman" w:hAnsi="Times New Roman" w:eastAsia="等线" w:cs="Times New Roman"/>
                <w:b/>
                <w:color w:val="000000"/>
              </w:rPr>
              <w:t xml:space="preserve">. </w:t>
            </w:r>
            <w:r>
              <w:rPr>
                <w:rFonts w:hint="eastAsia" w:ascii="Times New Roman" w:hAnsi="Times New Roman" w:eastAsia="等线" w:cs="Times New Roman"/>
                <w:color w:val="000000"/>
              </w:rPr>
              <w:t>The Two-way Sensitivity Analysis of Conbercept and Ranibizumab from the Perspective of the Whole Society in 2023.</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等线" w:cs="Times New Roman"/>
                <w:bCs/>
                <w:color w:val="000000"/>
              </w:rPr>
            </w:pPr>
            <w:r>
              <w:rPr>
                <w:rFonts w:hint="default" w:ascii="Times New Roman" w:hAnsi="Times New Roman" w:eastAsia="等线" w:cs="Times New Roman"/>
                <w:b/>
                <w:color w:val="000000"/>
              </w:rPr>
              <w:t>T</w:t>
            </w:r>
            <w:r>
              <w:rPr>
                <w:rFonts w:hint="eastAsia" w:ascii="Times New Roman" w:hAnsi="Times New Roman" w:eastAsia="等线" w:cs="Times New Roman"/>
                <w:b/>
                <w:color w:val="000000"/>
              </w:rPr>
              <w:t>able</w:t>
            </w:r>
            <w:r>
              <w:rPr>
                <w:rFonts w:hint="default" w:ascii="Times New Roman" w:hAnsi="Times New Roman" w:eastAsia="等线" w:cs="Times New Roman"/>
                <w:b/>
                <w:color w:val="000000"/>
              </w:rPr>
              <w:t xml:space="preserve"> S</w:t>
            </w:r>
            <w:r>
              <w:rPr>
                <w:rFonts w:hint="eastAsia" w:ascii="Times New Roman" w:hAnsi="Times New Roman" w:eastAsia="等线" w:cs="Times New Roman"/>
                <w:b/>
                <w:color w:val="000000"/>
              </w:rPr>
              <w:t>6</w:t>
            </w:r>
            <w:r>
              <w:rPr>
                <w:rFonts w:hint="default" w:ascii="Times New Roman" w:hAnsi="Times New Roman" w:eastAsia="等线" w:cs="Times New Roman"/>
                <w:b/>
                <w:color w:val="000000"/>
              </w:rPr>
              <w:t xml:space="preserve">. </w:t>
            </w:r>
            <w:r>
              <w:rPr>
                <w:rFonts w:hint="eastAsia" w:ascii="Times New Roman" w:hAnsi="Times New Roman" w:eastAsia="等线" w:cs="Times New Roman"/>
                <w:color w:val="000000"/>
              </w:rPr>
              <w:t>The Two-way Sensitivity Analysis of Conbercept and Ranibizumab from the Perspective of the Whole Society in 2024.</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000000"/>
              </w:rPr>
            </w:pPr>
            <w:r>
              <w:rPr>
                <w:rFonts w:hint="eastAsia" w:ascii="Times New Roman" w:hAnsi="Times New Roman" w:cs="Times New Roman"/>
                <w:b/>
                <w:color w:val="000000"/>
              </w:rPr>
              <w:t xml:space="preserve">Figure S1. </w:t>
            </w:r>
            <w:r>
              <w:rPr>
                <w:rFonts w:hint="eastAsia" w:ascii="Times New Roman" w:hAnsi="Times New Roman" w:cs="Times New Roman"/>
                <w:color w:val="000000"/>
              </w:rPr>
              <w:t>The Cost-Effectiveness Acceptability Curve of conbercept and ranibizumab in treatment of AMD from the Perspective of the Whole Society.</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Cs/>
                <w:color w:val="000000"/>
                <w:szCs w:val="21"/>
              </w:rPr>
            </w:pPr>
            <w:r>
              <w:rPr>
                <w:rFonts w:hint="eastAsia" w:ascii="Times New Roman" w:hAnsi="Times New Roman" w:cs="Times New Roman"/>
                <w:b/>
                <w:color w:val="000000"/>
                <w:szCs w:val="21"/>
              </w:rPr>
              <w:t xml:space="preserve">Figure S2. </w:t>
            </w:r>
            <w:r>
              <w:rPr>
                <w:rFonts w:hint="eastAsia" w:ascii="Times New Roman" w:hAnsi="Times New Roman" w:cs="Times New Roman"/>
                <w:color w:val="000000"/>
                <w:szCs w:val="21"/>
              </w:rPr>
              <w:t>The Cost-Effectiveness Acceptability Curve of conbercept and ranibizumab in treatment of BRVO from the Perspective of the Whole Society.</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default" w:ascii="Times New Roman" w:hAnsi="Times New Roman" w:cs="Times New Roman"/>
                <w:color w:val="000000"/>
              </w:rPr>
              <w:t>1</w:t>
            </w:r>
            <w:r>
              <w:rPr>
                <w:rFonts w:hint="eastAsia" w:ascii="Times New Roman" w:hAnsi="Times New Roman" w:cs="Times New Roman"/>
                <w:color w:val="000000"/>
                <w:lang w:val="en-US"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S3. </w:t>
            </w:r>
            <w:r>
              <w:rPr>
                <w:rFonts w:hint="eastAsia" w:ascii="Times New Roman" w:hAnsi="Times New Roman" w:eastAsia="等线" w:cs="Times New Roman"/>
                <w:color w:val="000000"/>
              </w:rPr>
              <w:t>The Cost-Effectiveness Acceptability Curve of conbercept and ranibizumab in treatment of CRVO from the Perspective of the Whole Society.</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default" w:ascii="Times New Roman" w:hAnsi="Times New Roman" w:cs="Times New Roman"/>
                <w:color w:val="000000"/>
              </w:rPr>
              <w:t>1</w:t>
            </w:r>
            <w:r>
              <w:rPr>
                <w:rFonts w:hint="eastAsia" w:ascii="Times New Roman" w:hAnsi="Times New Roman" w:cs="Times New Roman"/>
                <w:color w:val="000000"/>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Figure S4.</w:t>
            </w:r>
            <w:r>
              <w:rPr>
                <w:rFonts w:hint="eastAsia" w:ascii="Times New Roman" w:hAnsi="Times New Roman" w:eastAsia="等线" w:cs="Times New Roman"/>
                <w:color w:val="000000"/>
              </w:rPr>
              <w:t xml:space="preserve"> The Cost-Effectiveness Acceptability Curve of conbercept and ranibizumab in treatment of DME from the Perspective of the Whole Society.</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default" w:ascii="Times New Roman" w:hAnsi="Times New Roman" w:cs="Times New Roman"/>
                <w:color w:val="000000"/>
              </w:rPr>
              <w:t>1</w:t>
            </w:r>
            <w:r>
              <w:rPr>
                <w:rFonts w:hint="eastAsia" w:ascii="Times New Roman" w:hAnsi="Times New Roman" w:cs="Times New Roman"/>
                <w:color w:val="000000"/>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S5. </w:t>
            </w:r>
            <w:r>
              <w:rPr>
                <w:rFonts w:hint="eastAsia" w:ascii="Times New Roman" w:hAnsi="Times New Roman" w:eastAsia="等线" w:cs="Times New Roman"/>
                <w:color w:val="000000"/>
              </w:rPr>
              <w:t>The Cost-Effectiveness Acceptability Curve of conbercept and ranibizumab in treatment of PM from the Perspective of the Whole Society.</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1</w:t>
            </w:r>
            <w:r>
              <w:rPr>
                <w:rFonts w:hint="eastAsia" w:ascii="Times New Roman" w:hAnsi="Times New Roman" w:cs="Times New Roman"/>
                <w:color w:val="000000"/>
                <w:lang w:val="en-US" w:eastAsia="zh-CN"/>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Table S7.</w:t>
            </w:r>
            <w:r>
              <w:rPr>
                <w:rFonts w:hint="eastAsia" w:ascii="Times New Roman" w:hAnsi="Times New Roman" w:eastAsia="等线" w:cs="Times New Roman"/>
                <w:color w:val="000000"/>
              </w:rPr>
              <w:t>The Two-way Sensitivity Analysis of Conbercept and Ranibizumab from the Perspective of the Health Insurance Payer in 2021.</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1</w:t>
            </w:r>
            <w:r>
              <w:rPr>
                <w:rFonts w:hint="eastAsia" w:ascii="Times New Roman" w:hAnsi="Times New Roman" w:cs="Times New Roman"/>
                <w:color w:val="000000"/>
                <w:lang w:val="en-US" w:eastAsia="zh-CN"/>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Table</w:t>
            </w:r>
            <w:r>
              <w:rPr>
                <w:rFonts w:hint="default" w:ascii="Times New Roman" w:hAnsi="Times New Roman" w:eastAsia="等线" w:cs="Times New Roman"/>
                <w:b/>
                <w:color w:val="000000"/>
              </w:rPr>
              <w:t xml:space="preserve"> S</w:t>
            </w:r>
            <w:r>
              <w:rPr>
                <w:rFonts w:hint="eastAsia" w:ascii="Times New Roman" w:hAnsi="Times New Roman" w:eastAsia="等线" w:cs="Times New Roman"/>
                <w:b/>
                <w:color w:val="000000"/>
              </w:rPr>
              <w:t>8</w:t>
            </w:r>
            <w:r>
              <w:rPr>
                <w:rFonts w:hint="default" w:ascii="Times New Roman" w:hAnsi="Times New Roman" w:eastAsia="等线" w:cs="Times New Roman"/>
                <w:b/>
                <w:color w:val="000000"/>
              </w:rPr>
              <w:t>.</w:t>
            </w:r>
            <w:r>
              <w:rPr>
                <w:rFonts w:hint="eastAsia" w:ascii="Times New Roman" w:hAnsi="Times New Roman" w:eastAsia="等线" w:cs="Times New Roman"/>
                <w:color w:val="000000"/>
              </w:rPr>
              <w:t>The Two-way Sensitivity Analysis of Conbercept and Ranibizumab from the Perspective of the Health Insurance Payer in 2022.</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1</w:t>
            </w:r>
            <w:r>
              <w:rPr>
                <w:rFonts w:hint="eastAsia" w:ascii="Times New Roman" w:hAnsi="Times New Roman" w:cs="Times New Roman"/>
                <w:color w:val="000000"/>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Table</w:t>
            </w:r>
            <w:r>
              <w:rPr>
                <w:rFonts w:hint="default" w:ascii="Times New Roman" w:hAnsi="Times New Roman" w:eastAsia="等线" w:cs="Times New Roman"/>
                <w:b/>
                <w:color w:val="000000"/>
              </w:rPr>
              <w:t xml:space="preserve"> S</w:t>
            </w:r>
            <w:r>
              <w:rPr>
                <w:rFonts w:hint="eastAsia" w:ascii="Times New Roman" w:hAnsi="Times New Roman" w:eastAsia="等线" w:cs="Times New Roman"/>
                <w:b/>
                <w:color w:val="000000"/>
              </w:rPr>
              <w:t>9</w:t>
            </w:r>
            <w:r>
              <w:rPr>
                <w:rFonts w:hint="default" w:ascii="Times New Roman" w:hAnsi="Times New Roman" w:eastAsia="等线" w:cs="Times New Roman"/>
                <w:b/>
                <w:color w:val="000000"/>
              </w:rPr>
              <w:t xml:space="preserve">. </w:t>
            </w:r>
            <w:r>
              <w:rPr>
                <w:rFonts w:hint="eastAsia" w:ascii="Times New Roman" w:hAnsi="Times New Roman" w:eastAsia="等线" w:cs="Times New Roman"/>
                <w:color w:val="000000"/>
              </w:rPr>
              <w:t>The Two-way Sensitivity Analysis of Conbercept and Ranibizumab from the Perspective of the Health Insurance Payer in 2023.</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19</w:t>
            </w:r>
          </w:p>
        </w:tc>
      </w:tr>
    </w:tbl>
    <w:p>
      <w:pPr>
        <w:spacing w:line="360" w:lineRule="auto"/>
        <w:jc w:val="left"/>
        <w:rPr>
          <w:rFonts w:ascii="Times New Roman" w:hAnsi="Times New Roman" w:eastAsia="等线" w:cs="Times New Roman"/>
          <w:bCs/>
          <w:color w:val="000000"/>
        </w:r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7"/>
        <w:tblW w:w="8931" w:type="dxa"/>
        <w:tblInd w:w="-28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81"/>
        <w:gridCol w:w="8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Table</w:t>
            </w:r>
            <w:r>
              <w:rPr>
                <w:rFonts w:hint="default" w:ascii="Times New Roman" w:hAnsi="Times New Roman" w:eastAsia="等线" w:cs="Times New Roman"/>
                <w:b/>
                <w:color w:val="000000"/>
              </w:rPr>
              <w:t xml:space="preserve"> S</w:t>
            </w:r>
            <w:r>
              <w:rPr>
                <w:rFonts w:hint="eastAsia" w:ascii="Times New Roman" w:hAnsi="Times New Roman" w:eastAsia="等线" w:cs="Times New Roman"/>
                <w:b/>
                <w:color w:val="000000"/>
              </w:rPr>
              <w:t>10</w:t>
            </w:r>
            <w:r>
              <w:rPr>
                <w:rFonts w:hint="default" w:ascii="Times New Roman" w:hAnsi="Times New Roman" w:eastAsia="等线" w:cs="Times New Roman"/>
                <w:b/>
                <w:color w:val="000000"/>
              </w:rPr>
              <w:t xml:space="preserve">. </w:t>
            </w:r>
            <w:r>
              <w:rPr>
                <w:rFonts w:hint="eastAsia" w:ascii="Times New Roman" w:hAnsi="Times New Roman" w:eastAsia="等线" w:cs="Times New Roman"/>
                <w:color w:val="000000"/>
              </w:rPr>
              <w:t>The Two-way Sensitivity Analysis of Conbercept and Ranibizumab from the Perspective of the Health Insurance Payer in 2024.</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S6. </w:t>
            </w:r>
            <w:r>
              <w:rPr>
                <w:rFonts w:hint="eastAsia" w:ascii="Times New Roman" w:hAnsi="Times New Roman" w:eastAsia="等线" w:cs="Times New Roman"/>
                <w:color w:val="000000"/>
              </w:rPr>
              <w:t>The Cost-Effectiveness Acceptability Curve of conbercept and ranibizumab in treatment of AMD from the Perspective of the Health Insurance Payer.</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rPr>
              <w:t>2</w:t>
            </w:r>
            <w:r>
              <w:rPr>
                <w:rFonts w:hint="eastAsia" w:ascii="Times New Roman" w:hAnsi="Times New Roman" w:cs="Times New Roman"/>
                <w:color w:val="000000"/>
                <w:lang w:val="en-US"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S7. </w:t>
            </w:r>
            <w:r>
              <w:rPr>
                <w:rFonts w:hint="eastAsia" w:ascii="Times New Roman" w:hAnsi="Times New Roman" w:eastAsia="等线" w:cs="Times New Roman"/>
                <w:color w:val="000000"/>
              </w:rPr>
              <w:t>The Cost-Effectiveness Acceptability Curve of conbercept and ranibizumab in treatment of BRVO from the Perspective of the Health Insurance Payer.</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rPr>
              <w:t>2</w:t>
            </w:r>
            <w:r>
              <w:rPr>
                <w:rFonts w:hint="eastAsia" w:ascii="Times New Roman" w:hAnsi="Times New Roman" w:cs="Times New Roman"/>
                <w:color w:val="000000"/>
                <w:lang w:val="en-US" w:eastAsia="zh-CN"/>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S8. </w:t>
            </w:r>
            <w:r>
              <w:rPr>
                <w:rFonts w:hint="eastAsia" w:ascii="Times New Roman" w:hAnsi="Times New Roman" w:eastAsia="等线" w:cs="Times New Roman"/>
                <w:color w:val="000000"/>
              </w:rPr>
              <w:t>The Cost-Effectiveness Acceptability Curve of conbercept and ranibizumab in treatment of CRVO from the Perspective of the Health Insurance Payer.</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rPr>
              <w:t>2</w:t>
            </w:r>
            <w:r>
              <w:rPr>
                <w:rFonts w:hint="eastAsia" w:ascii="Times New Roman" w:hAnsi="Times New Roman" w:cs="Times New Roman"/>
                <w:color w:val="000000"/>
                <w:lang w:val="en-US" w:eastAsia="zh-CN"/>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S9. </w:t>
            </w:r>
            <w:r>
              <w:rPr>
                <w:rFonts w:hint="eastAsia" w:ascii="Times New Roman" w:hAnsi="Times New Roman" w:eastAsia="等线" w:cs="Times New Roman"/>
                <w:color w:val="000000"/>
              </w:rPr>
              <w:t>The Cost-Effectiveness Acceptability Curve of conbercept and ranibizumab in treatment of DME from the Perspective of the Health Insurance Payer.</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eastAsiaTheme="minorEastAsia"/>
                <w:color w:val="000000"/>
                <w:lang w:val="en-US" w:eastAsia="zh-CN"/>
              </w:rPr>
            </w:pPr>
            <w:r>
              <w:rPr>
                <w:rFonts w:hint="eastAsia" w:ascii="Times New Roman" w:hAnsi="Times New Roman" w:cs="Times New Roman"/>
                <w:color w:val="000000"/>
                <w:lang w:val="en-US" w:eastAsia="zh-CN"/>
              </w:rPr>
              <w:t>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Cs/>
                <w:color w:val="000000"/>
              </w:rPr>
            </w:pPr>
            <w:r>
              <w:rPr>
                <w:rFonts w:hint="eastAsia" w:ascii="Times New Roman" w:hAnsi="Times New Roman" w:eastAsia="等线" w:cs="Times New Roman"/>
                <w:b/>
                <w:color w:val="000000"/>
              </w:rPr>
              <w:t xml:space="preserve">Figure S10. </w:t>
            </w:r>
            <w:r>
              <w:rPr>
                <w:rFonts w:hint="eastAsia" w:ascii="Times New Roman" w:hAnsi="Times New Roman" w:eastAsia="等线" w:cs="Times New Roman"/>
                <w:color w:val="000000"/>
              </w:rPr>
              <w:t>The Cost-Effectiveness Acceptability Curve of conbercept and ranibizumab in treatment of PM from the Perspective of the Health Insurance Payer.</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eastAsia="zh-CN"/>
              </w:rPr>
            </w:pPr>
            <w:r>
              <w:rPr>
                <w:rFonts w:hint="eastAsia" w:ascii="Times New Roman" w:hAnsi="Times New Roman" w:cs="Times New Roman"/>
                <w:color w:val="000000"/>
              </w:rPr>
              <w:t>2</w:t>
            </w:r>
            <w:r>
              <w:rPr>
                <w:rFonts w:hint="eastAsia" w:ascii="Times New Roman" w:hAnsi="Times New Roman" w:cs="Times New Roman"/>
                <w:color w:val="000000"/>
                <w:lang w:val="en-US" w:eastAsia="zh-CN"/>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eastAsia" w:ascii="Times New Roman" w:hAnsi="Times New Roman" w:eastAsia="等线" w:cs="Times New Roman"/>
                <w:b/>
                <w:color w:val="000000"/>
              </w:rPr>
              <w:t xml:space="preserve">Table S11. </w:t>
            </w:r>
            <w:r>
              <w:rPr>
                <w:rFonts w:hint="eastAsia" w:ascii="Times New Roman" w:hAnsi="Times New Roman" w:eastAsia="等线" w:cs="Times New Roman"/>
                <w:bCs/>
                <w:color w:val="000000"/>
              </w:rPr>
              <w:t>The one-way sensitivity analysis with different numbers of conbercept injections from the Perspective of the Whole Society in 2021.</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2</w:t>
            </w:r>
            <w:r>
              <w:rPr>
                <w:rFonts w:hint="eastAsia" w:ascii="Times New Roman" w:hAnsi="Times New Roman" w:cs="Times New Roman"/>
                <w:color w:val="000000"/>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eastAsia" w:ascii="Times New Roman" w:hAnsi="Times New Roman" w:eastAsia="等线" w:cs="Times New Roman"/>
                <w:b/>
                <w:color w:val="000000"/>
              </w:rPr>
              <w:t xml:space="preserve">Table S12. </w:t>
            </w:r>
            <w:r>
              <w:rPr>
                <w:rFonts w:hint="eastAsia" w:ascii="Times New Roman" w:hAnsi="Times New Roman" w:eastAsia="等线" w:cs="Times New Roman"/>
                <w:bCs/>
                <w:color w:val="000000"/>
              </w:rPr>
              <w:t>The one-way sensitivity analysis with different numbers of ranibizumabinjections from the Perspective of the Whole Society in 2021.</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3</w:t>
            </w:r>
            <w:r>
              <w:rPr>
                <w:rFonts w:hint="eastAsia" w:ascii="Times New Roman" w:hAnsi="Times New Roman" w:cs="Times New Roman"/>
                <w:color w:val="000000"/>
                <w:lang w:val="en-US"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3</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Whole Society in 202</w:t>
            </w:r>
            <w:r>
              <w:rPr>
                <w:rFonts w:hint="eastAsia" w:ascii="Times New Roman" w:hAnsi="Times New Roman" w:eastAsia="等线" w:cs="Times New Roman"/>
                <w:bCs/>
                <w:color w:val="000000"/>
                <w:szCs w:val="21"/>
              </w:rPr>
              <w:t>2</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3</w:t>
            </w:r>
            <w:r>
              <w:rPr>
                <w:rFonts w:hint="eastAsia" w:ascii="Times New Roman" w:hAnsi="Times New Roman" w:cs="Times New Roman"/>
                <w:color w:val="000000"/>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4</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Whole Society in 202</w:t>
            </w:r>
            <w:r>
              <w:rPr>
                <w:rFonts w:hint="eastAsia" w:ascii="Times New Roman" w:hAnsi="Times New Roman" w:eastAsia="等线" w:cs="Times New Roman"/>
                <w:bCs/>
                <w:color w:val="000000"/>
                <w:szCs w:val="21"/>
              </w:rPr>
              <w:t>2</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3</w:t>
            </w:r>
            <w:r>
              <w:rPr>
                <w:rFonts w:hint="eastAsia" w:ascii="Times New Roman" w:hAnsi="Times New Roman" w:cs="Times New Roman"/>
                <w:color w:val="000000"/>
                <w:lang w:val="en-US" w:eastAsia="zh-CN"/>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5</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Whole Society in 202</w:t>
            </w:r>
            <w:r>
              <w:rPr>
                <w:rFonts w:hint="eastAsia" w:ascii="Times New Roman" w:hAnsi="Times New Roman" w:eastAsia="等线" w:cs="Times New Roman"/>
                <w:bCs/>
                <w:color w:val="000000"/>
                <w:szCs w:val="21"/>
              </w:rPr>
              <w:t>3</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3</w:t>
            </w:r>
            <w:r>
              <w:rPr>
                <w:rFonts w:hint="eastAsia" w:ascii="Times New Roman" w:hAnsi="Times New Roman" w:cs="Times New Roman"/>
                <w:color w:val="000000"/>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6</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Whole Society in 202</w:t>
            </w:r>
            <w:r>
              <w:rPr>
                <w:rFonts w:hint="eastAsia" w:ascii="Times New Roman" w:hAnsi="Times New Roman" w:eastAsia="等线" w:cs="Times New Roman"/>
                <w:bCs/>
                <w:color w:val="000000"/>
                <w:szCs w:val="21"/>
              </w:rPr>
              <w:t>3</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3</w:t>
            </w:r>
            <w:r>
              <w:rPr>
                <w:rFonts w:hint="eastAsia" w:ascii="Times New Roman" w:hAnsi="Times New Roman" w:cs="Times New Roman"/>
                <w:color w:val="000000"/>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7</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Whole Society in 202</w:t>
            </w:r>
            <w:r>
              <w:rPr>
                <w:rFonts w:hint="eastAsia" w:ascii="Times New Roman" w:hAnsi="Times New Roman" w:eastAsia="等线" w:cs="Times New Roman"/>
                <w:bCs/>
                <w:color w:val="000000"/>
                <w:szCs w:val="21"/>
              </w:rPr>
              <w:t>4</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4</w:t>
            </w:r>
            <w:r>
              <w:rPr>
                <w:rFonts w:hint="eastAsia" w:ascii="Times New Roman" w:hAnsi="Times New Roman" w:cs="Times New Roman"/>
                <w:color w:val="000000"/>
                <w:lang w:val="en-US"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8</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Whole Society in 202</w:t>
            </w:r>
            <w:r>
              <w:rPr>
                <w:rFonts w:hint="eastAsia" w:ascii="Times New Roman" w:hAnsi="Times New Roman" w:eastAsia="等线" w:cs="Times New Roman"/>
                <w:bCs/>
                <w:color w:val="000000"/>
                <w:szCs w:val="21"/>
              </w:rPr>
              <w:t>4</w:t>
            </w:r>
            <w:r>
              <w:rPr>
                <w:rFonts w:hint="default" w:ascii="Times New Roman" w:hAnsi="Times New Roman" w:eastAsia="等线" w:cs="Times New Roman"/>
                <w:bCs/>
                <w:color w:val="000000"/>
                <w:szCs w:val="21"/>
              </w:rPr>
              <w:t>.</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4</w:t>
            </w:r>
            <w:r>
              <w:rPr>
                <w:rFonts w:hint="eastAsia" w:ascii="Times New Roman" w:hAnsi="Times New Roman" w:cs="Times New Roman"/>
                <w:color w:val="000000"/>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S1</w:t>
            </w:r>
            <w:r>
              <w:rPr>
                <w:rFonts w:hint="eastAsia" w:ascii="Times New Roman" w:hAnsi="Times New Roman" w:eastAsia="等线" w:cs="Times New Roman"/>
                <w:b/>
                <w:color w:val="000000"/>
                <w:szCs w:val="21"/>
              </w:rPr>
              <w:t>9</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Health Insurance Payer in 2021.</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4</w:t>
            </w:r>
            <w:r>
              <w:rPr>
                <w:rFonts w:hint="eastAsia" w:ascii="Times New Roman" w:hAnsi="Times New Roman" w:cs="Times New Roman"/>
                <w:color w:val="000000"/>
                <w:lang w:val="en-US" w:eastAsia="zh-CN"/>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20</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Health Insurance Payer in 2021.</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4</w:t>
            </w:r>
            <w:r>
              <w:rPr>
                <w:rFonts w:hint="eastAsia" w:ascii="Times New Roman" w:hAnsi="Times New Roman" w:cs="Times New Roman"/>
                <w:color w:val="000000"/>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21</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Health Insurance Payer in 2022.</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4</w:t>
            </w:r>
            <w:r>
              <w:rPr>
                <w:rFonts w:hint="eastAsia" w:ascii="Times New Roman" w:hAnsi="Times New Roman" w:cs="Times New Roman"/>
                <w:color w:val="000000"/>
                <w:lang w:val="en-US" w:eastAsia="zh-CN"/>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22</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Health Insurance Payer in 2022.</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5</w:t>
            </w:r>
            <w:r>
              <w:rPr>
                <w:rFonts w:hint="eastAsia" w:ascii="Times New Roman" w:hAnsi="Times New Roman" w:cs="Times New Roman"/>
                <w:color w:val="000000"/>
                <w:lang w:val="en-US"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23</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Health Insurance Payer in 2023.</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5</w:t>
            </w:r>
            <w:r>
              <w:rPr>
                <w:rFonts w:hint="eastAsia" w:ascii="Times New Roman" w:hAnsi="Times New Roman" w:cs="Times New Roman"/>
                <w:color w:val="000000"/>
                <w:lang w:val="en-US"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24</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Health Insurance Payer in 2023.</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5</w:t>
            </w:r>
            <w:r>
              <w:rPr>
                <w:rFonts w:hint="eastAsia" w:ascii="Times New Roman" w:hAnsi="Times New Roman" w:cs="Times New Roman"/>
                <w:color w:val="000000"/>
                <w:lang w:val="en-US" w:eastAsia="zh-CN"/>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25</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conbercept injections from the Perspective of the Health Insurance Payer in 2024.</w:t>
            </w:r>
          </w:p>
        </w:tc>
        <w:tc>
          <w:tcPr>
            <w:tcW w:w="850" w:type="dxa"/>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5</w:t>
            </w:r>
            <w:r>
              <w:rPr>
                <w:rFonts w:hint="eastAsia" w:ascii="Times New Roman" w:hAnsi="Times New Roman" w:cs="Times New Roman"/>
                <w:color w:val="000000"/>
                <w:lang w:val="en-US" w:eastAsia="zh-CN"/>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81" w:type="dxa"/>
            <w:tcBorders>
              <w:bottom w:val="single" w:color="000000" w:sz="12" w:space="0"/>
            </w:tcBorders>
            <w:shd w:val="clear" w:color="auto" w:fill="FFFFFF"/>
            <w:vAlign w:val="center"/>
          </w:tcPr>
          <w:p>
            <w:pPr>
              <w:keepNext w:val="0"/>
              <w:keepLines w:val="0"/>
              <w:suppressLineNumbers w:val="0"/>
              <w:spacing w:before="0" w:beforeAutospacing="0" w:after="0" w:afterAutospacing="0" w:line="360" w:lineRule="auto"/>
              <w:ind w:left="0" w:right="0"/>
              <w:jc w:val="left"/>
              <w:rPr>
                <w:rFonts w:hint="default" w:ascii="Times New Roman" w:hAnsi="Times New Roman" w:eastAsia="等线" w:cs="Times New Roman"/>
                <w:b/>
                <w:color w:val="000000"/>
                <w:szCs w:val="21"/>
              </w:rPr>
            </w:pPr>
            <w:r>
              <w:rPr>
                <w:rFonts w:hint="default" w:ascii="Times New Roman" w:hAnsi="Times New Roman" w:eastAsia="等线" w:cs="Times New Roman"/>
                <w:b/>
                <w:color w:val="000000"/>
                <w:szCs w:val="21"/>
              </w:rPr>
              <w:t>Table S</w:t>
            </w:r>
            <w:r>
              <w:rPr>
                <w:rFonts w:hint="eastAsia" w:ascii="Times New Roman" w:hAnsi="Times New Roman" w:eastAsia="等线" w:cs="Times New Roman"/>
                <w:b/>
                <w:color w:val="000000"/>
                <w:szCs w:val="21"/>
              </w:rPr>
              <w:t>26</w:t>
            </w:r>
            <w:r>
              <w:rPr>
                <w:rFonts w:hint="default" w:ascii="Times New Roman" w:hAnsi="Times New Roman" w:eastAsia="等线" w:cs="Times New Roman"/>
                <w:b/>
                <w:color w:val="000000"/>
                <w:szCs w:val="21"/>
              </w:rPr>
              <w:t xml:space="preserve">. </w:t>
            </w:r>
            <w:r>
              <w:rPr>
                <w:rFonts w:hint="default" w:ascii="Times New Roman" w:hAnsi="Times New Roman" w:eastAsia="等线" w:cs="Times New Roman"/>
                <w:bCs/>
                <w:color w:val="000000"/>
                <w:szCs w:val="21"/>
              </w:rPr>
              <w:t>The one-way sensitivity analysis with different numbers of ranibizumab injections from the Perspective of the Health Insurance Payer in 2024.</w:t>
            </w:r>
          </w:p>
        </w:tc>
        <w:tc>
          <w:tcPr>
            <w:tcW w:w="850" w:type="dxa"/>
            <w:tcBorders>
              <w:bottom w:val="single" w:color="000000" w:sz="12" w:space="0"/>
            </w:tcBorders>
            <w:shd w:val="clear" w:color="auto" w:fill="FFFFFF"/>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eastAsiaTheme="minorEastAsia"/>
                <w:color w:val="000000"/>
                <w:lang w:val="en-US" w:eastAsia="zh-CN"/>
              </w:rPr>
            </w:pPr>
            <w:r>
              <w:rPr>
                <w:rFonts w:hint="eastAsia" w:ascii="Times New Roman" w:hAnsi="Times New Roman" w:cs="Times New Roman"/>
                <w:color w:val="000000"/>
              </w:rPr>
              <w:t>5</w:t>
            </w:r>
            <w:r>
              <w:rPr>
                <w:rFonts w:hint="eastAsia" w:ascii="Times New Roman" w:hAnsi="Times New Roman" w:cs="Times New Roman"/>
                <w:color w:val="000000"/>
                <w:lang w:val="en-US" w:eastAsia="zh-CN"/>
              </w:rPr>
              <w:t>9</w:t>
            </w:r>
          </w:p>
        </w:tc>
      </w:tr>
    </w:tbl>
    <w:p>
      <w:pPr>
        <w:jc w:val="center"/>
        <w:rPr>
          <w:rFonts w:ascii="Times New Roman" w:hAnsi="Times New Roman" w:cs="Times New Roman"/>
          <w:b/>
          <w:bCs/>
        </w:rPr>
        <w:sectPr>
          <w:footerReference r:id="rId4" w:type="default"/>
          <w:pgSz w:w="11906" w:h="16838"/>
          <w:pgMar w:top="1440" w:right="1800" w:bottom="1440" w:left="180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Table S1</w:t>
      </w:r>
      <w:r>
        <w:rPr>
          <w:rFonts w:hint="eastAsia" w:ascii="Times New Roman" w:hAnsi="Times New Roman" w:cs="Times New Roman"/>
          <w:b/>
          <w:bCs/>
        </w:rPr>
        <w:t xml:space="preserve">. </w:t>
      </w:r>
      <w:r>
        <w:rPr>
          <w:rFonts w:ascii="Times New Roman" w:hAnsi="Times New Roman" w:cs="Times New Roman"/>
        </w:rPr>
        <w:t>The prices of conbercept and ranibizumab</w:t>
      </w:r>
      <w:r>
        <w:rPr>
          <w:rFonts w:hint="eastAsia" w:ascii="Times New Roman" w:hAnsi="Times New Roman" w:cs="Times New Roman"/>
        </w:rPr>
        <w:t xml:space="preserve"> and the daily wage.</w:t>
      </w:r>
    </w:p>
    <w:tbl>
      <w:tblPr>
        <w:tblStyle w:val="17"/>
        <w:tblW w:w="1105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3402"/>
        <w:gridCol w:w="2268"/>
        <w:gridCol w:w="2694"/>
        <w:gridCol w:w="269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69" w:hRule="atLeast"/>
          <w:jc w:val="center"/>
        </w:trPr>
        <w:tc>
          <w:tcPr>
            <w:tcW w:w="3402" w:type="dxa"/>
            <w:tcBorders>
              <w:top w:val="single" w:color="000000" w:sz="12" w:space="0"/>
              <w:left w:val="nil"/>
              <w:bottom w:val="single" w:color="000000" w:sz="4" w:space="0"/>
              <w:right w:val="nil"/>
              <w:tl2br w:val="nil"/>
            </w:tcBorders>
            <w:shd w:val="clear" w:color="auto" w:fill="FFFFFF"/>
          </w:tcPr>
          <w:p>
            <w:pPr>
              <w:keepNext w:val="0"/>
              <w:keepLines w:val="0"/>
              <w:suppressLineNumbers w:val="0"/>
              <w:spacing w:before="0" w:beforeAutospacing="0" w:after="0" w:afterAutospacing="0"/>
              <w:ind w:left="0" w:right="0"/>
              <w:rPr>
                <w:rFonts w:hint="default" w:ascii="Times New Roman" w:hAnsi="Times New Roman" w:cs="Times New Roman"/>
                <w:color w:val="000000"/>
              </w:rPr>
            </w:pPr>
          </w:p>
        </w:tc>
        <w:tc>
          <w:tcPr>
            <w:tcW w:w="2268" w:type="dxa"/>
            <w:tcBorders>
              <w:top w:val="single" w:color="000000" w:sz="12" w:space="0"/>
              <w:left w:val="nil"/>
              <w:bottom w:val="single" w:color="000000" w:sz="4" w:space="0"/>
              <w:right w:val="nil"/>
            </w:tcBorders>
            <w:shd w:val="clear" w:color="auto" w:fill="FFFFFF"/>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conbercept</w:t>
            </w:r>
          </w:p>
        </w:tc>
        <w:tc>
          <w:tcPr>
            <w:tcW w:w="2694" w:type="dxa"/>
            <w:tcBorders>
              <w:top w:val="single" w:color="000000" w:sz="12" w:space="0"/>
              <w:left w:val="nil"/>
              <w:bottom w:val="single" w:color="000000" w:sz="4" w:space="0"/>
              <w:right w:val="nil"/>
            </w:tcBorders>
            <w:shd w:val="clear" w:color="auto" w:fill="FFFFFF"/>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ranibizumab</w:t>
            </w:r>
          </w:p>
        </w:tc>
        <w:tc>
          <w:tcPr>
            <w:tcW w:w="2694" w:type="dxa"/>
            <w:tcBorders>
              <w:top w:val="single" w:color="000000" w:sz="12" w:space="0"/>
              <w:left w:val="nil"/>
              <w:bottom w:val="single" w:color="000000" w:sz="4" w:space="0"/>
              <w:right w:val="nil"/>
            </w:tcBorders>
            <w:shd w:val="clear" w:color="auto" w:fill="FFFFFF"/>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eastAsia" w:ascii="Times New Roman" w:hAnsi="Times New Roman" w:cs="Times New Roman"/>
                <w:color w:val="000000"/>
              </w:rPr>
              <w:t>Daily wage</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69" w:hRule="atLeast"/>
          <w:jc w:val="center"/>
        </w:trPr>
        <w:tc>
          <w:tcPr>
            <w:tcW w:w="3402" w:type="dxa"/>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2021（RMB）</w:t>
            </w:r>
          </w:p>
        </w:tc>
        <w:tc>
          <w:tcPr>
            <w:tcW w:w="2268" w:type="dxa"/>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4160</w:t>
            </w:r>
          </w:p>
        </w:tc>
        <w:tc>
          <w:tcPr>
            <w:tcW w:w="2694" w:type="dxa"/>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3950</w:t>
            </w:r>
          </w:p>
        </w:tc>
        <w:tc>
          <w:tcPr>
            <w:tcW w:w="269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textAlignment w:val="top"/>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rPr>
              <w:t>96.2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69" w:hRule="atLeast"/>
          <w:jc w:val="center"/>
        </w:trPr>
        <w:tc>
          <w:tcPr>
            <w:tcW w:w="340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2022（RMB）</w:t>
            </w:r>
          </w:p>
        </w:tc>
        <w:tc>
          <w:tcPr>
            <w:tcW w:w="226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3452.8</w:t>
            </w:r>
          </w:p>
        </w:tc>
        <w:tc>
          <w:tcPr>
            <w:tcW w:w="269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3950</w:t>
            </w:r>
          </w:p>
        </w:tc>
        <w:tc>
          <w:tcPr>
            <w:tcW w:w="269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textAlignment w:val="top"/>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rPr>
              <w:t>101.05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69" w:hRule="atLeast"/>
          <w:jc w:val="center"/>
        </w:trPr>
        <w:tc>
          <w:tcPr>
            <w:tcW w:w="340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2023（RMB）</w:t>
            </w:r>
          </w:p>
        </w:tc>
        <w:tc>
          <w:tcPr>
            <w:tcW w:w="226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3452.8</w:t>
            </w:r>
          </w:p>
        </w:tc>
        <w:tc>
          <w:tcPr>
            <w:tcW w:w="269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3950</w:t>
            </w:r>
          </w:p>
        </w:tc>
        <w:tc>
          <w:tcPr>
            <w:tcW w:w="269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textAlignment w:val="top"/>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rPr>
              <w:t>107.45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69" w:hRule="atLeast"/>
          <w:jc w:val="center"/>
        </w:trPr>
        <w:tc>
          <w:tcPr>
            <w:tcW w:w="3402" w:type="dxa"/>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2024（RMB）</w:t>
            </w:r>
          </w:p>
        </w:tc>
        <w:tc>
          <w:tcPr>
            <w:tcW w:w="2268" w:type="dxa"/>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3452.8</w:t>
            </w:r>
          </w:p>
        </w:tc>
        <w:tc>
          <w:tcPr>
            <w:tcW w:w="2694" w:type="dxa"/>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3673.5</w:t>
            </w:r>
          </w:p>
        </w:tc>
        <w:tc>
          <w:tcPr>
            <w:tcW w:w="269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textAlignment w:val="top"/>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rPr>
              <w:t>113.19</w:t>
            </w:r>
          </w:p>
        </w:tc>
      </w:tr>
    </w:tbl>
    <w:p>
      <w:pPr>
        <w:jc w:val="left"/>
        <w:rPr>
          <w:rFonts w:ascii="Times New Roman" w:hAnsi="Times New Roman" w:eastAsia="等线" w:cs="Times New Roman"/>
          <w:b/>
          <w:bCs/>
          <w:szCs w:val="21"/>
        </w:rPr>
      </w:pPr>
    </w:p>
    <w:p>
      <w:pPr>
        <w:jc w:val="center"/>
        <w:rPr>
          <w:rFonts w:ascii="Times New Roman" w:hAnsi="Times New Roman" w:eastAsia="等线" w:cs="Times New Roman"/>
          <w:szCs w:val="21"/>
        </w:rPr>
      </w:pPr>
      <w:r>
        <w:rPr>
          <w:rFonts w:hint="eastAsia" w:ascii="Times New Roman" w:hAnsi="Times New Roman" w:eastAsia="等线" w:cs="Times New Roman"/>
          <w:b/>
          <w:bCs/>
          <w:szCs w:val="21"/>
        </w:rPr>
        <w:t xml:space="preserve">Table S2. </w:t>
      </w:r>
      <w:r>
        <w:rPr>
          <w:rFonts w:hint="eastAsia" w:ascii="Times New Roman" w:hAnsi="Times New Roman" w:eastAsia="等线" w:cs="Times New Roman"/>
          <w:szCs w:val="21"/>
        </w:rPr>
        <w:t>The number of days lost from work.</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3"/>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bCs/>
                <w:color w:val="000000"/>
                <w:szCs w:val="21"/>
              </w:rPr>
            </w:pPr>
          </w:p>
        </w:tc>
        <w:tc>
          <w:tcPr>
            <w:tcW w:w="0" w:type="auto"/>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bCs/>
                <w:color w:val="000000"/>
                <w:szCs w:val="21"/>
              </w:rPr>
            </w:pPr>
            <w:r>
              <w:rPr>
                <w:rFonts w:hint="eastAsia" w:ascii="Times New Roman" w:hAnsi="Times New Roman" w:eastAsia="等线" w:cs="Times New Roman"/>
                <w:color w:val="000000"/>
                <w:szCs w:val="21"/>
              </w:rPr>
              <w:t>D</w:t>
            </w:r>
            <w:r>
              <w:rPr>
                <w:rFonts w:hint="default" w:ascii="Times New Roman" w:hAnsi="Times New Roman" w:eastAsia="等线" w:cs="Times New Roman"/>
                <w:color w:val="000000"/>
                <w:szCs w:val="21"/>
              </w:rPr>
              <w:t>ays lost from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szCs w:val="21"/>
              </w:rPr>
            </w:pPr>
            <w:r>
              <w:rPr>
                <w:rFonts w:hint="default" w:ascii="Times New Roman" w:hAnsi="Times New Roman" w:eastAsia="等线" w:cs="Times New Roman"/>
                <w:color w:val="000000"/>
                <w:szCs w:val="21"/>
              </w:rPr>
              <w:t>Age-related macular degeneration</w:t>
            </w:r>
          </w:p>
        </w:tc>
        <w:tc>
          <w:tcPr>
            <w:tcW w:w="0" w:type="auto"/>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等线" w:cs="Times New Roman"/>
                <w:bCs/>
                <w:color w:val="000000"/>
                <w:szCs w:val="21"/>
              </w:rPr>
            </w:pPr>
            <w:r>
              <w:rPr>
                <w:rFonts w:hint="eastAsia" w:ascii="Times New Roman" w:hAnsi="Times New Roman" w:eastAsia="等线" w:cs="Times New Roman"/>
                <w:bCs/>
                <w:color w:val="000000"/>
                <w:szCs w:val="21"/>
              </w:rPr>
              <w:t>98.14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szCs w:val="21"/>
              </w:rPr>
            </w:pPr>
            <w:r>
              <w:rPr>
                <w:rFonts w:hint="default" w:ascii="Times New Roman" w:hAnsi="Times New Roman" w:eastAsia="宋体" w:cs="Times New Roman"/>
                <w:color w:val="000000"/>
                <w:kern w:val="0"/>
                <w:szCs w:val="21"/>
              </w:rPr>
              <w:t>Branch</w:t>
            </w:r>
            <w:r>
              <w:rPr>
                <w:rFonts w:hint="eastAsia" w:ascii="Times New Roman" w:hAnsi="Times New Roman" w:eastAsia="宋体" w:cs="Times New Roman"/>
                <w:color w:val="000000"/>
                <w:kern w:val="0"/>
                <w:szCs w:val="21"/>
                <w:lang w:val="en-US" w:eastAsia="zh-CN"/>
              </w:rPr>
              <w:t xml:space="preserve"> </w:t>
            </w:r>
            <w:r>
              <w:rPr>
                <w:rFonts w:hint="default" w:ascii="Times New Roman" w:hAnsi="Times New Roman" w:eastAsia="等线" w:cs="Times New Roman"/>
                <w:color w:val="000000"/>
                <w:szCs w:val="21"/>
              </w:rPr>
              <w:t>Retinal Vein Occlusion</w:t>
            </w:r>
          </w:p>
        </w:tc>
        <w:tc>
          <w:tcPr>
            <w:tcW w:w="0" w:type="auto"/>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等线" w:cs="Times New Roman"/>
                <w:bCs/>
                <w:color w:val="000000"/>
                <w:szCs w:val="21"/>
                <w:lang w:val="en-US" w:eastAsia="zh-CN"/>
              </w:rPr>
            </w:pPr>
            <w:r>
              <w:rPr>
                <w:rFonts w:hint="eastAsia" w:ascii="Times New Roman" w:hAnsi="Times New Roman" w:eastAsia="等线" w:cs="Times New Roman"/>
                <w:bCs/>
                <w:color w:val="000000"/>
                <w:szCs w:val="21"/>
                <w:lang w:val="en-US" w:eastAsia="zh-CN"/>
              </w:rPr>
              <w:t>83.056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szCs w:val="21"/>
              </w:rPr>
            </w:pPr>
            <w:r>
              <w:rPr>
                <w:rFonts w:hint="default" w:ascii="Times New Roman" w:hAnsi="Times New Roman" w:eastAsia="宋体" w:cs="Times New Roman"/>
                <w:color w:val="000000"/>
                <w:kern w:val="0"/>
                <w:szCs w:val="21"/>
              </w:rPr>
              <w:t>Central Retinal Vein Occlusion</w:t>
            </w:r>
          </w:p>
        </w:tc>
        <w:tc>
          <w:tcPr>
            <w:tcW w:w="0" w:type="auto"/>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等线" w:cs="Times New Roman"/>
                <w:bCs/>
                <w:color w:val="000000"/>
                <w:szCs w:val="21"/>
                <w:lang w:val="en-US" w:eastAsia="zh-CN"/>
              </w:rPr>
            </w:pPr>
            <w:r>
              <w:rPr>
                <w:rFonts w:hint="eastAsia" w:ascii="Times New Roman" w:hAnsi="Times New Roman" w:eastAsia="等线" w:cs="Times New Roman"/>
                <w:bCs/>
                <w:color w:val="000000"/>
                <w:szCs w:val="21"/>
                <w:lang w:val="en-US" w:eastAsia="zh-CN"/>
              </w:rPr>
              <w:t>113.662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07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szCs w:val="21"/>
              </w:rPr>
            </w:pPr>
            <w:r>
              <w:rPr>
                <w:rFonts w:hint="default" w:ascii="Times New Roman" w:hAnsi="Times New Roman" w:eastAsia="等线" w:cs="Times New Roman"/>
                <w:color w:val="000000"/>
                <w:szCs w:val="21"/>
              </w:rPr>
              <w:t>Diabetic macular edema</w:t>
            </w:r>
          </w:p>
        </w:tc>
        <w:tc>
          <w:tcPr>
            <w:tcW w:w="1949"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等线" w:cs="Times New Roman"/>
                <w:bCs/>
                <w:color w:val="000000"/>
                <w:szCs w:val="21"/>
              </w:rPr>
            </w:pPr>
            <w:r>
              <w:rPr>
                <w:rFonts w:hint="eastAsia" w:ascii="Times New Roman" w:hAnsi="Times New Roman" w:eastAsia="等线" w:cs="Times New Roman"/>
                <w:bCs/>
                <w:color w:val="000000"/>
                <w:szCs w:val="21"/>
              </w:rPr>
              <w:t>108.96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073" w:type="dxa"/>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eastAsia="等线" w:cs="Times New Roman"/>
                <w:color w:val="000000"/>
                <w:szCs w:val="21"/>
              </w:rPr>
            </w:pPr>
            <w:r>
              <w:rPr>
                <w:rFonts w:hint="default" w:ascii="Times New Roman" w:hAnsi="Times New Roman" w:eastAsia="等线" w:cs="Times New Roman"/>
                <w:color w:val="000000"/>
                <w:szCs w:val="21"/>
              </w:rPr>
              <w:t>Pathological myopia</w:t>
            </w:r>
          </w:p>
        </w:tc>
        <w:tc>
          <w:tcPr>
            <w:tcW w:w="1949" w:type="dxa"/>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等线" w:cs="Times New Roman"/>
                <w:bCs/>
                <w:szCs w:val="21"/>
              </w:rPr>
            </w:pPr>
            <w:r>
              <w:rPr>
                <w:rFonts w:hint="eastAsia" w:ascii="Times New Roman" w:hAnsi="Times New Roman" w:eastAsia="等线" w:cs="Times New Roman"/>
                <w:bCs/>
                <w:szCs w:val="21"/>
              </w:rPr>
              <w:t>122.37</w:t>
            </w:r>
          </w:p>
        </w:tc>
      </w:tr>
    </w:tbl>
    <w:p>
      <w:pPr>
        <w:jc w:val="left"/>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3.</w:t>
      </w:r>
      <w:r>
        <w:rPr>
          <w:rFonts w:ascii="Times New Roman" w:hAnsi="Times New Roman" w:cs="Times New Roman"/>
        </w:rPr>
        <w:t>The Two-way Sensitivity Analysis of Conbercept and Ranibizumab from the Perspective of the Whole Society in 2021.</w:t>
      </w:r>
    </w:p>
    <w:tbl>
      <w:tblPr>
        <w:tblStyle w:val="16"/>
        <w:tblW w:w="4997" w:type="pct"/>
        <w:jc w:val="center"/>
        <w:tblLayout w:type="autofit"/>
        <w:tblCellMar>
          <w:top w:w="0" w:type="dxa"/>
          <w:left w:w="108" w:type="dxa"/>
          <w:bottom w:w="0" w:type="dxa"/>
          <w:right w:w="108" w:type="dxa"/>
        </w:tblCellMar>
      </w:tblPr>
      <w:tblGrid>
        <w:gridCol w:w="1733"/>
        <w:gridCol w:w="1733"/>
        <w:gridCol w:w="1733"/>
        <w:gridCol w:w="1733"/>
        <w:gridCol w:w="1733"/>
        <w:gridCol w:w="1734"/>
        <w:gridCol w:w="1734"/>
        <w:gridCol w:w="1734"/>
        <w:gridCol w:w="1738"/>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202749.392</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7.824</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25913.777</w:t>
            </w:r>
          </w:p>
        </w:tc>
        <w:tc>
          <w:tcPr>
            <w:tcW w:w="556"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228136.002</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25386.61</w:t>
            </w:r>
            <w:r>
              <w:rPr>
                <w:rFonts w:hint="eastAsia" w:ascii="Times New Roman" w:hAnsi="Times New Roman" w:eastAsia="宋体" w:cs="Times New Roman"/>
                <w:color w:val="000000"/>
                <w:kern w:val="0"/>
                <w:sz w:val="22"/>
                <w:szCs w:val="22"/>
                <w:lang w:val="en-US" w:eastAsia="zh-CN"/>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8.490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0.665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26871.143</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38118.033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225277.102</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7.824</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28791.715</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253484.447</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28207.346</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8.490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0.665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29858.361</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42404.890</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247804.812</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7.824</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31672.394</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278832.892</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31028.08</w:t>
            </w:r>
            <w:r>
              <w:rPr>
                <w:rFonts w:hint="eastAsia" w:ascii="Times New Roman" w:hAnsi="Times New Roman" w:eastAsia="宋体" w:cs="Times New Roman"/>
                <w:color w:val="000000"/>
                <w:kern w:val="0"/>
                <w:sz w:val="22"/>
                <w:szCs w:val="22"/>
                <w:lang w:val="en-US" w:eastAsia="zh-CN"/>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8.490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0.665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32842.508</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46588.709</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145382.381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17419.408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261336.895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115954.514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31497.758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-2366418.653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161535.979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19355.197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290374.328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128838.350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w:t>
            </w:r>
            <w:r>
              <w:rPr>
                <w:rFonts w:hint="eastAsia" w:ascii="Times New Roman" w:hAnsi="Times New Roman" w:eastAsia="宋体" w:cs="Times New Roman"/>
                <w:color w:val="000000"/>
                <w:kern w:val="0"/>
                <w:sz w:val="22"/>
                <w:szCs w:val="22"/>
                <w:lang w:val="en-US" w:eastAsia="zh-CN"/>
              </w:rPr>
              <w:t>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34997.782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-2632799.096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177689.577</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21290.388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319411.761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141722.184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38497.259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-2892289.469</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174852.645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21438.529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267832.586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92979.941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32923.489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-4427616.238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194280.717</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23821.369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297591.762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103311.045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36581.674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-4982016.597</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213708.789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26202.647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327350.938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113642.149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40239.82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-5411530.905</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286493.198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41084.540</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266745.087</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-19748.111</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39470.492</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91778.336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318325.776</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45649.489</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296383.430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-21942.346</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43856.103</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101975.929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350158.354</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50214.438</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326021.773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-24136.581</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48241.713</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112173.521</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252750.189</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33576.399</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239932.551</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-12817.638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31994.505</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450775.291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280833.543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37307.110</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266591.723</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-14241.820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35549.450</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500861.434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308916.897</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41037.820</w:t>
            </w:r>
          </w:p>
        </w:tc>
        <w:tc>
          <w:tcPr>
            <w:tcW w:w="556"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293250.895</w:t>
            </w: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-15666.002</w:t>
            </w: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39104.395</w:t>
            </w:r>
          </w:p>
        </w:tc>
        <w:tc>
          <w:tcPr>
            <w:tcW w:w="556"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550947.577</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 xml:space="preserve">4. </w:t>
      </w:r>
      <w:r>
        <w:rPr>
          <w:rFonts w:ascii="Times New Roman" w:hAnsi="Times New Roman" w:cs="Times New Roman"/>
        </w:rPr>
        <w:t>The Two-way Sensitivity Analysis of Conbercept and Ranibizumab from the Perspective of the Whole Society in 2022.</w:t>
      </w:r>
    </w:p>
    <w:tbl>
      <w:tblPr>
        <w:tblStyle w:val="16"/>
        <w:tblW w:w="4997" w:type="pct"/>
        <w:jc w:val="center"/>
        <w:tblLayout w:type="autofit"/>
        <w:tblCellMar>
          <w:top w:w="0" w:type="dxa"/>
          <w:left w:w="108" w:type="dxa"/>
          <w:bottom w:w="0" w:type="dxa"/>
          <w:right w:w="108" w:type="dxa"/>
        </w:tblCellMar>
      </w:tblPr>
      <w:tblGrid>
        <w:gridCol w:w="1733"/>
        <w:gridCol w:w="1733"/>
        <w:gridCol w:w="1733"/>
        <w:gridCol w:w="1733"/>
        <w:gridCol w:w="1733"/>
        <w:gridCol w:w="1734"/>
        <w:gridCol w:w="1734"/>
        <w:gridCol w:w="1734"/>
        <w:gridCol w:w="1738"/>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258195.815</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33000.488</w:t>
            </w:r>
          </w:p>
        </w:tc>
        <w:tc>
          <w:tcPr>
            <w:tcW w:w="1738"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261766.628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3570.813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30832.347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5361.581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286884.239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36665.463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290851.809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3967.570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34259.926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5964.559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315572.663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40333.929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319936.99</w:t>
            </w:r>
            <w:r>
              <w:rPr>
                <w:rFonts w:hint="eastAsia" w:ascii="Times New Roman" w:hAnsi="Times New Roman" w:eastAsia="宋体" w:cs="Times New Roman"/>
                <w:color w:val="000000"/>
                <w:kern w:val="0"/>
                <w:sz w:val="22"/>
                <w:szCs w:val="22"/>
                <w:lang w:val="en-US" w:eastAsia="zh-CN"/>
              </w:rPr>
              <w:t>0</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4364.327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37683.98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6553.044</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237167.341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28416.887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258329.509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21162.168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31135.291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-431880.98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263519.268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31574.807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287032.788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23513.521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34595.038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-480496.496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289871.195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34731.751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315736.067</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25864.872</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38054.245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-527854.531</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230047.723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28205.949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362504.442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132456.719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44561.087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-6307462.81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255608.581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31340.971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402782.713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147174.132</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49512.344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-7097246.654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281169.439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34473.938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443060.984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161891.545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54463.551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-7709121.19</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271807.115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38978.483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283629.053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11821.939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41968.827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-54941.854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302007.905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43309.425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315143.393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13135.487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46632.030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-61046.505</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332208.696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47640.368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346657.732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14449.036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51295.233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-67151.155</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250141.205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33229.810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266153.039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16011.834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35490.952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-563109.933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277934.672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36922.011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295725.599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17790.927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39434.392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-625677.703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305728.139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40614.212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325298.159</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19570.020</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43377.831</w:t>
            </w:r>
          </w:p>
        </w:tc>
        <w:tc>
          <w:tcPr>
            <w:tcW w:w="1738"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-688245.473</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 xml:space="preserve">5. </w:t>
      </w:r>
      <w:r>
        <w:rPr>
          <w:rFonts w:ascii="Times New Roman" w:hAnsi="Times New Roman" w:cs="Times New Roman"/>
        </w:rPr>
        <w:t>The Two-way Sensitivity Analysis of Conbercept and Ranibizumab from the Perspective of the Whole Society in 2023.</w:t>
      </w:r>
    </w:p>
    <w:tbl>
      <w:tblPr>
        <w:tblStyle w:val="16"/>
        <w:tblW w:w="4997" w:type="pct"/>
        <w:jc w:val="center"/>
        <w:tblLayout w:type="autofit"/>
        <w:tblCellMar>
          <w:top w:w="0" w:type="dxa"/>
          <w:left w:w="108" w:type="dxa"/>
          <w:bottom w:w="0" w:type="dxa"/>
          <w:right w:w="108" w:type="dxa"/>
        </w:tblCellMar>
      </w:tblPr>
      <w:tblGrid>
        <w:gridCol w:w="1733"/>
        <w:gridCol w:w="1733"/>
        <w:gridCol w:w="1733"/>
        <w:gridCol w:w="1733"/>
        <w:gridCol w:w="1733"/>
        <w:gridCol w:w="1734"/>
        <w:gridCol w:w="1734"/>
        <w:gridCol w:w="1734"/>
        <w:gridCol w:w="1738"/>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266040.59</w:t>
            </w:r>
            <w:r>
              <w:rPr>
                <w:rFonts w:hint="eastAsia" w:ascii="Times New Roman" w:hAnsi="Times New Roman" w:eastAsia="宋体" w:cs="Times New Roman"/>
                <w:color w:val="000000"/>
                <w:kern w:val="0"/>
                <w:sz w:val="22"/>
                <w:szCs w:val="22"/>
                <w:lang w:val="en-US" w:eastAsia="zh-CN"/>
              </w:rPr>
              <w:t>0</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34003.143</w:t>
            </w:r>
          </w:p>
        </w:tc>
        <w:tc>
          <w:tcPr>
            <w:tcW w:w="1738"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263771.41</w:t>
            </w:r>
            <w:r>
              <w:rPr>
                <w:rFonts w:hint="eastAsia" w:ascii="Times New Roman" w:hAnsi="Times New Roman" w:eastAsia="宋体" w:cs="Times New Roman"/>
                <w:color w:val="000000"/>
                <w:kern w:val="0"/>
                <w:sz w:val="22"/>
                <w:szCs w:val="22"/>
                <w:lang w:val="en-US" w:eastAsia="zh-CN"/>
              </w:rPr>
              <w:t>0</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-2269.18</w:t>
            </w:r>
            <w:r>
              <w:rPr>
                <w:rFonts w:hint="eastAsia" w:ascii="Times New Roman" w:hAnsi="Times New Roman" w:eastAsia="宋体" w:cs="Times New Roman"/>
                <w:color w:val="000000"/>
                <w:kern w:val="0"/>
                <w:sz w:val="22"/>
                <w:szCs w:val="22"/>
                <w:lang w:val="en-US" w:eastAsia="zh-CN"/>
              </w:rPr>
              <w:t>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31068.482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-3407.177</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295600.655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37779.472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293079.345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r>
              <w:rPr>
                <w:rFonts w:hint="default" w:ascii="Times New Roman" w:hAnsi="Times New Roman" w:eastAsia="宋体" w:cs="Times New Roman"/>
                <w:color w:val="000000"/>
                <w:kern w:val="0"/>
                <w:sz w:val="22"/>
                <w:szCs w:val="22"/>
                <w:lang w:val="en-US" w:eastAsia="zh-CN"/>
              </w:rPr>
              <w:t>2521.309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34522.311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-3790.354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325160.721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41559.397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322387.28</w:t>
            </w:r>
            <w:r>
              <w:rPr>
                <w:rFonts w:hint="eastAsia" w:ascii="Times New Roman" w:hAnsi="Times New Roman" w:eastAsia="宋体" w:cs="Times New Roman"/>
                <w:color w:val="000000"/>
                <w:kern w:val="0"/>
                <w:sz w:val="22"/>
                <w:szCs w:val="22"/>
                <w:lang w:val="en-US" w:eastAsia="zh-CN"/>
              </w:rPr>
              <w:t>0</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-2773.441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37972.589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-4164.326</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228294.902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27353.81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247780.234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19485.332</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29863.834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-397659.837</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253661.002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30393.592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275311.371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21650.369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33182.297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-442423.176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279027.102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33432.435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302842.508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23815.406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36500.242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-486028.694</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259437.466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31809.4</w:t>
            </w:r>
            <w:r>
              <w:rPr>
                <w:rFonts w:hint="eastAsia" w:ascii="Times New Roman" w:hAnsi="Times New Roman" w:eastAsia="宋体" w:cs="Times New Roman"/>
                <w:color w:val="000000"/>
                <w:kern w:val="0"/>
                <w:sz w:val="22"/>
                <w:szCs w:val="22"/>
              </w:rPr>
              <w:t>00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304781.902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45344.436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37465.507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-2159258.857</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288263.851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35344.936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338646.558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50382.707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41628.363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-2429628.701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317090.236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38878.155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372511.214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55420.978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45791.176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-2639094.19</w:t>
            </w:r>
            <w:r>
              <w:rPr>
                <w:rFonts w:hint="eastAsia" w:ascii="Times New Roman" w:hAnsi="Times New Roman" w:eastAsia="宋体" w:cs="Times New Roman"/>
                <w:color w:val="000000"/>
                <w:kern w:val="0"/>
                <w:sz w:val="22"/>
                <w:szCs w:val="22"/>
              </w:rPr>
              <w:t>0</w:t>
            </w:r>
          </w:p>
        </w:tc>
      </w:tr>
      <w:tr>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271166.211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38886.574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284594.104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13427.893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42111.626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-62405.446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301295.790</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43207.305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316215.671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14919.881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46790.696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-69339.384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331425.369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47528.035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347837.238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16411.870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51469.765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-76273.323</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251683.913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33434.750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262193.222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10509.309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34962.919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-369595.148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279648.792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37149.722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291325.802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11677.010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38847.688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-410661.276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307613.672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40864.695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320458.383</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12844.711</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42732.457</w:t>
            </w:r>
          </w:p>
        </w:tc>
        <w:tc>
          <w:tcPr>
            <w:tcW w:w="1738"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-451727.403</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6.</w:t>
      </w:r>
      <w:r>
        <w:rPr>
          <w:rFonts w:ascii="Times New Roman" w:hAnsi="Times New Roman" w:cs="Times New Roman"/>
        </w:rPr>
        <w:t>The Two-way Sensitivity Analysis of Conbercept and Ranibizumab from the Perspective of the Whole Society in 2024.</w:t>
      </w:r>
    </w:p>
    <w:tbl>
      <w:tblPr>
        <w:tblStyle w:val="16"/>
        <w:tblW w:w="4997" w:type="pct"/>
        <w:jc w:val="center"/>
        <w:tblLayout w:type="autofit"/>
        <w:tblCellMar>
          <w:top w:w="0" w:type="dxa"/>
          <w:left w:w="108" w:type="dxa"/>
          <w:bottom w:w="0" w:type="dxa"/>
          <w:right w:w="108" w:type="dxa"/>
        </w:tblCellMar>
      </w:tblPr>
      <w:tblGrid>
        <w:gridCol w:w="1733"/>
        <w:gridCol w:w="1733"/>
        <w:gridCol w:w="1733"/>
        <w:gridCol w:w="1733"/>
        <w:gridCol w:w="1733"/>
        <w:gridCol w:w="1734"/>
        <w:gridCol w:w="1734"/>
        <w:gridCol w:w="1734"/>
        <w:gridCol w:w="1738"/>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224322.539</w:t>
            </w:r>
          </w:p>
        </w:tc>
        <w:tc>
          <w:tcPr>
            <w:tcW w:w="173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28671.081</w:t>
            </w:r>
          </w:p>
        </w:tc>
        <w:tc>
          <w:tcPr>
            <w:tcW w:w="1738"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251404.609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27082.07</w:t>
            </w:r>
            <w:r>
              <w:rPr>
                <w:rFonts w:hint="eastAsia" w:ascii="Times New Roman" w:hAnsi="Times New Roman" w:eastAsia="宋体" w:cs="Times New Roman"/>
                <w:color w:val="000000"/>
                <w:kern w:val="0"/>
                <w:sz w:val="22"/>
                <w:szCs w:val="22"/>
                <w:lang w:val="en-US" w:eastAsia="zh-CN"/>
              </w:rPr>
              <w:t>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29611.85</w:t>
            </w:r>
            <w:r>
              <w:rPr>
                <w:rFonts w:hint="eastAsia" w:ascii="Times New Roman" w:hAnsi="Times New Roman" w:eastAsia="宋体" w:cs="Times New Roman"/>
                <w:color w:val="000000"/>
                <w:kern w:val="0"/>
                <w:sz w:val="22"/>
                <w:szCs w:val="22"/>
                <w:lang w:val="en-US" w:eastAsia="zh-CN"/>
              </w:rPr>
              <w:t>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40663.769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249247.265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31855.241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279338.454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30091.189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32903.748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45236.924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274171.992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35042.433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307272.299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33100.307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36192.261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49700.161</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233772.658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28010.144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224325.975</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-9446.683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27036.998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192789.449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259747.398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31122.862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249251.083</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-10496.315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30041.344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214491.169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285722.138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34234.62</w:t>
            </w:r>
            <w:r>
              <w:rPr>
                <w:rFonts w:hint="eastAsia" w:ascii="Times New Roman" w:hAnsi="Times New Roman" w:eastAsia="宋体" w:cs="Times New Roman"/>
                <w:color w:val="000000"/>
                <w:kern w:val="0"/>
                <w:sz w:val="22"/>
                <w:szCs w:val="22"/>
              </w:rPr>
              <w:t>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274176.191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-11545.947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33045.22</w:t>
            </w:r>
            <w:r>
              <w:rPr>
                <w:rFonts w:hint="eastAsia" w:ascii="Times New Roman" w:hAnsi="Times New Roman" w:eastAsia="宋体" w:cs="Times New Roman"/>
                <w:color w:val="000000"/>
                <w:kern w:val="0"/>
                <w:sz w:val="22"/>
                <w:szCs w:val="22"/>
              </w:rPr>
              <w:t>0</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235631.571</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287793.637</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35286.125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311074.804</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23281.167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38239.066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-1108627</w:t>
            </w:r>
            <w:r>
              <w:rPr>
                <w:rFonts w:hint="eastAsia" w:ascii="Times New Roman" w:hAnsi="Times New Roman" w:eastAsia="宋体" w:cs="Times New Roman"/>
                <w:color w:val="000000"/>
                <w:kern w:val="0"/>
                <w:sz w:val="22"/>
                <w:szCs w:val="22"/>
              </w:rPr>
              <w:t>.000</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319770.708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39208.091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345638.671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25867.963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42487.873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-1247442.826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351747.779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43127.486</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380202.538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28454.759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46736.637</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-1354988.524</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276488.936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39649.879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276611.102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122.166</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40930.375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-567.761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307209.929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44055.421</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307345.669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135.740</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45478.194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-630.846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337930.922</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48460.963</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338080.236</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149.314</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50026.014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-693.931</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252155.079</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33497.342</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267197.568</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15042.489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35630.238</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-529019.661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280172.310</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37219.269</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296886.187</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16713.877</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39589.154</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-587799.624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308189.541</w:t>
            </w:r>
          </w:p>
        </w:tc>
        <w:tc>
          <w:tcPr>
            <w:tcW w:w="173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73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40941.195</w:t>
            </w:r>
          </w:p>
        </w:tc>
        <w:tc>
          <w:tcPr>
            <w:tcW w:w="173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326574.806</w:t>
            </w:r>
          </w:p>
        </w:tc>
        <w:tc>
          <w:tcPr>
            <w:tcW w:w="173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18385.265</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73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43548.069</w:t>
            </w:r>
          </w:p>
        </w:tc>
        <w:tc>
          <w:tcPr>
            <w:tcW w:w="1738"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-646579.586</w:t>
            </w:r>
          </w:p>
        </w:tc>
      </w:tr>
    </w:tbl>
    <w:p/>
    <w:p/>
    <w:p>
      <w:pPr>
        <w:jc w:val="center"/>
        <w:rPr>
          <w:rFonts w:hint="eastAsia" w:ascii="Times New Roman" w:hAnsi="Times New Roman" w:cs="Times New Roman" w:eastAsiaTheme="minorEastAsia"/>
          <w:lang w:eastAsia="zh-CN"/>
        </w:rPr>
      </w:pPr>
    </w:p>
    <w:p>
      <w:pPr>
        <w:jc w:val="center"/>
        <w:rPr>
          <w:rFonts w:ascii="Times New Roman" w:hAnsi="Times New Roman" w:cs="Times New Roman"/>
        </w:rPr>
      </w:pP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19" name="图片 19" descr="1_DPI300"/>
            <wp:cNvGraphicFramePr/>
            <a:graphic xmlns:a="http://schemas.openxmlformats.org/drawingml/2006/main">
              <a:graphicData uri="http://schemas.openxmlformats.org/drawingml/2006/picture">
                <pic:pic xmlns:pic="http://schemas.openxmlformats.org/drawingml/2006/picture">
                  <pic:nvPicPr>
                    <pic:cNvPr id="19" name="图片 19" descr="1_DPI300"/>
                    <pic:cNvPicPr/>
                  </pic:nvPicPr>
                  <pic:blipFill>
                    <a:blip r:embed="rId7"/>
                    <a:stretch>
                      <a:fillRect/>
                    </a:stretch>
                  </pic:blipFill>
                  <pic:spPr>
                    <a:xfrm>
                      <a:off x="0" y="0"/>
                      <a:ext cx="7200265" cy="5400040"/>
                    </a:xfrm>
                    <a:prstGeom prst="rect">
                      <a:avLst/>
                    </a:prstGeom>
                  </pic:spPr>
                </pic:pic>
              </a:graphicData>
            </a:graphic>
          </wp:inline>
        </w:drawing>
      </w:r>
    </w:p>
    <w:p>
      <w:pPr>
        <w:jc w:val="center"/>
        <w:rPr>
          <w:rFonts w:ascii="Times New Roman" w:hAnsi="Times New Roman" w:cs="Times New Roman"/>
        </w:rPr>
        <w:sectPr>
          <w:footerReference r:id="rId5" w:type="default"/>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Figure S1.</w:t>
      </w:r>
      <w:r>
        <w:rPr>
          <w:rFonts w:ascii="Times New Roman" w:hAnsi="Times New Roman" w:cs="Times New Roman"/>
        </w:rPr>
        <w:t xml:space="preserve"> The Cost-Effectiveness Acceptability Curve of conbercept and ranibizumab in treatment of AMD from the Perspective of the Whole Society.</w:t>
      </w: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26" name="图片 26" descr="8530f8700a5faa2be6d44650cfb95ba"/>
            <wp:cNvGraphicFramePr/>
            <a:graphic xmlns:a="http://schemas.openxmlformats.org/drawingml/2006/main">
              <a:graphicData uri="http://schemas.openxmlformats.org/drawingml/2006/picture">
                <pic:pic xmlns:pic="http://schemas.openxmlformats.org/drawingml/2006/picture">
                  <pic:nvPicPr>
                    <pic:cNvPr id="26" name="图片 26" descr="8530f8700a5faa2be6d44650cfb95ba"/>
                    <pic:cNvPicPr/>
                  </pic:nvPicPr>
                  <pic:blipFill>
                    <a:blip r:embed="rId8"/>
                    <a:stretch>
                      <a:fillRect/>
                    </a:stretch>
                  </pic:blipFill>
                  <pic:spPr>
                    <a:xfrm>
                      <a:off x="0" y="0"/>
                      <a:ext cx="7200265" cy="5400040"/>
                    </a:xfrm>
                    <a:prstGeom prst="rect">
                      <a:avLst/>
                    </a:prstGeom>
                  </pic:spPr>
                </pic:pic>
              </a:graphicData>
            </a:graphic>
          </wp:inline>
        </w:drawing>
      </w:r>
      <w:bookmarkStart w:id="1" w:name="_GoBack"/>
      <w:bookmarkEnd w:id="1"/>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Figure S2.</w:t>
      </w:r>
      <w:r>
        <w:rPr>
          <w:rFonts w:ascii="Times New Roman" w:hAnsi="Times New Roman" w:cs="Times New Roman"/>
        </w:rPr>
        <w:t xml:space="preserve"> The Cost-Effectiveness Acceptability Curve of conbercept and ranibizumab in treatment of BRVO from the Perspective of the Whole Society.</w:t>
      </w: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21" name="图片 21" descr="4_DPI300"/>
            <wp:cNvGraphicFramePr/>
            <a:graphic xmlns:a="http://schemas.openxmlformats.org/drawingml/2006/main">
              <a:graphicData uri="http://schemas.openxmlformats.org/drawingml/2006/picture">
                <pic:pic xmlns:pic="http://schemas.openxmlformats.org/drawingml/2006/picture">
                  <pic:nvPicPr>
                    <pic:cNvPr id="21" name="图片 21" descr="4_DPI300"/>
                    <pic:cNvPicPr/>
                  </pic:nvPicPr>
                  <pic:blipFill>
                    <a:blip r:embed="rId9"/>
                    <a:stretch>
                      <a:fillRect/>
                    </a:stretch>
                  </pic:blipFill>
                  <pic:spPr>
                    <a:xfrm>
                      <a:off x="0" y="0"/>
                      <a:ext cx="7200265" cy="540004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Figure S3.</w:t>
      </w:r>
      <w:r>
        <w:rPr>
          <w:rFonts w:ascii="Times New Roman" w:hAnsi="Times New Roman" w:cs="Times New Roman"/>
        </w:rPr>
        <w:t xml:space="preserve"> The Cost-Effectiveness Acceptability Curve of conbercept and ranibizumab in treatment of CRVO from the Perspective of the Whole Society.</w:t>
      </w:r>
    </w:p>
    <w:p>
      <w:pPr>
        <w:jc w:val="center"/>
        <w:rPr>
          <w:rFonts w:ascii="Times New Roman" w:hAnsi="Times New Roman" w:cs="Times New Roman"/>
        </w:rPr>
      </w:pPr>
      <w:r>
        <w:rPr>
          <w:rFonts w:ascii="Times New Roman" w:hAnsi="Times New Roman" w:cs="Times New Roman"/>
        </w:rPr>
        <w:drawing>
          <wp:inline distT="0" distB="0" distL="114935" distR="114935">
            <wp:extent cx="7199630" cy="5400040"/>
            <wp:effectExtent l="0" t="0" r="1270" b="635"/>
            <wp:docPr id="23" name="图片 23" descr="D:/毕业论文/数据库/黄斑水肿/社会.png社会"/>
            <wp:cNvGraphicFramePr/>
            <a:graphic xmlns:a="http://schemas.openxmlformats.org/drawingml/2006/main">
              <a:graphicData uri="http://schemas.openxmlformats.org/drawingml/2006/picture">
                <pic:pic xmlns:pic="http://schemas.openxmlformats.org/drawingml/2006/picture">
                  <pic:nvPicPr>
                    <pic:cNvPr id="23" name="图片 23" descr="D:/毕业论文/数据库/黄斑水肿/社会.png社会"/>
                    <pic:cNvPicPr/>
                  </pic:nvPicPr>
                  <pic:blipFill>
                    <a:blip r:embed="rId10"/>
                    <a:srcRect l="6" r="6"/>
                    <a:stretch>
                      <a:fillRect/>
                    </a:stretch>
                  </pic:blipFill>
                  <pic:spPr>
                    <a:xfrm>
                      <a:off x="0" y="0"/>
                      <a:ext cx="7199630" cy="5400040"/>
                    </a:xfrm>
                    <a:prstGeom prst="rect">
                      <a:avLst/>
                    </a:prstGeom>
                    <a:scene3d>
                      <a:camera prst="orthographicFront"/>
                      <a:lightRig rig="threePt" dir="t">
                        <a:rot lat="0" lon="0" rev="600000"/>
                      </a:lightRig>
                    </a:scene3d>
                  </pic:spPr>
                </pic:pic>
              </a:graphicData>
            </a:graphic>
          </wp:inline>
        </w:drawing>
      </w: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Figure S</w:t>
      </w:r>
      <w:r>
        <w:rPr>
          <w:rFonts w:hint="eastAsia" w:ascii="Times New Roman" w:hAnsi="Times New Roman" w:cs="Times New Roman"/>
          <w:b/>
          <w:bCs/>
        </w:rPr>
        <w:t>4</w:t>
      </w:r>
      <w:r>
        <w:rPr>
          <w:rFonts w:ascii="Times New Roman" w:hAnsi="Times New Roman" w:cs="Times New Roman"/>
          <w:b/>
          <w:bCs/>
        </w:rPr>
        <w:t>.</w:t>
      </w:r>
      <w:r>
        <w:rPr>
          <w:rFonts w:ascii="Times New Roman" w:hAnsi="Times New Roman" w:cs="Times New Roman"/>
        </w:rPr>
        <w:t xml:space="preserve"> The Cost-Effectiveness Acceptability Curve of conbercept and ranibizumab in treatment of </w:t>
      </w:r>
      <w:r>
        <w:rPr>
          <w:rFonts w:hint="eastAsia" w:ascii="Times New Roman" w:hAnsi="Times New Roman" w:cs="Times New Roman"/>
        </w:rPr>
        <w:t>DME</w:t>
      </w:r>
      <w:r>
        <w:rPr>
          <w:rFonts w:ascii="Times New Roman" w:hAnsi="Times New Roman" w:cs="Times New Roman"/>
        </w:rPr>
        <w:t xml:space="preserve"> from the Perspective of the Whole Societ</w:t>
      </w:r>
      <w:r>
        <w:rPr>
          <w:rFonts w:hint="eastAsia" w:ascii="Times New Roman" w:hAnsi="Times New Roman" w:cs="Times New Roman"/>
        </w:rPr>
        <w:t>y.</w:t>
      </w:r>
    </w:p>
    <w:p>
      <w:pPr>
        <w:jc w:val="center"/>
        <w:rPr>
          <w:rFonts w:ascii="Times New Roman" w:hAnsi="Times New Roman" w:cs="Times New Roman"/>
        </w:rPr>
      </w:pPr>
      <w:r>
        <w:rPr>
          <w:rFonts w:ascii="Times New Roman" w:hAnsi="Times New Roman" w:cs="Times New Roman"/>
        </w:rPr>
        <w:drawing>
          <wp:inline distT="0" distB="0" distL="114935" distR="114935">
            <wp:extent cx="7199630" cy="5400040"/>
            <wp:effectExtent l="0" t="0" r="1270" b="635"/>
            <wp:docPr id="25" name="图片 25" descr="D:/毕业论文/数据库/近视新生血管/社会.png社会"/>
            <wp:cNvGraphicFramePr/>
            <a:graphic xmlns:a="http://schemas.openxmlformats.org/drawingml/2006/main">
              <a:graphicData uri="http://schemas.openxmlformats.org/drawingml/2006/picture">
                <pic:pic xmlns:pic="http://schemas.openxmlformats.org/drawingml/2006/picture">
                  <pic:nvPicPr>
                    <pic:cNvPr id="25" name="图片 25" descr="D:/毕业论文/数据库/近视新生血管/社会.png社会"/>
                    <pic:cNvPicPr/>
                  </pic:nvPicPr>
                  <pic:blipFill>
                    <a:blip r:embed="rId11"/>
                    <a:srcRect l="6" r="6"/>
                    <a:stretch>
                      <a:fillRect/>
                    </a:stretch>
                  </pic:blipFill>
                  <pic:spPr>
                    <a:xfrm>
                      <a:off x="0" y="0"/>
                      <a:ext cx="7199630" cy="5400040"/>
                    </a:xfrm>
                    <a:prstGeom prst="rect">
                      <a:avLst/>
                    </a:prstGeom>
                  </pic:spPr>
                </pic:pic>
              </a:graphicData>
            </a:graphic>
          </wp:inline>
        </w:drawing>
      </w: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Figure S</w:t>
      </w:r>
      <w:r>
        <w:rPr>
          <w:rFonts w:hint="eastAsia" w:ascii="Times New Roman" w:hAnsi="Times New Roman" w:cs="Times New Roman"/>
          <w:b/>
          <w:bCs/>
        </w:rPr>
        <w:t>5</w:t>
      </w:r>
      <w:r>
        <w:rPr>
          <w:rFonts w:ascii="Times New Roman" w:hAnsi="Times New Roman" w:cs="Times New Roman"/>
          <w:b/>
          <w:bCs/>
        </w:rPr>
        <w:t>.</w:t>
      </w:r>
      <w:r>
        <w:rPr>
          <w:rFonts w:ascii="Times New Roman" w:hAnsi="Times New Roman" w:cs="Times New Roman"/>
        </w:rPr>
        <w:t xml:space="preserve"> The Cost-Effectiveness Acceptability Curve of conbercept and ranibizumab in treatment of </w:t>
      </w:r>
      <w:r>
        <w:rPr>
          <w:rFonts w:hint="eastAsia" w:ascii="Times New Roman" w:hAnsi="Times New Roman" w:cs="Times New Roman"/>
        </w:rPr>
        <w:t>PM</w:t>
      </w:r>
      <w:r>
        <w:rPr>
          <w:rFonts w:ascii="Times New Roman" w:hAnsi="Times New Roman" w:cs="Times New Roman"/>
        </w:rPr>
        <w:t xml:space="preserve"> from the Perspective of the Whole Society</w:t>
      </w:r>
    </w:p>
    <w:p>
      <w:pPr>
        <w:jc w:val="center"/>
        <w:rPr>
          <w:rFonts w:ascii="Times New Roman" w:hAnsi="Times New Roman" w:cs="Times New Roman"/>
        </w:rPr>
      </w:pPr>
      <w:r>
        <w:rPr>
          <w:rFonts w:ascii="Times New Roman" w:hAnsi="Times New Roman" w:cs="Times New Roman"/>
          <w:b/>
          <w:bCs/>
        </w:rPr>
        <w:t>Table S</w:t>
      </w:r>
      <w:r>
        <w:rPr>
          <w:rFonts w:hint="eastAsia" w:ascii="Times New Roman" w:hAnsi="Times New Roman" w:cs="Times New Roman"/>
          <w:b/>
          <w:bCs/>
        </w:rPr>
        <w:t>7</w:t>
      </w:r>
      <w:r>
        <w:rPr>
          <w:rFonts w:ascii="Times New Roman" w:hAnsi="Times New Roman" w:cs="Times New Roman"/>
          <w:b/>
          <w:bCs/>
        </w:rPr>
        <w:t>.</w:t>
      </w:r>
      <w:r>
        <w:rPr>
          <w:rFonts w:ascii="Times New Roman" w:hAnsi="Times New Roman" w:cs="Times New Roman"/>
        </w:rPr>
        <w:t xml:space="preserve"> The Two-way Sensitivity Analysis of Conbercept and Ranibizumab from the Perspective of the Health Insurance Payer in 2021.</w:t>
      </w:r>
    </w:p>
    <w:tbl>
      <w:tblPr>
        <w:tblStyle w:val="16"/>
        <w:tblpPr w:leftFromText="180" w:rightFromText="180" w:vertAnchor="text" w:horzAnchor="page" w:tblpX="1450" w:tblpY="309"/>
        <w:tblOverlap w:val="never"/>
        <w:tblW w:w="4996" w:type="pct"/>
        <w:tblInd w:w="0" w:type="dxa"/>
        <w:tblLayout w:type="autofit"/>
        <w:tblCellMar>
          <w:top w:w="0" w:type="dxa"/>
          <w:left w:w="108" w:type="dxa"/>
          <w:bottom w:w="0" w:type="dxa"/>
          <w:right w:w="108" w:type="dxa"/>
        </w:tblCellMar>
      </w:tblPr>
      <w:tblGrid>
        <w:gridCol w:w="1573"/>
        <w:gridCol w:w="1573"/>
        <w:gridCol w:w="1573"/>
        <w:gridCol w:w="1573"/>
        <w:gridCol w:w="1573"/>
        <w:gridCol w:w="1573"/>
        <w:gridCol w:w="1574"/>
        <w:gridCol w:w="1574"/>
        <w:gridCol w:w="1577"/>
      </w:tblGrid>
      <w:tr>
        <w:tblPrEx>
          <w:tblCellMar>
            <w:top w:w="0" w:type="dxa"/>
            <w:left w:w="108" w:type="dxa"/>
            <w:bottom w:w="0" w:type="dxa"/>
            <w:right w:w="108" w:type="dxa"/>
          </w:tblCellMar>
        </w:tblPrEx>
        <w:trPr>
          <w:trHeight w:val="454" w:hRule="atLeast"/>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111057.553</w:t>
            </w:r>
          </w:p>
        </w:tc>
        <w:tc>
          <w:tcPr>
            <w:tcW w:w="157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3"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14194.473</w:t>
            </w:r>
          </w:p>
        </w:tc>
        <w:tc>
          <w:tcPr>
            <w:tcW w:w="1577"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135061.134</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24003.581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15908.261</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36041.413</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123397.281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15770.885</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150067.927</w:t>
            </w:r>
          </w:p>
        </w:tc>
        <w:tc>
          <w:tcPr>
            <w:tcW w:w="1573" w:type="dxa"/>
            <w:tcBorders>
              <w:top w:val="nil"/>
              <w:left w:val="nil"/>
              <w:bottom w:val="nil"/>
              <w:right w:val="nil"/>
            </w:tcBorders>
            <w:shd w:val="clear" w:color="auto" w:fill="FFFFFF"/>
            <w:vAlign w:val="center"/>
          </w:tcPr>
          <w:tbl>
            <w:tblPr>
              <w:tblStyle w:val="16"/>
              <w:tblW w:w="1291"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1290"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26670.646</w:t>
                  </w:r>
                </w:p>
              </w:tc>
            </w:tr>
          </w:tbl>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17676.755</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40094.727</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135737.009</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17348.8</w:t>
            </w:r>
            <w:r>
              <w:rPr>
                <w:rFonts w:hint="eastAsia" w:ascii="Times New Roman" w:hAnsi="Times New Roman" w:eastAsia="宋体" w:cs="Times New Roman"/>
                <w:color w:val="000000"/>
                <w:kern w:val="0"/>
                <w:sz w:val="22"/>
                <w:szCs w:val="22"/>
                <w:lang w:val="en-US" w:eastAsia="zh-CN"/>
              </w:rPr>
              <w:t>00</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165074.72</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29337.711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19443.43</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44050.617</w:t>
            </w:r>
          </w:p>
        </w:tc>
      </w:tr>
      <w:tr>
        <w:tblPrEx>
          <w:tblCellMar>
            <w:top w:w="0" w:type="dxa"/>
            <w:left w:w="108" w:type="dxa"/>
            <w:bottom w:w="0" w:type="dxa"/>
            <w:right w:w="108" w:type="dxa"/>
          </w:tblCellMar>
        </w:tblPrEx>
        <w:trPr>
          <w:trHeight w:val="454" w:hRule="atLeast"/>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64538.735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7732.894</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p>
        </w:tc>
      </w:tr>
      <w:tr>
        <w:tblPrEx>
          <w:tblCellMar>
            <w:top w:w="0" w:type="dxa"/>
            <w:left w:w="108" w:type="dxa"/>
            <w:bottom w:w="0" w:type="dxa"/>
            <w:right w:w="108" w:type="dxa"/>
          </w:tblCellMar>
        </w:tblPrEx>
        <w:trPr>
          <w:trHeight w:val="454" w:hRule="atLeast"/>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179280.257</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114741.522</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21607.841</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-2341663.714</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71709.705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8592.237</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199200.285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127490.581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-0.0</w:t>
            </w:r>
            <w:r>
              <w:rPr>
                <w:rFonts w:hint="eastAsia" w:ascii="Times New Roman" w:hAnsi="Times New Roman" w:eastAsia="宋体" w:cs="Times New Roman"/>
                <w:color w:val="000000"/>
                <w:kern w:val="0"/>
                <w:sz w:val="22"/>
                <w:szCs w:val="22"/>
                <w:lang w:val="en-US" w:eastAsia="zh-CN"/>
              </w:rPr>
              <w:t>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24008.900</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-2605257.565</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78880.676</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9451.315</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219120.314</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140239.638</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26409.583</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-2862033.429</w:t>
            </w:r>
          </w:p>
        </w:tc>
      </w:tr>
      <w:tr>
        <w:tblPrEx>
          <w:tblCellMar>
            <w:top w:w="0" w:type="dxa"/>
            <w:left w:w="108" w:type="dxa"/>
            <w:bottom w:w="0" w:type="dxa"/>
            <w:right w:w="108" w:type="dxa"/>
          </w:tblCellMar>
        </w:tblPrEx>
        <w:trPr>
          <w:trHeight w:val="454" w:hRule="atLeast"/>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67671.671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8297.164</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159827.528</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92155.857</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19646.9</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-4388374.143</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75190.746</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9219.374</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177586.142</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102395.396</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21829.900</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-4937860.836</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82709.821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10140.979</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195344.756</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112634.935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24012.877</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-5363568.333</w:t>
            </w:r>
          </w:p>
        </w:tc>
      </w:tr>
      <w:tr>
        <w:tblPrEx>
          <w:tblCellMar>
            <w:top w:w="0" w:type="dxa"/>
            <w:left w:w="108" w:type="dxa"/>
            <w:bottom w:w="0" w:type="dxa"/>
            <w:right w:w="108" w:type="dxa"/>
          </w:tblCellMar>
        </w:tblPrEx>
        <w:trPr>
          <w:trHeight w:val="454" w:hRule="atLeast"/>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177002.177</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25382.987</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161952.570</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-15049.607</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23964.256</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69942.278</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196669.085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28203.318</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179947.300</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-16721.786</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26626.952</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77713.642</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216335.994</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31023.650</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197942.030</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-18393.964</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29289.647</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85485.007</w:t>
            </w:r>
          </w:p>
        </w:tc>
      </w:tr>
      <w:tr>
        <w:tblPrEx>
          <w:tblCellMar>
            <w:top w:w="0" w:type="dxa"/>
            <w:left w:w="108" w:type="dxa"/>
            <w:bottom w:w="0" w:type="dxa"/>
            <w:right w:w="108" w:type="dxa"/>
          </w:tblCellMar>
        </w:tblPrEx>
        <w:trPr>
          <w:trHeight w:val="454" w:hRule="atLeast"/>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141254.955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18764.903</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126473.751</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-14781.204</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16865.011</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519830.687</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156949.953</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20849.892</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140526.395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-16423.558</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18738.902</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577589.580</w:t>
            </w:r>
          </w:p>
        </w:tc>
      </w:tr>
      <w:tr>
        <w:tblPrEx>
          <w:tblCellMar>
            <w:top w:w="0" w:type="dxa"/>
            <w:left w:w="108" w:type="dxa"/>
            <w:bottom w:w="0" w:type="dxa"/>
            <w:right w:w="108" w:type="dxa"/>
          </w:tblCellMar>
        </w:tblPrEx>
        <w:trPr>
          <w:trHeight w:val="454" w:hRule="atLeast"/>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172644.945</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22934.881</w:t>
            </w:r>
          </w:p>
        </w:tc>
        <w:tc>
          <w:tcPr>
            <w:tcW w:w="157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154579.029</w:t>
            </w:r>
          </w:p>
        </w:tc>
        <w:tc>
          <w:tcPr>
            <w:tcW w:w="157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-18065.916</w:t>
            </w:r>
          </w:p>
        </w:tc>
        <w:tc>
          <w:tcPr>
            <w:tcW w:w="157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20612.791</w:t>
            </w:r>
          </w:p>
        </w:tc>
        <w:tc>
          <w:tcPr>
            <w:tcW w:w="157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635348.618</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8.</w:t>
      </w:r>
      <w:r>
        <w:rPr>
          <w:rFonts w:ascii="Times New Roman" w:hAnsi="Times New Roman" w:cs="Times New Roman"/>
        </w:rPr>
        <w:t>TheTwo-way Sensitivity Analysis of Conbercept and Ranibizumab from the Perspective of the Health Insurance Payer in 2022.</w:t>
      </w:r>
    </w:p>
    <w:tbl>
      <w:tblPr>
        <w:tblStyle w:val="16"/>
        <w:tblW w:w="4997" w:type="pct"/>
        <w:jc w:val="center"/>
        <w:tblLayout w:type="autofit"/>
        <w:tblCellMar>
          <w:top w:w="0" w:type="dxa"/>
          <w:left w:w="108" w:type="dxa"/>
          <w:bottom w:w="0" w:type="dxa"/>
          <w:right w:w="108" w:type="dxa"/>
        </w:tblCellMar>
      </w:tblPr>
      <w:tblGrid>
        <w:gridCol w:w="1573"/>
        <w:gridCol w:w="1573"/>
        <w:gridCol w:w="1573"/>
        <w:gridCol w:w="1574"/>
        <w:gridCol w:w="1574"/>
        <w:gridCol w:w="1574"/>
        <w:gridCol w:w="1574"/>
        <w:gridCol w:w="1574"/>
        <w:gridCol w:w="1576"/>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159734.58</w:t>
            </w:r>
            <w:r>
              <w:rPr>
                <w:rFonts w:hint="eastAsia" w:ascii="Times New Roman" w:hAnsi="Times New Roman" w:eastAsia="宋体" w:cs="Times New Roman"/>
                <w:color w:val="000000"/>
                <w:kern w:val="0"/>
                <w:sz w:val="22"/>
                <w:szCs w:val="22"/>
                <w:lang w:val="en-US" w:eastAsia="zh-CN"/>
              </w:rPr>
              <w:t>0</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20415.974</w:t>
            </w:r>
          </w:p>
        </w:tc>
        <w:tc>
          <w:tcPr>
            <w:tcW w:w="1576"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162563.243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2828.663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19147.614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4247.242</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177482.867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22683.336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180625.826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3142.960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21276.221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4724.899</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195231.154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24952.857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198688.409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3457.255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23402.639</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5191.074</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135081.516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16185.18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171626.899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36545.383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20685.416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-745824.143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150090.573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17983.812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190696.554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40605.981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22983.975</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-829779.261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165099.63</w:t>
            </w:r>
            <w:r>
              <w:rPr>
                <w:rFonts w:hint="eastAsia" w:ascii="Times New Roman" w:hAnsi="Times New Roman" w:eastAsia="宋体" w:cs="Times New Roman"/>
                <w:color w:val="000000"/>
                <w:kern w:val="0"/>
                <w:sz w:val="22"/>
                <w:szCs w:val="22"/>
              </w:rPr>
              <w:t>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19781.887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209766.209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44666.579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25282.175</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-911562.837</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84592.529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10371.816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243172.948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158580.419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29892.188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-7551448.524</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93991.699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11524.617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270192.165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176200.467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33213.559</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-8496997.088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103390.869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12676.664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297211.382</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193820.513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36534.896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-9229548.238</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156595.658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22456.591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172768.208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16172.550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25564.655</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-75161.098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173995.175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24951.768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191964.675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17969.500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28405.173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-83512.331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191394.693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27446.944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211161.143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19766.450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31245.690</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-91863.564</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137091.600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18211.825</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146974.140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9882.540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19598.695</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-347552.713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152323.969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20235.357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163304.587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10980.617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21776.326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-386170.296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167556.400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22258.897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179635.060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12078.660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23953.960</w:t>
            </w:r>
          </w:p>
        </w:tc>
        <w:tc>
          <w:tcPr>
            <w:tcW w:w="1576"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-424786.650</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9.</w:t>
      </w:r>
      <w:r>
        <w:rPr>
          <w:rFonts w:ascii="Times New Roman" w:hAnsi="Times New Roman" w:cs="Times New Roman"/>
        </w:rPr>
        <w:t>The Two-way Sensitivity Analysis of Conbercept and Ranibizumab from the Perspective of the Health Insurance Payer in 2023.</w:t>
      </w:r>
    </w:p>
    <w:tbl>
      <w:tblPr>
        <w:tblStyle w:val="16"/>
        <w:tblW w:w="4997" w:type="pct"/>
        <w:jc w:val="center"/>
        <w:tblLayout w:type="autofit"/>
        <w:tblCellMar>
          <w:top w:w="0" w:type="dxa"/>
          <w:left w:w="108" w:type="dxa"/>
          <w:bottom w:w="0" w:type="dxa"/>
          <w:right w:w="108" w:type="dxa"/>
        </w:tblCellMar>
      </w:tblPr>
      <w:tblGrid>
        <w:gridCol w:w="1573"/>
        <w:gridCol w:w="1573"/>
        <w:gridCol w:w="1573"/>
        <w:gridCol w:w="1574"/>
        <w:gridCol w:w="1574"/>
        <w:gridCol w:w="1574"/>
        <w:gridCol w:w="1574"/>
        <w:gridCol w:w="1574"/>
        <w:gridCol w:w="1576"/>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161568.409</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20650.359</w:t>
            </w:r>
          </w:p>
        </w:tc>
        <w:tc>
          <w:tcPr>
            <w:tcW w:w="1576"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155951.518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-5616.891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18368.848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-8433.77</w:t>
            </w:r>
            <w:r>
              <w:rPr>
                <w:rFonts w:hint="eastAsia" w:ascii="Times New Roman" w:hAnsi="Times New Roman" w:eastAsia="宋体" w:cs="Times New Roman"/>
                <w:color w:val="000000"/>
                <w:kern w:val="0"/>
                <w:sz w:val="22"/>
                <w:szCs w:val="22"/>
                <w:lang w:val="en-US" w:eastAsia="zh-CN"/>
              </w:rPr>
              <w:t>0</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179520.455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22943.751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173279.464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r>
              <w:rPr>
                <w:rFonts w:hint="default" w:ascii="Times New Roman" w:hAnsi="Times New Roman" w:eastAsia="宋体" w:cs="Times New Roman"/>
                <w:color w:val="000000"/>
                <w:kern w:val="0"/>
                <w:sz w:val="22"/>
                <w:szCs w:val="22"/>
                <w:lang w:val="en-US" w:eastAsia="zh-CN"/>
              </w:rPr>
              <w:t>6240.991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20410.881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-9382.256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197472.5</w:t>
            </w:r>
            <w:r>
              <w:rPr>
                <w:rFonts w:hint="eastAsia" w:ascii="Times New Roman" w:hAnsi="Times New Roman" w:eastAsia="宋体" w:cs="Times New Roman"/>
                <w:color w:val="000000"/>
                <w:kern w:val="0"/>
                <w:sz w:val="22"/>
                <w:szCs w:val="22"/>
                <w:lang w:val="en-US" w:eastAsia="zh-CN"/>
              </w:rPr>
              <w:t>00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7.824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25239.328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190607.41</w:t>
            </w:r>
            <w:r>
              <w:rPr>
                <w:rFonts w:hint="eastAsia" w:ascii="Times New Roman" w:hAnsi="Times New Roman" w:eastAsia="宋体" w:cs="Times New Roman"/>
                <w:color w:val="000000"/>
                <w:kern w:val="0"/>
                <w:sz w:val="22"/>
                <w:szCs w:val="22"/>
                <w:lang w:val="en-US" w:eastAsia="zh-CN"/>
              </w:rPr>
              <w:t>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-6865.09</w:t>
            </w:r>
            <w:r>
              <w:rPr>
                <w:rFonts w:hint="eastAsia" w:ascii="Times New Roman" w:hAnsi="Times New Roman" w:eastAsia="宋体" w:cs="Times New Roman"/>
                <w:color w:val="000000"/>
                <w:kern w:val="0"/>
                <w:sz w:val="22"/>
                <w:szCs w:val="22"/>
                <w:lang w:val="en-US" w:eastAsia="zh-CN"/>
              </w:rPr>
              <w:t>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8.490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0.66</w:t>
            </w:r>
            <w:r>
              <w:rPr>
                <w:rFonts w:hint="eastAsia" w:ascii="Times New Roman" w:hAnsi="Times New Roman" w:eastAsia="宋体" w:cs="Times New Roman"/>
                <w:color w:val="000000"/>
                <w:kern w:val="0"/>
                <w:sz w:val="22"/>
                <w:szCs w:val="22"/>
                <w:lang w:val="en-US" w:eastAsia="zh-CN"/>
              </w:rPr>
              <w:t>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22450.814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lang w:val="en-US" w:eastAsia="zh-CN"/>
              </w:rPr>
              <w:t>-10307.943</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140229.438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16801.994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156547.395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16317.957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18867.952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-333019.531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155810.487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18669.170</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173941.550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18131.063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20964.554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-370506.503</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171391.536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20535.77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191335.705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19944.169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23060.83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-407023.857</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135843.081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16655.601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182334.489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46491.408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22413.582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-2213876.571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150936.757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18506.830</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202593.877</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51657.120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24903.993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-2491085.315</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166030.433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20356.846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222853.265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56822.832</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27394.378</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-2705849.143</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154705.572</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22185.543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167535.804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12830.232</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24790.412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-59627.846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171895.080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24650.604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186150.893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14255.813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27544.902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-66253.162</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189084.588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27115.664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204765.982</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15681.395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30299.393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-72878.478</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131056.290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17410.069</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141016.320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9960.030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18804.232</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-350277.910</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145618.124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19344.524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156684.769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11066.645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20893.587</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-389195.748</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160179.910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21278.973</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172353.170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12173.260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22982.936</w:t>
            </w:r>
          </w:p>
        </w:tc>
        <w:tc>
          <w:tcPr>
            <w:tcW w:w="1576"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-428113.577</w:t>
            </w:r>
          </w:p>
        </w:tc>
      </w:tr>
    </w:tbl>
    <w:p>
      <w:pPr>
        <w:jc w:val="center"/>
        <w:rPr>
          <w:rFonts w:ascii="Times New Roman" w:hAnsi="Times New Roman" w:eastAsia="等线" w:cs="Times New Roman"/>
          <w:b/>
          <w:bCs/>
          <w:szCs w:val="21"/>
        </w:rPr>
      </w:pPr>
    </w:p>
    <w:p>
      <w:pPr>
        <w:jc w:val="center"/>
        <w:rPr>
          <w:rFonts w:ascii="Times New Roman" w:hAnsi="Times New Roman" w:cs="Times New Roman"/>
        </w:rPr>
      </w:pPr>
      <w:r>
        <w:rPr>
          <w:rFonts w:ascii="Times New Roman" w:hAnsi="Times New Roman" w:eastAsia="等线" w:cs="Times New Roman"/>
          <w:b/>
          <w:bCs/>
          <w:szCs w:val="21"/>
        </w:rPr>
        <w:t>Table S</w:t>
      </w:r>
      <w:r>
        <w:rPr>
          <w:rFonts w:hint="eastAsia" w:ascii="Times New Roman" w:hAnsi="Times New Roman" w:eastAsia="等线" w:cs="Times New Roman"/>
          <w:b/>
          <w:bCs/>
          <w:szCs w:val="21"/>
        </w:rPr>
        <w:t>10.</w:t>
      </w:r>
      <w:r>
        <w:rPr>
          <w:rFonts w:ascii="Times New Roman" w:hAnsi="Times New Roman" w:cs="Times New Roman"/>
        </w:rPr>
        <w:t>The Two-way Sensitivity Analysis of Conbercept and Ranibizumab from the Perspective of the Health Insurance Payer in 2024.</w:t>
      </w:r>
    </w:p>
    <w:tbl>
      <w:tblPr>
        <w:tblStyle w:val="16"/>
        <w:tblW w:w="4997" w:type="pct"/>
        <w:jc w:val="center"/>
        <w:tblLayout w:type="autofit"/>
        <w:tblCellMar>
          <w:top w:w="0" w:type="dxa"/>
          <w:left w:w="108" w:type="dxa"/>
          <w:bottom w:w="0" w:type="dxa"/>
          <w:right w:w="108" w:type="dxa"/>
        </w:tblCellMar>
      </w:tblPr>
      <w:tblGrid>
        <w:gridCol w:w="1573"/>
        <w:gridCol w:w="1573"/>
        <w:gridCol w:w="1573"/>
        <w:gridCol w:w="1574"/>
        <w:gridCol w:w="1574"/>
        <w:gridCol w:w="1574"/>
        <w:gridCol w:w="1574"/>
        <w:gridCol w:w="1574"/>
        <w:gridCol w:w="1576"/>
      </w:tblGrid>
      <w:tr>
        <w:tblPrEx>
          <w:tblCellMar>
            <w:top w:w="0" w:type="dxa"/>
            <w:left w:w="108" w:type="dxa"/>
            <w:bottom w:w="0" w:type="dxa"/>
            <w:right w:w="108" w:type="dxa"/>
          </w:tblCellMar>
        </w:tblPrEx>
        <w:trPr>
          <w:trHeight w:val="454" w:hRule="atLeast"/>
          <w:jc w:val="center"/>
        </w:trPr>
        <w:tc>
          <w:tcPr>
            <w:tcW w:w="555" w:type="pct"/>
            <w:tcBorders>
              <w:top w:val="single" w:color="000000" w:sz="12" w:space="0"/>
              <w:left w:val="nil"/>
              <w:bottom w:val="single" w:color="000000" w:sz="4" w:space="0"/>
              <w:right w:val="nil"/>
              <w:tl2br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Price</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Strategy</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Cost (RMB)</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costs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Effectiveness (QALYs)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Incremental effectiveness</w:t>
            </w:r>
          </w:p>
        </w:tc>
        <w:tc>
          <w:tcPr>
            <w:tcW w:w="555"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CER</w:t>
            </w:r>
          </w:p>
        </w:tc>
        <w:tc>
          <w:tcPr>
            <w:tcW w:w="556" w:type="pct"/>
            <w:tcBorders>
              <w:top w:val="single" w:color="000000" w:sz="12" w:space="0"/>
              <w:left w:val="nil"/>
              <w:bottom w:val="single" w:color="000000" w:sz="4"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ICER</w:t>
            </w:r>
          </w:p>
        </w:tc>
      </w:tr>
      <w:tr>
        <w:tblPrEx>
          <w:tblCellMar>
            <w:top w:w="0" w:type="dxa"/>
            <w:left w:w="108" w:type="dxa"/>
            <w:bottom w:w="0" w:type="dxa"/>
            <w:right w:w="108" w:type="dxa"/>
          </w:tblCellMar>
        </w:tblPrEx>
        <w:trPr>
          <w:trHeight w:val="454" w:hRule="atLeast"/>
          <w:jc w:val="center"/>
        </w:trPr>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Age-related macular degeneration</w:t>
            </w:r>
          </w:p>
        </w:tc>
        <w:tc>
          <w:tcPr>
            <w:tcW w:w="555"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single" w:color="000000" w:sz="4" w:space="0"/>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108365.861</w:t>
            </w:r>
          </w:p>
        </w:tc>
        <w:tc>
          <w:tcPr>
            <w:tcW w:w="1574" w:type="dxa"/>
            <w:tcBorders>
              <w:top w:val="single" w:color="000000" w:sz="4" w:space="0"/>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sz w:val="22"/>
                <w:szCs w:val="22"/>
                <w:lang w:val="en-US" w:eastAsia="zh-CN"/>
              </w:rPr>
              <w:t>-</w:t>
            </w:r>
          </w:p>
        </w:tc>
        <w:tc>
          <w:tcPr>
            <w:tcW w:w="1574" w:type="dxa"/>
            <w:tcBorders>
              <w:top w:val="single" w:color="000000" w:sz="4" w:space="0"/>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7.824 </w:t>
            </w:r>
          </w:p>
        </w:tc>
        <w:tc>
          <w:tcPr>
            <w:tcW w:w="1574" w:type="dxa"/>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w:t>
            </w:r>
          </w:p>
        </w:tc>
        <w:tc>
          <w:tcPr>
            <w:tcW w:w="1574" w:type="dxa"/>
            <w:tcBorders>
              <w:top w:val="single" w:color="000000" w:sz="4" w:space="0"/>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13850.442</w:t>
            </w:r>
          </w:p>
        </w:tc>
        <w:tc>
          <w:tcPr>
            <w:tcW w:w="1576" w:type="dxa"/>
            <w:tcBorders>
              <w:top w:val="single" w:color="000000" w:sz="4" w:space="0"/>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140650.478</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32284.617</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8.490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0.66</w:t>
            </w:r>
            <w:r>
              <w:rPr>
                <w:rFonts w:hint="eastAsia" w:ascii="Times New Roman" w:hAnsi="Times New Roman" w:eastAsia="宋体" w:cs="Times New Roman"/>
                <w:sz w:val="22"/>
                <w:szCs w:val="22"/>
                <w:lang w:val="en-US" w:eastAsia="zh-CN"/>
              </w:rPr>
              <w:t>5</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16566.605</w:t>
            </w:r>
          </w:p>
        </w:tc>
        <w:tc>
          <w:tcPr>
            <w:tcW w:w="1576"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48475.401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120406.512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7.824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15388.648 </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156278.309 </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35871.797 </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8.490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0.66</w:t>
            </w:r>
            <w:r>
              <w:rPr>
                <w:rFonts w:hint="eastAsia" w:ascii="Times New Roman" w:hAnsi="Times New Roman" w:eastAsia="宋体" w:cs="Times New Roman"/>
                <w:sz w:val="22"/>
                <w:szCs w:val="22"/>
                <w:lang w:val="en-US" w:eastAsia="zh-CN"/>
              </w:rPr>
              <w:t>5</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18408.286 </w:t>
            </w:r>
          </w:p>
        </w:tc>
        <w:tc>
          <w:tcPr>
            <w:tcW w:w="1576"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53927.073 </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132447.163</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sz w:val="22"/>
                <w:szCs w:val="22"/>
                <w:lang w:val="en-US" w:eastAsia="zh-CN"/>
              </w:rPr>
              <w: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7.824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16928.318</w:t>
            </w:r>
          </w:p>
        </w:tc>
        <w:tc>
          <w:tcPr>
            <w:tcW w:w="1576"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sz w:val="22"/>
                <w:szCs w:val="22"/>
                <w:lang w:val="en-US" w:eastAsia="zh-CN"/>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171906.14</w:t>
            </w:r>
            <w:r>
              <w:rPr>
                <w:rFonts w:hint="eastAsia" w:ascii="Times New Roman" w:hAnsi="Times New Roman" w:eastAsia="宋体" w:cs="Times New Roman"/>
                <w:sz w:val="22"/>
                <w:szCs w:val="22"/>
                <w:lang w:val="en-US" w:eastAsia="zh-CN"/>
              </w:rPr>
              <w:t>0</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39458.977</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 xml:space="preserve">8.490 </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0.66</w:t>
            </w:r>
            <w:r>
              <w:rPr>
                <w:rFonts w:hint="eastAsia" w:ascii="Times New Roman" w:hAnsi="Times New Roman" w:eastAsia="宋体" w:cs="Times New Roman"/>
                <w:sz w:val="22"/>
                <w:szCs w:val="22"/>
                <w:lang w:val="en-US" w:eastAsia="zh-CN"/>
              </w:rPr>
              <w:t>5</w:t>
            </w:r>
          </w:p>
        </w:tc>
        <w:tc>
          <w:tcPr>
            <w:tcW w:w="1574"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20248.073</w:t>
            </w:r>
          </w:p>
        </w:tc>
        <w:tc>
          <w:tcPr>
            <w:tcW w:w="1576" w:type="dxa"/>
            <w:tcBorders>
              <w:top w:val="nil"/>
              <w:left w:val="nil"/>
              <w:bottom w:val="nil"/>
              <w:right w:val="nil"/>
            </w:tcBorders>
            <w:shd w:val="clear" w:color="auto" w:fill="FFFFFF"/>
            <w:vAlign w:val="bottom"/>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sz w:val="22"/>
                <w:szCs w:val="22"/>
                <w:lang w:val="en-US" w:eastAsia="zh-CN"/>
              </w:rPr>
              <w:t>59247.713</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Branch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142017.384</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17016.221</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129634.334</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-12383.05</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15624.242</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252715.306</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157797.093 </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18907.205 </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144038.149 </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r>
              <w:rPr>
                <w:rFonts w:hint="default" w:ascii="Times New Roman" w:hAnsi="Times New Roman" w:eastAsia="宋体" w:cs="Times New Roman"/>
                <w:color w:val="000000"/>
                <w:kern w:val="0"/>
                <w:sz w:val="22"/>
                <w:szCs w:val="22"/>
              </w:rPr>
              <w:t xml:space="preserve">13758.944 </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17360.404 </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281162.668 </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173576.802</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8.346</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20797.604</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158441.964</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-15134.838</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8.297</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-0.049</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19096.296</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308874.245</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Central Retinal Vein Occlusion</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161164.64</w:t>
            </w:r>
            <w:r>
              <w:rPr>
                <w:rFonts w:hint="eastAsia" w:ascii="Times New Roman" w:hAnsi="Times New Roman" w:eastAsia="宋体" w:cs="Times New Roman"/>
                <w:color w:val="000000"/>
                <w:kern w:val="0"/>
                <w:sz w:val="22"/>
                <w:szCs w:val="22"/>
              </w:rPr>
              <w:t>0</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19760.255</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180841.867</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19677.227</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22230.1</w:t>
            </w:r>
            <w:r>
              <w:rPr>
                <w:rFonts w:hint="eastAsia" w:ascii="Times New Roman" w:hAnsi="Times New Roman" w:eastAsia="宋体" w:cs="Times New Roman"/>
                <w:color w:val="000000"/>
                <w:kern w:val="0"/>
                <w:sz w:val="22"/>
                <w:szCs w:val="22"/>
              </w:rPr>
              <w:t>00</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-937010.81</w:t>
            </w:r>
            <w:r>
              <w:rPr>
                <w:rFonts w:hint="eastAsia" w:ascii="Times New Roman" w:hAnsi="Times New Roman" w:eastAsia="宋体" w:cs="Times New Roman"/>
                <w:color w:val="000000"/>
                <w:kern w:val="0"/>
                <w:sz w:val="22"/>
                <w:szCs w:val="22"/>
              </w:rPr>
              <w:t>0</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179071.822 </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21956.559 </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200935.408 </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21863.586 </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24700.124 </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 xml:space="preserve">-1054337.861 </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196979.004</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8.156</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24151.423</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221028.949</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24049.945</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8.135</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-0.021</w:t>
            </w:r>
          </w:p>
        </w:tc>
        <w:tc>
          <w:tcPr>
            <w:tcW w:w="1574"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27170.123</w:t>
            </w:r>
          </w:p>
        </w:tc>
        <w:tc>
          <w:tcPr>
            <w:tcW w:w="157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-1145235.476</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Diabetic macular edema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156695.529</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22470.913</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154515.005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-2180.524</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22863.714</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10133.875</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174106.144</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24967.681</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171683.339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-2422.805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25404.126</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11259.861</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191516.758</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6.973</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27464.449</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kern w:val="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188851.673</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-2665.085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6.758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-0.215</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27944.539</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12385.848</w:t>
            </w:r>
          </w:p>
        </w:tc>
      </w:tr>
      <w:tr>
        <w:tblPrEx>
          <w:tblCellMar>
            <w:top w:w="0" w:type="dxa"/>
            <w:left w:w="108" w:type="dxa"/>
            <w:bottom w:w="0" w:type="dxa"/>
            <w:right w:w="108" w:type="dxa"/>
          </w:tblCellMar>
        </w:tblPrEx>
        <w:trPr>
          <w:trHeight w:val="454" w:hRule="atLeast"/>
          <w:jc w:val="center"/>
        </w:trPr>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Pathological myopia</w:t>
            </w: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down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124587.540</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16550.733</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r>
      <w:tr>
        <w:tblPrEx>
          <w:tblCellMar>
            <w:top w:w="0" w:type="dxa"/>
            <w:left w:w="108" w:type="dxa"/>
            <w:bottom w:w="0" w:type="dxa"/>
            <w:right w:w="108" w:type="dxa"/>
          </w:tblCellMar>
        </w:tblPrEx>
        <w:trPr>
          <w:trHeight w:val="454" w:hRule="atLeast"/>
          <w:jc w:val="center"/>
        </w:trPr>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139251.600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14664.060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18568.910</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-515710.925</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eastAsia" w:ascii="Times New Roman" w:hAnsi="Times New Roman" w:eastAsia="宋体" w:cs="Times New Roman"/>
                <w:color w:val="000000"/>
                <w:kern w:val="0"/>
                <w:sz w:val="22"/>
                <w:szCs w:val="22"/>
              </w:rPr>
              <w:t>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138430.550</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18389.697</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154723.991</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16293.440</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20632.121</w:t>
            </w:r>
          </w:p>
        </w:tc>
        <w:tc>
          <w:tcPr>
            <w:tcW w:w="157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-573013.557</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up 10%</w:t>
            </w:r>
          </w:p>
        </w:tc>
        <w:tc>
          <w:tcPr>
            <w:tcW w:w="555"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conbercept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152273.660</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7.528</w:t>
            </w:r>
          </w:p>
        </w:tc>
        <w:tc>
          <w:tcPr>
            <w:tcW w:w="1574"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c>
          <w:tcPr>
            <w:tcW w:w="1574"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20228.674</w:t>
            </w:r>
          </w:p>
        </w:tc>
        <w:tc>
          <w:tcPr>
            <w:tcW w:w="157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等线" w:cs="Times New Roman"/>
                <w:color w:val="000000"/>
                <w:sz w:val="22"/>
                <w:szCs w:val="22"/>
              </w:rPr>
              <w:t>-</w:t>
            </w:r>
          </w:p>
        </w:tc>
      </w:tr>
      <w:tr>
        <w:tblPrEx>
          <w:tblCellMar>
            <w:top w:w="0" w:type="dxa"/>
            <w:left w:w="108" w:type="dxa"/>
            <w:bottom w:w="0" w:type="dxa"/>
            <w:right w:w="108" w:type="dxa"/>
          </w:tblCellMar>
        </w:tblPrEx>
        <w:trPr>
          <w:trHeight w:val="454" w:hRule="atLeast"/>
          <w:jc w:val="center"/>
        </w:trPr>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vMerge w:val="continue"/>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p>
        </w:tc>
        <w:tc>
          <w:tcPr>
            <w:tcW w:w="555"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ranibizumab</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170196.400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17922.740</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7.499</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-0.028</w:t>
            </w:r>
          </w:p>
        </w:tc>
        <w:tc>
          <w:tcPr>
            <w:tcW w:w="1574"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22695.335</w:t>
            </w:r>
          </w:p>
        </w:tc>
        <w:tc>
          <w:tcPr>
            <w:tcW w:w="1576"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-630313.353</w:t>
            </w:r>
          </w:p>
        </w:tc>
      </w:tr>
    </w:tbl>
    <w:p/>
    <w:p>
      <w:pPr>
        <w:sectPr>
          <w:pgSz w:w="16838" w:h="11906" w:orient="landscape"/>
          <w:pgMar w:top="1800" w:right="1440" w:bottom="1800" w:left="1440" w:header="851" w:footer="992" w:gutter="0"/>
          <w:pgNumType w:fmt="decimal"/>
          <w:cols w:space="425" w:num="1"/>
          <w:docGrid w:type="lines" w:linePitch="312" w:charSpace="0"/>
        </w:sectPr>
      </w:pP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20" name="图片 20" descr="2_DPI300"/>
            <wp:cNvGraphicFramePr/>
            <a:graphic xmlns:a="http://schemas.openxmlformats.org/drawingml/2006/main">
              <a:graphicData uri="http://schemas.openxmlformats.org/drawingml/2006/picture">
                <pic:pic xmlns:pic="http://schemas.openxmlformats.org/drawingml/2006/picture">
                  <pic:nvPicPr>
                    <pic:cNvPr id="20" name="图片 20" descr="2_DPI300"/>
                    <pic:cNvPicPr/>
                  </pic:nvPicPr>
                  <pic:blipFill>
                    <a:blip r:embed="rId12"/>
                    <a:stretch>
                      <a:fillRect/>
                    </a:stretch>
                  </pic:blipFill>
                  <pic:spPr>
                    <a:xfrm>
                      <a:off x="0" y="0"/>
                      <a:ext cx="7200265" cy="540004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 xml:space="preserve">Figure S6. </w:t>
      </w:r>
      <w:r>
        <w:rPr>
          <w:rFonts w:ascii="Times New Roman" w:hAnsi="Times New Roman" w:cs="Times New Roman"/>
        </w:rPr>
        <w:t>The Cost-Effectiveness Acceptability Curve of conbercept and ranibizumab in treatment of AMD from the Perspective of the Health Insurance Payer.</w:t>
      </w: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22" name="图片 22" descr="5_DPI300"/>
            <wp:cNvGraphicFramePr/>
            <a:graphic xmlns:a="http://schemas.openxmlformats.org/drawingml/2006/main">
              <a:graphicData uri="http://schemas.openxmlformats.org/drawingml/2006/picture">
                <pic:pic xmlns:pic="http://schemas.openxmlformats.org/drawingml/2006/picture">
                  <pic:nvPicPr>
                    <pic:cNvPr id="22" name="图片 22" descr="5_DPI300"/>
                    <pic:cNvPicPr/>
                  </pic:nvPicPr>
                  <pic:blipFill>
                    <a:blip r:embed="rId13"/>
                    <a:stretch>
                      <a:fillRect/>
                    </a:stretch>
                  </pic:blipFill>
                  <pic:spPr>
                    <a:xfrm>
                      <a:off x="0" y="0"/>
                      <a:ext cx="7200265" cy="540004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 xml:space="preserve">Figure S7. </w:t>
      </w:r>
      <w:r>
        <w:rPr>
          <w:rFonts w:ascii="Times New Roman" w:hAnsi="Times New Roman" w:cs="Times New Roman"/>
        </w:rPr>
        <w:t>The Cost-Effectiveness Acceptability Curve of conbercept and ranibizumab in treatment of BRVO from the Perspective of the Health Insurance Payer.</w:t>
      </w:r>
    </w:p>
    <w:p>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7200265" cy="5400040"/>
            <wp:effectExtent l="0" t="0" r="635" b="10160"/>
            <wp:docPr id="24" name="图片 24" descr="4d46d7cb0202ea125758819a1bc21c3"/>
            <wp:cNvGraphicFramePr/>
            <a:graphic xmlns:a="http://schemas.openxmlformats.org/drawingml/2006/main">
              <a:graphicData uri="http://schemas.openxmlformats.org/drawingml/2006/picture">
                <pic:pic xmlns:pic="http://schemas.openxmlformats.org/drawingml/2006/picture">
                  <pic:nvPicPr>
                    <pic:cNvPr id="24" name="图片 24" descr="4d46d7cb0202ea125758819a1bc21c3"/>
                    <pic:cNvPicPr/>
                  </pic:nvPicPr>
                  <pic:blipFill>
                    <a:blip r:embed="rId14"/>
                    <a:stretch>
                      <a:fillRect/>
                    </a:stretch>
                  </pic:blipFill>
                  <pic:spPr>
                    <a:xfrm>
                      <a:off x="0" y="0"/>
                      <a:ext cx="7200265" cy="540004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 xml:space="preserve">Figure S8. </w:t>
      </w:r>
      <w:r>
        <w:rPr>
          <w:rFonts w:ascii="Times New Roman" w:hAnsi="Times New Roman" w:cs="Times New Roman"/>
        </w:rPr>
        <w:t>The Cost-Effectiveness Acceptability Curve of conbercept and ranibizumab in treatment of CRVO from the Perspective of the Health Insurance Payer.</w:t>
      </w:r>
    </w:p>
    <w:p>
      <w:pPr>
        <w:jc w:val="center"/>
        <w:rPr>
          <w:rFonts w:ascii="Times New Roman" w:hAnsi="Times New Roman" w:cs="Times New Roman"/>
        </w:rPr>
      </w:pPr>
      <w:r>
        <w:rPr>
          <w:rFonts w:ascii="Times New Roman" w:hAnsi="Times New Roman" w:cs="Times New Roman"/>
        </w:rPr>
        <w:drawing>
          <wp:inline distT="0" distB="0" distL="114935" distR="114935">
            <wp:extent cx="7199630" cy="5400040"/>
            <wp:effectExtent l="0" t="0" r="1270" b="635"/>
            <wp:docPr id="27" name="图片 27" descr="D:/毕业论文/数据库/黄斑水肿/医保.png医保"/>
            <wp:cNvGraphicFramePr/>
            <a:graphic xmlns:a="http://schemas.openxmlformats.org/drawingml/2006/main">
              <a:graphicData uri="http://schemas.openxmlformats.org/drawingml/2006/picture">
                <pic:pic xmlns:pic="http://schemas.openxmlformats.org/drawingml/2006/picture">
                  <pic:nvPicPr>
                    <pic:cNvPr id="27" name="图片 27" descr="D:/毕业论文/数据库/黄斑水肿/医保.png医保"/>
                    <pic:cNvPicPr/>
                  </pic:nvPicPr>
                  <pic:blipFill>
                    <a:blip r:embed="rId15"/>
                    <a:srcRect l="6" r="6"/>
                    <a:stretch>
                      <a:fillRect/>
                    </a:stretch>
                  </pic:blipFill>
                  <pic:spPr>
                    <a:xfrm>
                      <a:off x="0" y="0"/>
                      <a:ext cx="7199630" cy="5400040"/>
                    </a:xfrm>
                    <a:prstGeom prst="rect">
                      <a:avLst/>
                    </a:prstGeom>
                  </pic:spPr>
                </pic:pic>
              </a:graphicData>
            </a:graphic>
          </wp:inline>
        </w:drawing>
      </w: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r>
        <w:rPr>
          <w:rFonts w:ascii="Times New Roman" w:hAnsi="Times New Roman" w:cs="Times New Roman"/>
          <w:b/>
          <w:bCs/>
        </w:rPr>
        <w:t xml:space="preserve">Figure S8. </w:t>
      </w:r>
      <w:r>
        <w:rPr>
          <w:rFonts w:ascii="Times New Roman" w:hAnsi="Times New Roman" w:cs="Times New Roman"/>
        </w:rPr>
        <w:t xml:space="preserve">The Cost-Effectiveness Acceptability Curve of conbercept and ranibizumab in treatment of </w:t>
      </w:r>
      <w:r>
        <w:rPr>
          <w:rFonts w:hint="eastAsia" w:ascii="Times New Roman" w:hAnsi="Times New Roman" w:cs="Times New Roman"/>
        </w:rPr>
        <w:t>DME</w:t>
      </w:r>
      <w:r>
        <w:rPr>
          <w:rFonts w:ascii="Times New Roman" w:hAnsi="Times New Roman" w:cs="Times New Roman"/>
        </w:rPr>
        <w:t xml:space="preserve"> from the Perspective of the Health Insurance Payer.</w:t>
      </w:r>
    </w:p>
    <w:p>
      <w:pPr>
        <w:jc w:val="center"/>
        <w:rPr>
          <w:rFonts w:ascii="Times New Roman" w:hAnsi="Times New Roman" w:cs="Times New Roman"/>
        </w:rPr>
      </w:pPr>
      <w:r>
        <w:rPr>
          <w:rFonts w:ascii="Times New Roman" w:hAnsi="Times New Roman" w:cs="Times New Roman"/>
        </w:rPr>
        <w:drawing>
          <wp:inline distT="0" distB="0" distL="114935" distR="114935">
            <wp:extent cx="7199630" cy="5400040"/>
            <wp:effectExtent l="0" t="0" r="1270" b="635"/>
            <wp:docPr id="28" name="图片 28" descr="D:/毕业论文/数据库/近视新生血管/医保.png医保"/>
            <wp:cNvGraphicFramePr/>
            <a:graphic xmlns:a="http://schemas.openxmlformats.org/drawingml/2006/main">
              <a:graphicData uri="http://schemas.openxmlformats.org/drawingml/2006/picture">
                <pic:pic xmlns:pic="http://schemas.openxmlformats.org/drawingml/2006/picture">
                  <pic:nvPicPr>
                    <pic:cNvPr id="28" name="图片 28" descr="D:/毕业论文/数据库/近视新生血管/医保.png医保"/>
                    <pic:cNvPicPr/>
                  </pic:nvPicPr>
                  <pic:blipFill>
                    <a:blip r:embed="rId16"/>
                    <a:srcRect l="6" r="6"/>
                    <a:stretch>
                      <a:fillRect/>
                    </a:stretch>
                  </pic:blipFill>
                  <pic:spPr>
                    <a:xfrm>
                      <a:off x="0" y="0"/>
                      <a:ext cx="7199630" cy="5400040"/>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bCs/>
        </w:rPr>
        <w:t>Figure S</w:t>
      </w:r>
      <w:r>
        <w:rPr>
          <w:rFonts w:hint="eastAsia" w:ascii="Times New Roman" w:hAnsi="Times New Roman" w:cs="Times New Roman"/>
          <w:b/>
          <w:bCs/>
        </w:rPr>
        <w:t>9</w:t>
      </w:r>
      <w:r>
        <w:rPr>
          <w:rFonts w:ascii="Times New Roman" w:hAnsi="Times New Roman" w:cs="Times New Roman"/>
          <w:b/>
          <w:bCs/>
        </w:rPr>
        <w:t>.</w:t>
      </w:r>
      <w:r>
        <w:rPr>
          <w:rFonts w:ascii="Times New Roman" w:hAnsi="Times New Roman" w:cs="Times New Roman"/>
        </w:rPr>
        <w:t xml:space="preserve"> The Cost-Effectiveness Acceptability Curve of conbercept and ranibizumab in treatment of </w:t>
      </w:r>
      <w:r>
        <w:rPr>
          <w:rFonts w:hint="eastAsia" w:ascii="Times New Roman" w:hAnsi="Times New Roman" w:cs="Times New Roman"/>
        </w:rPr>
        <w:t>PM</w:t>
      </w:r>
      <w:r>
        <w:rPr>
          <w:rFonts w:ascii="Times New Roman" w:hAnsi="Times New Roman" w:cs="Times New Roman"/>
        </w:rPr>
        <w:t xml:space="preserve"> from the Perspective of the Health Insurance Payer.</w:t>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keepNext/>
        <w:jc w:val="center"/>
        <w:rPr>
          <w:rFonts w:ascii="Times New Roman" w:hAnsi="Times New Roman" w:eastAsia="宋体" w:cs="Times New Roman"/>
          <w:kern w:val="0"/>
          <w:szCs w:val="21"/>
        </w:rPr>
      </w:pPr>
      <w:r>
        <w:rPr>
          <w:rFonts w:ascii="Times New Roman" w:hAnsi="Times New Roman" w:eastAsia="等线" w:cs="Times New Roman"/>
          <w:b/>
          <w:bCs/>
          <w:szCs w:val="21"/>
        </w:rPr>
        <w:t>T</w:t>
      </w:r>
      <w:r>
        <w:rPr>
          <w:rFonts w:hint="eastAsia" w:ascii="Times New Roman" w:hAnsi="Times New Roman" w:eastAsia="等线" w:cs="Times New Roman"/>
          <w:b/>
          <w:bCs/>
          <w:szCs w:val="21"/>
        </w:rPr>
        <w:t>able</w:t>
      </w:r>
      <w:r>
        <w:rPr>
          <w:rFonts w:ascii="Times New Roman" w:hAnsi="Times New Roman" w:eastAsia="等线" w:cs="Times New Roman"/>
          <w:b/>
          <w:bCs/>
          <w:szCs w:val="21"/>
        </w:rPr>
        <w:t xml:space="preserve"> S</w:t>
      </w:r>
      <w:r>
        <w:rPr>
          <w:rFonts w:hint="eastAsia" w:ascii="Times New Roman" w:hAnsi="Times New Roman" w:eastAsia="等线" w:cs="Times New Roman"/>
          <w:b/>
          <w:bCs/>
          <w:szCs w:val="21"/>
        </w:rPr>
        <w:t>11</w:t>
      </w:r>
      <w:r>
        <w:rPr>
          <w:rFonts w:ascii="Times New Roman" w:hAnsi="Times New Roman" w:eastAsia="等线" w:cs="Times New Roman"/>
          <w:b/>
          <w:bCs/>
          <w:szCs w:val="21"/>
        </w:rPr>
        <w:t>.</w:t>
      </w:r>
      <w:r>
        <w:rPr>
          <w:rFonts w:ascii="Times New Roman" w:hAnsi="Times New Roman" w:eastAsia="等线" w:cs="Times New Roman"/>
          <w:szCs w:val="21"/>
        </w:rPr>
        <w:t xml:space="preserve"> The one-way </w:t>
      </w:r>
      <w:r>
        <w:rPr>
          <w:rFonts w:ascii="Times New Roman" w:hAnsi="Times New Roman" w:cs="Times New Roman"/>
          <w:szCs w:val="21"/>
        </w:rPr>
        <w:t>sensitivity analysis</w:t>
      </w:r>
      <w:r>
        <w:rPr>
          <w:rFonts w:hint="eastAsia" w:ascii="Times New Roman" w:hAnsi="Times New Roman" w:cs="Times New Roman"/>
          <w:szCs w:val="21"/>
          <w:lang w:val="en-US" w:eastAsia="zh-CN"/>
        </w:rPr>
        <w:t xml:space="preserve"> </w:t>
      </w:r>
      <w:r>
        <w:rPr>
          <w:rFonts w:hint="eastAsia" w:ascii="Times New Roman" w:hAnsi="Times New Roman" w:eastAsia="等线" w:cs="Times New Roman"/>
          <w:szCs w:val="21"/>
        </w:rPr>
        <w:t>with</w:t>
      </w:r>
      <w:r>
        <w:rPr>
          <w:rFonts w:hint="eastAsia" w:ascii="Times New Roman" w:hAnsi="Times New Roman" w:eastAsia="等线" w:cs="Times New Roman"/>
          <w:szCs w:val="21"/>
          <w:lang w:val="en-US" w:eastAsia="zh-CN"/>
        </w:rPr>
        <w:t xml:space="preserve"> </w:t>
      </w:r>
      <w:r>
        <w:rPr>
          <w:rFonts w:hint="eastAsia" w:ascii="Times New Roman" w:hAnsi="Times New Roman" w:eastAsia="等线" w:cs="Times New Roman"/>
          <w:szCs w:val="21"/>
        </w:rPr>
        <w:t>different</w:t>
      </w:r>
      <w:r>
        <w:rPr>
          <w:rFonts w:hint="eastAsia" w:ascii="Times New Roman" w:hAnsi="Times New Roman" w:eastAsia="等线" w:cs="Times New Roman"/>
          <w:szCs w:val="21"/>
          <w:lang w:val="en-US" w:eastAsia="zh-CN"/>
        </w:rPr>
        <w:t xml:space="preserve"> </w:t>
      </w:r>
      <w:r>
        <w:rPr>
          <w:rFonts w:hint="eastAsia" w:ascii="Times New Roman" w:hAnsi="Times New Roman" w:eastAsia="宋体" w:cs="Times New Roman"/>
          <w:kern w:val="0"/>
          <w:szCs w:val="21"/>
        </w:rPr>
        <w:t xml:space="preserve">numbers </w:t>
      </w:r>
      <w:r>
        <w:rPr>
          <w:rFonts w:ascii="Times New Roman" w:hAnsi="Times New Roman" w:eastAsia="宋体" w:cs="Times New Roman"/>
          <w:kern w:val="0"/>
          <w:szCs w:val="21"/>
        </w:rPr>
        <w:t xml:space="preserve">of </w:t>
      </w:r>
      <w:r>
        <w:rPr>
          <w:rFonts w:hint="eastAsia" w:ascii="Times New Roman" w:hAnsi="Times New Roman" w:eastAsia="宋体" w:cs="Times New Roman"/>
          <w:kern w:val="0"/>
          <w:szCs w:val="21"/>
        </w:rPr>
        <w:t>conbercept injections from the Perspective of the Whole Society in 2021.</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187530.241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23967.448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253484.447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65954.206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29858.361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99150.799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275313.638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35186.674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253484.447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21829.190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29858.361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-32816.431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363097.035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46405.899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253484.447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109612.587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29858.361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-164783.662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450880.432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57625.124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253484.447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197395.984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29858.361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-296750.892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538663.828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68844.350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253484.447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285179.381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29858.361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-428718.122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290374.328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128838.350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34997.782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-2632799.096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206085.081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24693.058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290374.328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84289.247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34997.782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-1722442.541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250634.183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30030.919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290374.328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39740.145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34997.782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-812085.987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295183.285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35368.781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290374.328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4808.957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34997.782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98270.568 </w:t>
            </w:r>
          </w:p>
        </w:tc>
      </w:tr>
      <w:tr>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339732.388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40706.642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290374.328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49358.059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34997.782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1008627.123 </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297591.762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103311.045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36581.674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-4982016.597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249967.095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30649.251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297591.762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47624.667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36581.674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-2296626.494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305653.472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37477.133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297591.762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8061.710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36581.674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388763.610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361339.850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44305.014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297591.762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63748.088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36581.674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3074153.714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417026.228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51132.896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297591.762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119434.466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36581.674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5759543.818 </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241348.872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34610.621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296383.430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55034.558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43856.103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-255770.287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362312.578</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51957.413</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296383.430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-65929.148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43856.103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306402.338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483276.284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69304.206</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90"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296383.430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-186892.854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43856.103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868574.962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604239.990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86650.999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296383.430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-307856.560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43856.103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1430747.587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725203.695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103997.792</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296383.430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-428820.265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43856.103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1992920.212</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220470.512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29288.231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266591.723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46121.211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35549.450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-1622007.284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320335.820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42554.758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266591.723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-53744.097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35549.450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1890091.697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420201.128</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55821.286</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266591.723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-153609.405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35549.450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5402190.678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520066.436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69087.814</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266591.723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-253474.713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35549.450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8914289.659</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619931.743</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82354.341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266591.723</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-353340.020</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35549.450</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12428421.394</w:t>
            </w:r>
          </w:p>
        </w:tc>
      </w:tr>
    </w:tbl>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rPr>
      </w:pPr>
      <w:r>
        <w:rPr>
          <w:rFonts w:ascii="Times New Roman" w:hAnsi="Times New Roman" w:cs="Times New Roman"/>
          <w:b/>
          <w:bCs/>
        </w:rPr>
        <w:t xml:space="preserve">Table S12. </w:t>
      </w:r>
      <w:r>
        <w:rPr>
          <w:rFonts w:ascii="Times New Roman" w:hAnsi="Times New Roman" w:cs="Times New Roman"/>
        </w:rPr>
        <w:t>The one-way sensitivity analysis with different numbers of ranibizumab injections from the Perspective of the Whole Society in 2021.</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225277.102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28791.715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197225.142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28051.959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23231.483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-42171.293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225277.102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28791.715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281825.601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56548.499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33196.714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85010.937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225277.102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28791.715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366426.060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141148.958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43161.945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212193.168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225277.102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28791.715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451026.518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225749.417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53127.176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339375.398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225277.102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28791.715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535626.977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310349.875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63092.406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466557.629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207042.877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45506.898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24954.139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-929929.017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281068.278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119532.299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33876.157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-2442630.864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355093.679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193557.701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42798.174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-3955332.711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429119.081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267583.102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51720.192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-5468034.558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161535.979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19355.197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503144.482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341608.503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60642.209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-6980736.405 </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225258.370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30977.653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27690.041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-1493849.779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299283.771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105003.054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36789.665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-5063611.143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373309.173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179028.456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45889.289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-8633372.507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447334.574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253053.857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54988.913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-12203133.870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194280.717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23821.369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521359.975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327079.258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64088.536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-15772895.234 </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318325.776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45649.489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219820.015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-98505.761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32526.950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457800.477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318325.776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45649.489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336145.646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17819.870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49739.751</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-82816.931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318325.776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45649.489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452471.276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134145.500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66952.551</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-623434.339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318325.776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45649.489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568796.907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250471.131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84165.351</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-1164051.747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318325.776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45649.489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685122.537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366796.761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101378.152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-1704669.155</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280833.543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37307.110</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217100.455</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-63733.088</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28949.893</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2241388.119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2.25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280833.543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37307.110</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269975.741</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-10857.802</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36000.702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381851.062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3.5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280833.543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37307.110</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322851.028</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42017.485</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43051.511</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-1477685.995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4.75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280833.543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37307.110</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375726.315</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94892.772</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50102.320</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-3337223.052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6</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280833.543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37307.110</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olor w:val="000000"/>
                <w:kern w:val="0"/>
                <w:sz w:val="20"/>
                <w:szCs w:val="20"/>
              </w:rPr>
              <w:t>Ranibizumab</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428601.601</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147768.058</w:t>
            </w:r>
          </w:p>
        </w:tc>
        <w:tc>
          <w:tcPr>
            <w:tcW w:w="51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7.499</w:t>
            </w:r>
          </w:p>
        </w:tc>
        <w:tc>
          <w:tcPr>
            <w:tcW w:w="57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olor w:val="000000"/>
                <w:kern w:val="0"/>
                <w:szCs w:val="21"/>
              </w:rPr>
              <w:t>-0.028</w:t>
            </w:r>
          </w:p>
        </w:tc>
        <w:tc>
          <w:tcPr>
            <w:tcW w:w="528"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57153.129</w:t>
            </w:r>
          </w:p>
        </w:tc>
        <w:tc>
          <w:tcPr>
            <w:tcW w:w="53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olor w:val="000000"/>
                <w:kern w:val="0"/>
                <w:sz w:val="22"/>
              </w:rPr>
              <w:t>-5196760.108</w:t>
            </w:r>
          </w:p>
        </w:tc>
      </w:tr>
    </w:tbl>
    <w:p>
      <w:pPr>
        <w:keepNext/>
        <w:rPr>
          <w:rFonts w:ascii="Times New Roman" w:hAnsi="Times New Roman" w:eastAsia="等线" w:cs="Times New Roman"/>
          <w:b/>
          <w:bCs/>
          <w:szCs w:val="21"/>
        </w:rPr>
        <w:sectPr>
          <w:pgSz w:w="16838" w:h="11906" w:orient="landscape"/>
          <w:pgMar w:top="720" w:right="720" w:bottom="720" w:left="720" w:header="851" w:footer="992" w:gutter="0"/>
          <w:pgNumType w:fmt="decimal"/>
          <w:cols w:space="425" w:num="1"/>
          <w:docGrid w:type="lines" w:linePitch="312" w:charSpace="0"/>
        </w:sectPr>
      </w:pPr>
    </w:p>
    <w:p>
      <w:pPr>
        <w:keepNext/>
        <w:jc w:val="center"/>
        <w:rPr>
          <w:rFonts w:hint="eastAsia" w:ascii="Times New Roman" w:hAnsi="Times New Roman" w:eastAsia="宋体" w:cs="Times New Roman"/>
          <w:kern w:val="0"/>
          <w:szCs w:val="21"/>
        </w:rPr>
      </w:pPr>
      <w:r>
        <w:rPr>
          <w:rFonts w:ascii="Times New Roman" w:hAnsi="Times New Roman" w:eastAsia="等线" w:cs="Times New Roman"/>
          <w:b/>
          <w:bCs/>
          <w:szCs w:val="21"/>
        </w:rPr>
        <w:t>T</w:t>
      </w:r>
      <w:r>
        <w:rPr>
          <w:rFonts w:hint="eastAsia" w:ascii="Times New Roman" w:hAnsi="Times New Roman" w:eastAsia="等线" w:cs="Times New Roman"/>
          <w:b/>
          <w:bCs/>
          <w:szCs w:val="21"/>
        </w:rPr>
        <w:t>able</w:t>
      </w:r>
      <w:r>
        <w:rPr>
          <w:rFonts w:ascii="Times New Roman" w:hAnsi="Times New Roman" w:eastAsia="等线" w:cs="Times New Roman"/>
          <w:b/>
          <w:bCs/>
          <w:szCs w:val="21"/>
        </w:rPr>
        <w:t xml:space="preserve"> S</w:t>
      </w:r>
      <w:r>
        <w:rPr>
          <w:rFonts w:hint="eastAsia" w:ascii="Times New Roman" w:hAnsi="Times New Roman" w:eastAsia="等线" w:cs="Times New Roman"/>
          <w:b/>
          <w:bCs/>
          <w:szCs w:val="21"/>
        </w:rPr>
        <w:t>13</w:t>
      </w:r>
      <w:r>
        <w:rPr>
          <w:rFonts w:ascii="Times New Roman" w:hAnsi="Times New Roman" w:eastAsia="等线" w:cs="Times New Roman"/>
          <w:b/>
          <w:bCs/>
          <w:szCs w:val="21"/>
        </w:rPr>
        <w:t>.</w:t>
      </w:r>
      <w:r>
        <w:rPr>
          <w:rFonts w:ascii="Times New Roman" w:hAnsi="Times New Roman" w:eastAsia="等线" w:cs="Times New Roman"/>
          <w:szCs w:val="21"/>
        </w:rPr>
        <w:t xml:space="preserve"> The one-way </w:t>
      </w:r>
      <w:r>
        <w:rPr>
          <w:rFonts w:ascii="Times New Roman" w:hAnsi="Times New Roman" w:cs="Times New Roman"/>
          <w:szCs w:val="21"/>
        </w:rPr>
        <w:t>sensitivity analysis</w:t>
      </w:r>
      <w:r>
        <w:rPr>
          <w:rFonts w:hint="eastAsia" w:ascii="Times New Roman" w:hAnsi="Times New Roman" w:cs="Times New Roman"/>
          <w:szCs w:val="21"/>
          <w:lang w:val="en-US" w:eastAsia="zh-CN"/>
        </w:rPr>
        <w:t xml:space="preserve"> </w:t>
      </w:r>
      <w:r>
        <w:rPr>
          <w:rFonts w:hint="eastAsia" w:ascii="Times New Roman" w:hAnsi="Times New Roman" w:eastAsia="等线" w:cs="Times New Roman"/>
          <w:szCs w:val="21"/>
        </w:rPr>
        <w:t>with</w:t>
      </w:r>
      <w:r>
        <w:rPr>
          <w:rFonts w:hint="eastAsia" w:ascii="Times New Roman" w:hAnsi="Times New Roman" w:eastAsia="等线" w:cs="Times New Roman"/>
          <w:szCs w:val="21"/>
          <w:lang w:val="en-US" w:eastAsia="zh-CN"/>
        </w:rPr>
        <w:t xml:space="preserve"> </w:t>
      </w:r>
      <w:r>
        <w:rPr>
          <w:rFonts w:hint="eastAsia" w:ascii="Times New Roman" w:hAnsi="Times New Roman" w:eastAsia="等线" w:cs="Times New Roman"/>
          <w:szCs w:val="21"/>
        </w:rPr>
        <w:t>different</w:t>
      </w:r>
      <w:r>
        <w:rPr>
          <w:rFonts w:hint="eastAsia" w:ascii="Times New Roman" w:hAnsi="Times New Roman" w:eastAsia="等线" w:cs="Times New Roman"/>
          <w:szCs w:val="21"/>
          <w:lang w:val="en-US" w:eastAsia="zh-CN"/>
        </w:rPr>
        <w:t xml:space="preserve"> </w:t>
      </w:r>
      <w:r>
        <w:rPr>
          <w:rFonts w:hint="eastAsia" w:ascii="Times New Roman" w:hAnsi="Times New Roman" w:eastAsia="宋体" w:cs="Times New Roman"/>
          <w:kern w:val="0"/>
          <w:szCs w:val="21"/>
        </w:rPr>
        <w:t xml:space="preserve">numbers </w:t>
      </w:r>
      <w:r>
        <w:rPr>
          <w:rFonts w:ascii="Times New Roman" w:hAnsi="Times New Roman" w:eastAsia="宋体" w:cs="Times New Roman"/>
          <w:kern w:val="0"/>
          <w:szCs w:val="21"/>
        </w:rPr>
        <w:t xml:space="preserve">of </w:t>
      </w:r>
      <w:r>
        <w:rPr>
          <w:rFonts w:hint="eastAsia" w:ascii="Times New Roman" w:hAnsi="Times New Roman" w:eastAsia="宋体" w:cs="Times New Roman"/>
          <w:kern w:val="0"/>
          <w:szCs w:val="21"/>
        </w:rPr>
        <w:t>conbercept injections from the Perspective of the Whole Society in 2022.</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Number ofconbercept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206373.697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26375.751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290851.809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84478.113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34259.926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126998.305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279233.916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35687.708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290851.809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11617.893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34259.926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17465.503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352094.135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44999.665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290851.809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61242.326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34259.926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-92067.298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424954.355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54311.622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290851.809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134102.545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34259.926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-201600.099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497814.574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63623.579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290851.809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206962.765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34259.926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-311132.900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BRVO</w:t>
            </w: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201399.999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24131.693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287032.788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85632.789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34595.038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-1749897.676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238375.754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28562.118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287032.788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48657.034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34595.038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-994301.736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275351.509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32992.543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287032.788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11681.279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34595.038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-238705.795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312327.264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34595.038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287032.788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25294.476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37422.968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516890.145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349303.019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34595.038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287032.788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62270.231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41853.392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1272486.086</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CRVO</w:t>
            </w: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218632.826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26807.258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402782.713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184149.887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49512.344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-8880345.683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264852.520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32474.400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402782.713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137930.194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49512.344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-6651471.896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311072.213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38141.541</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402782.713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91710.500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49512.344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-4422598.110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357291.907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43808.683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402782.713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45490.807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49512.344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-2193724.324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bottom w:val="nil"/>
              <w:right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403511.600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49512.344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402782.713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728.887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49475.825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35149.462</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233005.809</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33414.184</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315143.393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82137.584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46632.030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-381730.213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333405.685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47812.022</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315143.393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-18262.292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46632.030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84873.066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433805.560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62209.860</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315143.393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-118662.168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46632.030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551476.344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534205.436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76607.698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315143.393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-219062.043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46632.030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1018079.623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634605.312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91005.537</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315143.393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-319461.919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46632.030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1484682.901</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PM</w:t>
            </w: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color w:val="000000"/>
                <w:kern w:val="0"/>
                <w:szCs w:val="21"/>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222307.476</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29532.261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295725.599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73418.123</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39434.392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-2581994.882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color w:val="000000"/>
                <w:kern w:val="0"/>
                <w:szCs w:val="21"/>
              </w:rPr>
              <w:t>3.25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305195.682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40543.479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295725.599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-9470.083</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39434.392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333047.272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color w:val="000000"/>
                <w:kern w:val="0"/>
                <w:szCs w:val="21"/>
              </w:rPr>
              <w:t>5.5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388083.887</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51554.697</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295725.599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-92358.288</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39434.392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3248089.427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color w:val="000000"/>
                <w:kern w:val="0"/>
                <w:szCs w:val="21"/>
              </w:rPr>
              <w:t>7.75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470972.093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62565.915</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295725.599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-175246.494</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7.499</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39434.392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6163131.581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color w:val="000000"/>
                <w:kern w:val="0"/>
                <w:szCs w:val="21"/>
              </w:rPr>
              <w:t>10</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553860.298</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73577.133</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295725.599</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-258134.699</w:t>
            </w:r>
          </w:p>
        </w:tc>
        <w:tc>
          <w:tcPr>
            <w:tcW w:w="51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7.499</w:t>
            </w:r>
          </w:p>
        </w:tc>
        <w:tc>
          <w:tcPr>
            <w:tcW w:w="57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Cs w:val="21"/>
              </w:rPr>
              <w:t>-0.028</w:t>
            </w:r>
          </w:p>
        </w:tc>
        <w:tc>
          <w:tcPr>
            <w:tcW w:w="528"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39434.392</w:t>
            </w:r>
          </w:p>
        </w:tc>
        <w:tc>
          <w:tcPr>
            <w:tcW w:w="53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2"/>
              </w:rPr>
              <w:t>9078173.735</w:t>
            </w:r>
          </w:p>
        </w:tc>
      </w:tr>
    </w:tbl>
    <w:p>
      <w:pPr>
        <w:keepNext/>
        <w:jc w:val="center"/>
        <w:rPr>
          <w:rFonts w:ascii="Times New Roman" w:hAnsi="Times New Roman" w:eastAsia="宋体" w:cs="Times New Roman"/>
          <w:kern w:val="0"/>
          <w:szCs w:val="21"/>
        </w:rPr>
      </w:pPr>
    </w:p>
    <w:p>
      <w:pPr>
        <w:keepNext/>
        <w:jc w:val="center"/>
        <w:rPr>
          <w:rFonts w:ascii="Times New Roman" w:hAnsi="Times New Roman" w:eastAsia="等线" w:cs="Times New Roman"/>
          <w:b/>
          <w:bCs/>
          <w:szCs w:val="21"/>
        </w:rPr>
      </w:pPr>
    </w:p>
    <w:p>
      <w:pPr>
        <w:keepNext/>
        <w:jc w:val="center"/>
        <w:rPr>
          <w:rFonts w:ascii="Times New Roman" w:hAnsi="Times New Roman" w:eastAsia="等线" w:cs="Times New Roman"/>
          <w:b/>
          <w:bCs/>
          <w:szCs w:val="21"/>
        </w:rPr>
      </w:pPr>
    </w:p>
    <w:p>
      <w:pPr>
        <w:keepNext/>
        <w:jc w:val="center"/>
        <w:rPr>
          <w:rFonts w:ascii="Times New Roman" w:hAnsi="Times New Roman" w:eastAsia="宋体" w:cs="Times New Roman"/>
          <w:kern w:val="0"/>
          <w:szCs w:val="21"/>
        </w:rPr>
      </w:pPr>
    </w:p>
    <w:p>
      <w:pPr>
        <w:keepNext/>
        <w:jc w:val="center"/>
        <w:rPr>
          <w:rFonts w:ascii="Times New Roman" w:hAnsi="Times New Roman" w:eastAsia="宋体" w:cs="Times New Roman"/>
          <w:kern w:val="0"/>
          <w:szCs w:val="21"/>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b/>
          <w:bCs/>
        </w:rPr>
      </w:pPr>
      <w:r>
        <w:rPr>
          <w:rFonts w:ascii="Times New Roman" w:hAnsi="Times New Roman" w:cs="Times New Roman"/>
          <w:b/>
          <w:bCs/>
        </w:rPr>
        <w:t>Table S14.</w:t>
      </w:r>
      <w:r>
        <w:rPr>
          <w:rFonts w:ascii="Times New Roman" w:hAnsi="Times New Roman" w:cs="Times New Roman"/>
        </w:rPr>
        <w:t xml:space="preserve"> The one-way sensitivity analysis with different numbers of ranibizumab injections from the Perspective of the Whole Society in 2022</w:t>
      </w:r>
      <w:r>
        <w:rPr>
          <w:rFonts w:hint="eastAsia" w:ascii="Times New Roman" w:hAnsi="Times New Roman" w:cs="Times New Roman"/>
        </w:rPr>
        <w:t>.</w:t>
      </w:r>
    </w:p>
    <w:tbl>
      <w:tblPr>
        <w:tblStyle w:val="16"/>
        <w:tblpPr w:leftFromText="180" w:rightFromText="180" w:horzAnchor="margin" w:tblpXSpec="center" w:tblpY="439"/>
        <w:tblW w:w="4998" w:type="pct"/>
        <w:tblInd w:w="0" w:type="dxa"/>
        <w:tblLayout w:type="autofit"/>
        <w:tblCellMar>
          <w:top w:w="0" w:type="dxa"/>
          <w:left w:w="108" w:type="dxa"/>
          <w:bottom w:w="0" w:type="dxa"/>
          <w:right w:w="108" w:type="dxa"/>
        </w:tblCellMar>
      </w:tblPr>
      <w:tblGrid>
        <w:gridCol w:w="1134"/>
        <w:gridCol w:w="2272"/>
        <w:gridCol w:w="1937"/>
        <w:gridCol w:w="1778"/>
        <w:gridCol w:w="1778"/>
        <w:gridCol w:w="1622"/>
        <w:gridCol w:w="1781"/>
        <w:gridCol w:w="1650"/>
        <w:gridCol w:w="1656"/>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Number of ranibizumab</w:t>
            </w:r>
            <w:r>
              <w:rPr>
                <w:rFonts w:hint="eastAsia" w:ascii="Times New Roman" w:hAnsi="Times New Roman" w:eastAsia="宋体" w:cs="Times New Roman"/>
                <w:color w:val="000000"/>
                <w:kern w:val="0"/>
                <w:sz w:val="20"/>
                <w:szCs w:val="20"/>
                <w:lang w:val="en-US" w:eastAsia="zh-CN"/>
              </w:rPr>
              <w:t xml:space="preserve"> </w:t>
            </w:r>
            <w:r>
              <w:rPr>
                <w:rFonts w:hint="eastAsia" w:ascii="Times New Roman" w:hAnsi="Times New Roman" w:eastAsia="宋体" w:cs="Times New Roman"/>
                <w:color w:val="000000"/>
                <w:kern w:val="0"/>
                <w:sz w:val="20"/>
                <w:szCs w:val="20"/>
              </w:rPr>
              <w:t>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AMD</w:t>
            </w:r>
          </w:p>
        </w:tc>
        <w:tc>
          <w:tcPr>
            <w:tcW w:w="2272"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286884.239 </w:t>
            </w:r>
          </w:p>
        </w:tc>
        <w:tc>
          <w:tcPr>
            <w:tcW w:w="1778"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62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81"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36665.463 </w:t>
            </w:r>
          </w:p>
        </w:tc>
        <w:tc>
          <w:tcPr>
            <w:tcW w:w="1656"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211327.378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75556.861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24892.609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-113586.737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286884.239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36665.463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295927.837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9043.598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34857.840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13595.493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286884.239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36665.463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380528.296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93644.057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44823.071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140777.724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286884.239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36665.463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465128.754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178244.515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54788.302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267959.954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286884.239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36665.463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549729.213 </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262844.974 </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64753.533 </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 xml:space="preserve">395142.185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BRVO</w:t>
            </w: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263519.268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24704.344</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204970.343</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58548.924</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31574.807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1196441.552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263519.268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31574.807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278995.745</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15476.477</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33626.362</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-316260.296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263519.268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31574.807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353021.146</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89501.878</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42548.379</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-1828962.143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263519.268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31574.807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427046.547</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163527.280</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51470.397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-3341663.990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263519.268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31574.807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501071.948</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237552.681</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60392.414</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-4854365.837</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CRVO</w:t>
            </w: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255608.581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31340.971</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300839.161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45230.580</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36980.862</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-2181175.290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255608.581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31340.971</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374864.562</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119255.981</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46080.486</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-5750936.654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255608.581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31340.971</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448889.963</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193281.382</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55180.110</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-9320698.017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255608.581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31340.971</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522915.365</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267306.784</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64279.734</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-12890459.381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eastAsia="宋体" w:cs="Times New Roman"/>
                <w:color w:val="000000"/>
                <w:kern w:val="0"/>
                <w:sz w:val="20"/>
                <w:szCs w:val="20"/>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255608.581</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31340.971</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596940.766</w:t>
            </w:r>
          </w:p>
        </w:tc>
        <w:tc>
          <w:tcPr>
            <w:tcW w:w="1778"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341332.185</w:t>
            </w:r>
          </w:p>
        </w:tc>
        <w:tc>
          <w:tcPr>
            <w:tcW w:w="162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81"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50"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73379.357</w:t>
            </w:r>
          </w:p>
        </w:tc>
        <w:tc>
          <w:tcPr>
            <w:tcW w:w="1656"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-16460220.745</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DME</w:t>
            </w:r>
          </w:p>
        </w:tc>
        <w:tc>
          <w:tcPr>
            <w:tcW w:w="2272"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302007.905</w:t>
            </w:r>
          </w:p>
        </w:tc>
        <w:tc>
          <w:tcPr>
            <w:tcW w:w="1778"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81"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43309.425</w:t>
            </w:r>
          </w:p>
        </w:tc>
        <w:tc>
          <w:tcPr>
            <w:tcW w:w="1656"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228427.923</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-73579.983</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33800.670</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341959.199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302007.905</w:t>
            </w:r>
          </w:p>
        </w:tc>
        <w:tc>
          <w:tcPr>
            <w:tcW w:w="1778"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81"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43309.425</w:t>
            </w:r>
          </w:p>
        </w:tc>
        <w:tc>
          <w:tcPr>
            <w:tcW w:w="1656"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344753.553</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42745.648</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51013.470</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-198658.209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302007.905</w:t>
            </w:r>
          </w:p>
        </w:tc>
        <w:tc>
          <w:tcPr>
            <w:tcW w:w="1778"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81"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43309.425</w:t>
            </w:r>
          </w:p>
        </w:tc>
        <w:tc>
          <w:tcPr>
            <w:tcW w:w="1656"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461079.184</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159071.279</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68226.270</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-739275.617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302007.905</w:t>
            </w:r>
          </w:p>
        </w:tc>
        <w:tc>
          <w:tcPr>
            <w:tcW w:w="1778"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81"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43309.425</w:t>
            </w:r>
          </w:p>
        </w:tc>
        <w:tc>
          <w:tcPr>
            <w:tcW w:w="1656"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577404.814</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275396.909</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85439.071</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-1279893.025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302007.905</w:t>
            </w:r>
          </w:p>
        </w:tc>
        <w:tc>
          <w:tcPr>
            <w:tcW w:w="1778"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6.973</w:t>
            </w:r>
          </w:p>
        </w:tc>
        <w:tc>
          <w:tcPr>
            <w:tcW w:w="1781"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43309.425</w:t>
            </w:r>
          </w:p>
        </w:tc>
        <w:tc>
          <w:tcPr>
            <w:tcW w:w="1656"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693730.445</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391722.540</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6.758</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lang w:val="en-US" w:eastAsia="zh-CN" w:bidi="ar"/>
              </w:rPr>
              <w:t>-0.215</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102651.871</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lang w:val="en-US" w:eastAsia="zh-CN" w:bidi="ar"/>
              </w:rPr>
              <w:t>-1820510.433</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PM</w:t>
            </w:r>
          </w:p>
        </w:tc>
        <w:tc>
          <w:tcPr>
            <w:tcW w:w="2272"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277934.672</w:t>
            </w:r>
          </w:p>
        </w:tc>
        <w:tc>
          <w:tcPr>
            <w:tcW w:w="177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81"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36922.011</w:t>
            </w:r>
          </w:p>
        </w:tc>
        <w:tc>
          <w:tcPr>
            <w:tcW w:w="165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231429.250</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-46505.422</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30860.608</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1635519.358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277934.672</w:t>
            </w:r>
          </w:p>
        </w:tc>
        <w:tc>
          <w:tcPr>
            <w:tcW w:w="177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81"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36922.011</w:t>
            </w:r>
          </w:p>
        </w:tc>
        <w:tc>
          <w:tcPr>
            <w:tcW w:w="165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284304.537</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6369.865</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37911.417</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-224017.699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277934.672</w:t>
            </w:r>
          </w:p>
        </w:tc>
        <w:tc>
          <w:tcPr>
            <w:tcW w:w="177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81"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36922.011</w:t>
            </w:r>
          </w:p>
        </w:tc>
        <w:tc>
          <w:tcPr>
            <w:tcW w:w="165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337179.824</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59245.152</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44962.226</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-2083554.755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277934.672</w:t>
            </w:r>
          </w:p>
        </w:tc>
        <w:tc>
          <w:tcPr>
            <w:tcW w:w="177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81"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36922.011</w:t>
            </w:r>
          </w:p>
        </w:tc>
        <w:tc>
          <w:tcPr>
            <w:tcW w:w="165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right="0"/>
              <w:jc w:val="center"/>
              <w:textAlignment w:val="bottom"/>
              <w:rPr>
                <w:rFonts w:hint="default" w:ascii="Times New Roman" w:hAnsi="Times New Roman" w:eastAsia="宋体" w:cs="Times New Roman"/>
                <w:color w:val="000000"/>
                <w:kern w:val="0"/>
                <w:sz w:val="20"/>
                <w:szCs w:val="20"/>
              </w:rPr>
            </w:pP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390055.110</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112120.438</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81"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52013.035</w:t>
            </w:r>
          </w:p>
        </w:tc>
        <w:tc>
          <w:tcPr>
            <w:tcW w:w="1656"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-3943091.812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2272"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2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Conbercept</w:t>
            </w:r>
          </w:p>
        </w:tc>
        <w:tc>
          <w:tcPr>
            <w:tcW w:w="1778"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277934.672</w:t>
            </w:r>
          </w:p>
        </w:tc>
        <w:tc>
          <w:tcPr>
            <w:tcW w:w="1778"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2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81"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c>
          <w:tcPr>
            <w:tcW w:w="1650"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36922.011</w:t>
            </w:r>
          </w:p>
        </w:tc>
        <w:tc>
          <w:tcPr>
            <w:tcW w:w="1656"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p>
        </w:tc>
        <w:tc>
          <w:tcPr>
            <w:tcW w:w="727" w:type="pct"/>
            <w:vMerge w:val="continue"/>
            <w:tcBorders>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p>
        </w:tc>
        <w:tc>
          <w:tcPr>
            <w:tcW w:w="62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Ranibizumab</w:t>
            </w:r>
          </w:p>
        </w:tc>
        <w:tc>
          <w:tcPr>
            <w:tcW w:w="1778"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442930.397</w:t>
            </w:r>
          </w:p>
        </w:tc>
        <w:tc>
          <w:tcPr>
            <w:tcW w:w="1778"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164995.725</w:t>
            </w:r>
          </w:p>
        </w:tc>
        <w:tc>
          <w:tcPr>
            <w:tcW w:w="162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81"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50"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59063.844</w:t>
            </w:r>
          </w:p>
        </w:tc>
        <w:tc>
          <w:tcPr>
            <w:tcW w:w="1656"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i w:val="0"/>
                <w:iCs w:val="0"/>
                <w:color w:val="000000"/>
                <w:kern w:val="0"/>
                <w:sz w:val="22"/>
                <w:szCs w:val="22"/>
                <w:u w:val="none"/>
                <w:lang w:val="en-US" w:eastAsia="zh-CN" w:bidi="ar"/>
              </w:rPr>
              <w:t>-5802628.869</w:t>
            </w:r>
          </w:p>
        </w:tc>
      </w:tr>
    </w:tbl>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p>
    <w:p>
      <w:pPr>
        <w:keepNext/>
        <w:rPr>
          <w:rFonts w:ascii="Times New Roman" w:hAnsi="Times New Roman" w:eastAsia="宋体" w:cs="Times New Roman"/>
          <w:kern w:val="0"/>
          <w:szCs w:val="21"/>
        </w:rPr>
        <w:sectPr>
          <w:pgSz w:w="16838" w:h="11906" w:orient="landscape"/>
          <w:pgMar w:top="720" w:right="720" w:bottom="720" w:left="720" w:header="851" w:footer="992" w:gutter="0"/>
          <w:pgNumType w:fmt="decimal"/>
          <w:cols w:space="425" w:num="1"/>
          <w:docGrid w:type="lines" w:linePitch="312" w:charSpace="0"/>
        </w:sectPr>
      </w:pPr>
    </w:p>
    <w:p>
      <w:pPr>
        <w:keepNext/>
        <w:jc w:val="center"/>
        <w:rPr>
          <w:rFonts w:ascii="Times New Roman" w:hAnsi="Times New Roman" w:eastAsia="宋体" w:cs="Times New Roman"/>
          <w:kern w:val="0"/>
          <w:szCs w:val="21"/>
        </w:rPr>
      </w:pPr>
      <w:r>
        <w:rPr>
          <w:rFonts w:hint="eastAsia" w:ascii="Times New Roman" w:hAnsi="Times New Roman" w:eastAsia="宋体" w:cs="Times New Roman"/>
          <w:b/>
          <w:bCs/>
          <w:kern w:val="0"/>
          <w:szCs w:val="21"/>
        </w:rPr>
        <w:t xml:space="preserve">Table S15. </w:t>
      </w:r>
      <w:r>
        <w:rPr>
          <w:rFonts w:hint="eastAsia" w:ascii="Times New Roman" w:hAnsi="Times New Roman" w:eastAsia="宋体" w:cs="Times New Roman"/>
          <w:kern w:val="0"/>
          <w:szCs w:val="21"/>
        </w:rPr>
        <w:t>The one-way sensitivity analysis with different numbers of conbercept injections from the Perspective of the Whole Society in 2023.</w:t>
      </w:r>
    </w:p>
    <w:tbl>
      <w:tblPr>
        <w:tblStyle w:val="16"/>
        <w:tblpPr w:leftFromText="180" w:rightFromText="180" w:horzAnchor="margin" w:tblpXSpec="center" w:tblpY="439"/>
        <w:tblW w:w="4896" w:type="pct"/>
        <w:jc w:val="center"/>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jc w:val="center"/>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jc w:val="center"/>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216183.015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27629.438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293079.345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76896.330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34522.311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115600.399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289043.235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36941.395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293079.345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4036.111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34522.311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6067.598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361903.454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46253.352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293079.345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68824.109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34522.311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-103465.204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434763.674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55565.309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293079.345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141684.328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34522.311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-212998.005 </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507623.893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64877.266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293079.345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214544.548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34522.311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-322530.806 </w:t>
            </w:r>
          </w:p>
        </w:tc>
      </w:tr>
      <w:tr>
        <w:tblPrEx>
          <w:tblCellMar>
            <w:top w:w="0" w:type="dxa"/>
            <w:left w:w="108" w:type="dxa"/>
            <w:bottom w:w="0" w:type="dxa"/>
            <w:right w:w="108" w:type="dxa"/>
          </w:tblCellMar>
        </w:tblPrEx>
        <w:trPr>
          <w:trHeight w:val="90" w:hRule="atLeast"/>
          <w:jc w:val="center"/>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191171.976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22906.174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275311.371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84139.395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33182.297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-1719380.316</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228147.731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27336.599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275311.371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47163.640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33182.297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-963784.375</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265123.486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31767.024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275311.371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10187.885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33182.297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-208188.435</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302099.241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33182.297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275311.371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26787.870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36197.449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547407.505</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339074.996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33182.297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275311.371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63763.625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40627.873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1303003.446</w:t>
            </w:r>
          </w:p>
        </w:tc>
      </w:tr>
      <w:tr>
        <w:tblPrEx>
          <w:tblCellMar>
            <w:top w:w="0" w:type="dxa"/>
            <w:left w:w="108" w:type="dxa"/>
            <w:bottom w:w="0" w:type="dxa"/>
            <w:right w:w="108" w:type="dxa"/>
          </w:tblCellMar>
        </w:tblPrEx>
        <w:trPr>
          <w:trHeight w:val="285" w:hRule="atLeast"/>
          <w:jc w:val="center"/>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231690.946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28408.355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338646.558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106955.612</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41628.363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-5157770.216</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277910.640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34075.497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338646.558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60735.918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41628.363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-2928896.430</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324130.333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39742.639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338646.558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14516.224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41628.363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-700022.643</w:t>
            </w:r>
          </w:p>
        </w:tc>
      </w:tr>
      <w:tr>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370350.027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41628.363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338646.558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31703.469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45409.780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1528851.143</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416569.721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41628.363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338646.558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77923.163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51076.922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3757724.929</w:t>
            </w:r>
          </w:p>
        </w:tc>
      </w:tr>
      <w:tr>
        <w:tblPrEx>
          <w:tblCellMar>
            <w:top w:w="0" w:type="dxa"/>
            <w:left w:w="108" w:type="dxa"/>
            <w:bottom w:w="0" w:type="dxa"/>
            <w:right w:w="108" w:type="dxa"/>
          </w:tblCellMar>
        </w:tblPrEx>
        <w:trPr>
          <w:trHeight w:val="285" w:hRule="atLeast"/>
          <w:jc w:val="center"/>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228642.789</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32788.505</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316215.671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87572.882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46790.696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-406990.484</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329042.665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47186.343</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316215.671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-12826.993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46790.696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59612.794</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429442.540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61584.182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316215.671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-113226.869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46790.696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526216.073</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529842.416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75982.020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316215.671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-213626.745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46790.696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992819.351</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630242.292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90379.858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316215.671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-314026.621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46790.696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1459422.630</w:t>
            </w:r>
          </w:p>
        </w:tc>
      </w:tr>
      <w:tr>
        <w:tblPrEx>
          <w:tblCellMar>
            <w:top w:w="0" w:type="dxa"/>
            <w:left w:w="108" w:type="dxa"/>
            <w:bottom w:w="0" w:type="dxa"/>
            <w:right w:w="108" w:type="dxa"/>
          </w:tblCellMar>
        </w:tblPrEx>
        <w:trPr>
          <w:trHeight w:val="285" w:hRule="atLeast"/>
          <w:jc w:val="center"/>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228810.693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30396.175</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291325.802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62515.109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38847.688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-2198553.797</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311698.899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41407.393</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291325.802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-20373.096</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38847.688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716488.357</w:t>
            </w:r>
          </w:p>
        </w:tc>
      </w:tr>
      <w:tr>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394587.104</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52418.611</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291325.802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-103261.302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38847.688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3631530.511</w:t>
            </w:r>
          </w:p>
        </w:tc>
      </w:tr>
      <w:tr>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477475.309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63429.829</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291325.802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-186149.507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38847.688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6546572.666</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560363.515</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74441.047</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jc w:val="center"/>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291325.802</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-269037.712</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38847.688</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9461614.820</w:t>
            </w:r>
          </w:p>
        </w:tc>
      </w:tr>
    </w:tbl>
    <w:p>
      <w:pP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Table S16.</w:t>
      </w:r>
      <w:r>
        <w:rPr>
          <w:rFonts w:ascii="Times New Roman" w:hAnsi="Times New Roman" w:cs="Times New Roman"/>
        </w:rPr>
        <w:t xml:space="preserve"> The one-way sensitivity analysis with different numbers of ranibizumab injections from the Perspective of the Whole Society in 2023.</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295600.655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37779.472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216938.933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78661.722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25553.603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-118254.362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295600.655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37779.472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301539.391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5938.737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35518.834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8927.869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295600.655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37779.472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386139.850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90539.195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45484.065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136110.099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295600.655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37779.472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470740.309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175139.654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55449.296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263292.330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295600.655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37779.472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555340.767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259740.113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65414.527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390474.560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253661.002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24311.263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201708.972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51952.030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30393.592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1061634.660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253661.002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30393.592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275734.373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22073.371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33233.280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-451067.187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253661.002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30393.592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349759.774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96098.773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42155.298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-1963769.034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253661.002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30393.592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423785.176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170124.174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51077.315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-3476470.881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253661.002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30393.592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497810.577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244149.575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59999.333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-4989172.728</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288263.851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31176.795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253623.097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106955.612</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35344.936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1670497.208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288263.851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35344.936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327648.498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60735.918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40276.419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-1899264.156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288263.851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35344.936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401673.900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14516.224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49376.042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-5469025.520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288263.851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35344.936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475699.301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31703.469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58475.666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-9038786.884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288263.851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35344.936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549724.702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77923.163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67575.290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-12608548.248</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301295.790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43207.305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233307.222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-67988.568</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34522.664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315973.386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301295.790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43207.305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349632.852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48337.063</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51735.464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-224644.022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301295.790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43207.305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465958.483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164662.693</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68948.264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-765261.430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301295.790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43207.305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582284.114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280988.324</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86161.065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-1305878.838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301295.790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43207.305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698609.744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397313.954</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103373.865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-1846496.246</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279648.792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37149.722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233374.488</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-46274.304</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31120.001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1627391.339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279648.792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37149.722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286249.775</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6600.982</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38170.810</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-232145.718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279648.792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37149.722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339125.062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59476.269</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45221.619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-2091682.775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279648.792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37149.722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392000.348</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112351.556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52272.428</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-3951219.832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279648.792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37149.722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444875.635</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165226.842</w:t>
            </w:r>
          </w:p>
        </w:tc>
        <w:tc>
          <w:tcPr>
            <w:tcW w:w="51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59323.238</w:t>
            </w:r>
          </w:p>
        </w:tc>
        <w:tc>
          <w:tcPr>
            <w:tcW w:w="53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-5810756.889</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 xml:space="preserve">Table S17. </w:t>
      </w:r>
      <w:r>
        <w:rPr>
          <w:rFonts w:ascii="Times New Roman" w:hAnsi="Times New Roman" w:cs="Times New Roman"/>
        </w:rPr>
        <w:t>The one-way sensitivity analysis with different numbers of conbercept injections from the Perspective of the Whole Society in 2024.</w:t>
      </w:r>
    </w:p>
    <w:tbl>
      <w:tblPr>
        <w:tblStyle w:val="16"/>
        <w:tblpPr w:leftFromText="180" w:rightFromText="180" w:horzAnchor="margin" w:tblpXSpec="center" w:tblpY="439"/>
        <w:tblW w:w="4895"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2"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2"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727"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204073.929 </w:t>
            </w:r>
          </w:p>
        </w:tc>
        <w:tc>
          <w:tcPr>
            <w:tcW w:w="56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26081.827 </w:t>
            </w:r>
          </w:p>
        </w:tc>
        <w:tc>
          <w:tcPr>
            <w:tcW w:w="530"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279338.454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75264.525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32903.748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113147.261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276934.149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35393.784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279338.454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2404.306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32903.748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3614.460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349794.368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44705.741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279338.454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70455.914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32903.748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-105918.341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422654.587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54017.698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279338.454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143316.133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32903.748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-215451.142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495514.807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63329.655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279338.454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216176.352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32903.748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-324983.944 </w:t>
            </w:r>
          </w:p>
        </w:tc>
      </w:tr>
      <w:tr>
        <w:tblPrEx>
          <w:tblCellMar>
            <w:top w:w="0" w:type="dxa"/>
            <w:left w:w="108" w:type="dxa"/>
            <w:bottom w:w="0" w:type="dxa"/>
            <w:right w:w="108" w:type="dxa"/>
          </w:tblCellMar>
        </w:tblPrEx>
        <w:trPr>
          <w:trHeight w:val="90" w:hRule="atLeast"/>
        </w:trPr>
        <w:tc>
          <w:tcPr>
            <w:tcW w:w="362"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198367.644</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23768.357</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249251.083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50883.438</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30041.344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-1039798.092</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235343.399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28198.782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249251.083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13907.683</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30041.344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-284202.151</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272319.154</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30041.344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249251.083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23068.072</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32629.207</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471393.789</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309294.909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30041.344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249251.083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60043.826</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37059.632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1226989.729</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346270.664</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30041.344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249251.083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97019.581</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41490.056</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1982585.670</w:t>
            </w:r>
          </w:p>
        </w:tc>
      </w:tr>
      <w:tr>
        <w:tblPrEx>
          <w:tblCellMar>
            <w:top w:w="0" w:type="dxa"/>
            <w:left w:w="108" w:type="dxa"/>
            <w:bottom w:w="0" w:type="dxa"/>
            <w:right w:w="108" w:type="dxa"/>
          </w:tblCellMar>
        </w:tblPrEx>
        <w:trPr>
          <w:trHeight w:val="285" w:hRule="atLeast"/>
        </w:trPr>
        <w:tc>
          <w:tcPr>
            <w:tcW w:w="362"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246558.713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30231.338</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345638.671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99079.958</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42487.873</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-4777978.903</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292778.407</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35898.480</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345638.671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52860.264</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42487.873</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-2549105.117</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338998.101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41565.622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345638.671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6640.571</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42487.873</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-320231.331</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385217.794</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42487.873</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345638.671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39579.123</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47232.764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1908642.455</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431437.488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42487.873</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345638.671</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85798.816</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52899.906</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4137516.241</w:t>
            </w:r>
          </w:p>
        </w:tc>
      </w:tr>
      <w:tr>
        <w:tblPrEx>
          <w:tblCellMar>
            <w:top w:w="0" w:type="dxa"/>
            <w:left w:w="108" w:type="dxa"/>
            <w:bottom w:w="0" w:type="dxa"/>
            <w:right w:w="108" w:type="dxa"/>
          </w:tblCellMar>
        </w:tblPrEx>
        <w:trPr>
          <w:trHeight w:val="285" w:hRule="atLeast"/>
        </w:trPr>
        <w:tc>
          <w:tcPr>
            <w:tcW w:w="362"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230906.023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33113.064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307345.669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76439.646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45478.194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-355249.338</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331305.899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47510.903</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307345.669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-23960.230</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45478.194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111353.941</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431705.775</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61908.741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307345.669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-124360.106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45478.194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577957.219</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532105.651</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76306.579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307345.669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-224759.981</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45478.194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1044560.498</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632505.526</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90704.417</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2"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307345.669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-325159.857</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45478.194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1511163.776</w:t>
            </w:r>
          </w:p>
        </w:tc>
      </w:tr>
      <w:tr>
        <w:tblPrEx>
          <w:tblCellMar>
            <w:top w:w="0" w:type="dxa"/>
            <w:left w:w="108" w:type="dxa"/>
            <w:bottom w:w="0" w:type="dxa"/>
            <w:right w:w="108" w:type="dxa"/>
          </w:tblCellMar>
        </w:tblPrEx>
        <w:trPr>
          <w:trHeight w:val="285" w:hRule="atLeast"/>
        </w:trPr>
        <w:tc>
          <w:tcPr>
            <w:tcW w:w="362"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232649.739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30906.170</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296886.187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64236.448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39589.154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-2259090.459</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315537.944</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41917.388</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296886.187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-18651.757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39589.154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655951.695</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398426.150</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52928.606</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296886.187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-101539.963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39589.154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3570993.849</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481314.355</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63939.824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296886.187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-184428.168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39589.154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6486036.004</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564202.560</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74951.042</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296886.187</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-267316.373</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39589.154</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9401078.158</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Table S1</w:t>
      </w:r>
      <w:r>
        <w:rPr>
          <w:rFonts w:hint="eastAsia" w:ascii="Times New Roman" w:hAnsi="Times New Roman" w:cs="Times New Roman"/>
          <w:b/>
          <w:bCs/>
        </w:rPr>
        <w:t>8</w:t>
      </w:r>
      <w:r>
        <w:rPr>
          <w:rFonts w:ascii="Times New Roman" w:hAnsi="Times New Roman" w:cs="Times New Roman"/>
          <w:b/>
          <w:bCs/>
        </w:rPr>
        <w:t xml:space="preserve">. </w:t>
      </w:r>
      <w:r>
        <w:rPr>
          <w:rFonts w:ascii="Times New Roman" w:hAnsi="Times New Roman" w:cs="Times New Roman"/>
        </w:rPr>
        <w:t>The one-way sensitivity analysis with different numbers of ranibizumab injections from the Perspective of the Whole Society in 202</w:t>
      </w:r>
      <w:r>
        <w:rPr>
          <w:rFonts w:hint="eastAsia" w:ascii="Times New Roman" w:hAnsi="Times New Roman" w:cs="Times New Roman"/>
        </w:rPr>
        <w:t>4</w:t>
      </w:r>
      <w:r>
        <w:rPr>
          <w:rFonts w:ascii="Times New Roman" w:hAnsi="Times New Roman" w:cs="Times New Roman"/>
        </w:rPr>
        <w:t>.</w:t>
      </w:r>
    </w:p>
    <w:tbl>
      <w:tblPr>
        <w:tblStyle w:val="16"/>
        <w:tblpPr w:leftFromText="180" w:rightFromText="180" w:horzAnchor="margin" w:tblpXSpec="center" w:tblpY="439"/>
        <w:tblW w:w="4895"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2"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2"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727" w:type="pct"/>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249247.265 </w:t>
            </w:r>
          </w:p>
        </w:tc>
        <w:tc>
          <w:tcPr>
            <w:tcW w:w="56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31855.241 </w:t>
            </w:r>
          </w:p>
        </w:tc>
        <w:tc>
          <w:tcPr>
            <w:tcW w:w="530" w:type="pct"/>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215215.537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34031.728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25350.602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-51160.847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249247.265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31855.241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293893.963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44646.698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34618.266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67118.627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249247.265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31855.241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372572.390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123325.125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43885.931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185398.102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249247.265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31855.241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451250.816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202003.551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53153.596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303677.576 </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249247.265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7.824 </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31855.241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529929.243 </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280681.978 </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8.490 </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0.665 </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62421.261 </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421957.050 </w:t>
            </w:r>
          </w:p>
        </w:tc>
      </w:tr>
      <w:tr>
        <w:tblPrEx>
          <w:tblCellMar>
            <w:top w:w="0" w:type="dxa"/>
            <w:left w:w="108" w:type="dxa"/>
            <w:bottom w:w="0" w:type="dxa"/>
            <w:right w:w="108" w:type="dxa"/>
          </w:tblCellMar>
        </w:tblPrEx>
        <w:trPr>
          <w:trHeight w:val="90" w:hRule="atLeast"/>
        </w:trPr>
        <w:tc>
          <w:tcPr>
            <w:tcW w:w="362"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259747.398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24114.575</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200077.066</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59670.331</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31122.862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1219357.396</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259747.398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31122.862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268920.689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9173.292</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32412.051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-187455.322</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259747.398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31122.862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337764.313</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78016.915</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40709.527</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-1594268.039</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259747.398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31122.862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406607.936</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146860.538</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49007.004</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-3001080.757</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259747.398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31122.862</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475451.559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215704.161</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57304.480</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-4407893.475</w:t>
            </w:r>
          </w:p>
        </w:tc>
      </w:tr>
      <w:tr>
        <w:tblPrEx>
          <w:tblCellMar>
            <w:top w:w="0" w:type="dxa"/>
            <w:left w:w="108" w:type="dxa"/>
            <w:bottom w:w="0" w:type="dxa"/>
            <w:right w:w="108" w:type="dxa"/>
          </w:tblCellMar>
        </w:tblPrEx>
        <w:trPr>
          <w:trHeight w:val="285" w:hRule="atLeast"/>
        </w:trPr>
        <w:tc>
          <w:tcPr>
            <w:tcW w:w="362"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319770.708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32381.051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263419.716</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56350.992</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39208.091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2717440.124</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319770.708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39208.091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332263.339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12492.631</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40843.701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-602437.944</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319770.708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39208.091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401106.962</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81336.254</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49306.351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-3922316.013</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319770.708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39208.091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469950.585</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150179.877</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57769.001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-7242194.081</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319770.708</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39208.091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538794.209</w:t>
            </w:r>
          </w:p>
        </w:tc>
        <w:tc>
          <w:tcPr>
            <w:tcW w:w="56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219023.500</w:t>
            </w:r>
          </w:p>
        </w:tc>
        <w:tc>
          <w:tcPr>
            <w:tcW w:w="519"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528"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66231.651</w:t>
            </w:r>
          </w:p>
        </w:tc>
        <w:tc>
          <w:tcPr>
            <w:tcW w:w="53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-10562072.150</w:t>
            </w:r>
          </w:p>
        </w:tc>
      </w:tr>
      <w:tr>
        <w:tblPrEx>
          <w:tblCellMar>
            <w:top w:w="0" w:type="dxa"/>
            <w:left w:w="108" w:type="dxa"/>
            <w:bottom w:w="0" w:type="dxa"/>
            <w:right w:w="108" w:type="dxa"/>
          </w:tblCellMar>
        </w:tblPrEx>
        <w:trPr>
          <w:trHeight w:val="285" w:hRule="atLeast"/>
        </w:trPr>
        <w:tc>
          <w:tcPr>
            <w:tcW w:w="362"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300596.784</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57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43107.064</w:t>
            </w:r>
          </w:p>
        </w:tc>
        <w:tc>
          <w:tcPr>
            <w:tcW w:w="53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225510.089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-75086.695</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33368.915</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348961.570</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300596.784</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57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43107.064</w:t>
            </w:r>
          </w:p>
        </w:tc>
        <w:tc>
          <w:tcPr>
            <w:tcW w:w="53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333692.925</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33096.141</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49376.820</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-153812.620</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300596.784</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57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43107.064</w:t>
            </w:r>
          </w:p>
        </w:tc>
        <w:tc>
          <w:tcPr>
            <w:tcW w:w="53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441875.761</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141278.978</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65384.724</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-656586.809</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300596.784</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57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43107.064</w:t>
            </w:r>
          </w:p>
        </w:tc>
        <w:tc>
          <w:tcPr>
            <w:tcW w:w="53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550058.598</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249461.814</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81392.628</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-1159360.999</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300596.784</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57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43107.064</w:t>
            </w:r>
          </w:p>
        </w:tc>
        <w:tc>
          <w:tcPr>
            <w:tcW w:w="530"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2"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658241.434</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357644.650</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57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97400.532</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-1662135.188</w:t>
            </w:r>
          </w:p>
        </w:tc>
      </w:tr>
      <w:tr>
        <w:tblPrEx>
          <w:tblCellMar>
            <w:top w:w="0" w:type="dxa"/>
            <w:left w:w="108" w:type="dxa"/>
            <w:bottom w:w="0" w:type="dxa"/>
            <w:right w:w="108" w:type="dxa"/>
          </w:tblCellMar>
        </w:tblPrEx>
        <w:trPr>
          <w:trHeight w:val="285" w:hRule="atLeast"/>
        </w:trPr>
        <w:tc>
          <w:tcPr>
            <w:tcW w:w="362"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280172.310</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570" w:type="pct"/>
            <w:tcBorders>
              <w:top w:val="nil"/>
              <w:left w:val="nil"/>
              <w:bottom w:val="nil"/>
              <w:right w:val="nil"/>
            </w:tcBorders>
            <w:shd w:val="clear" w:color="auto" w:fill="FFFFFF"/>
            <w:vAlign w:val="bottom"/>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37219.269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238270.759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-41901.551</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31772.909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1473608.776</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280172.310</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570" w:type="pct"/>
            <w:tcBorders>
              <w:top w:val="nil"/>
              <w:left w:val="nil"/>
              <w:bottom w:val="nil"/>
              <w:right w:val="nil"/>
            </w:tcBorders>
            <w:shd w:val="clear" w:color="auto" w:fill="FFFFFF"/>
            <w:vAlign w:val="bottom"/>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37219.269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287444.776</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7272.466</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38330.161</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-255760.687</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280172.310</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570" w:type="pct"/>
            <w:tcBorders>
              <w:top w:val="nil"/>
              <w:left w:val="nil"/>
              <w:bottom w:val="nil"/>
              <w:right w:val="nil"/>
            </w:tcBorders>
            <w:shd w:val="clear" w:color="auto" w:fill="FFFFFF"/>
            <w:vAlign w:val="bottom"/>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37219.269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336618.792</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56446.482</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44887.414</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-1985130.150</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280172.310</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570" w:type="pct"/>
            <w:tcBorders>
              <w:top w:val="nil"/>
              <w:left w:val="nil"/>
              <w:bottom w:val="nil"/>
              <w:right w:val="nil"/>
            </w:tcBorders>
            <w:shd w:val="clear" w:color="auto" w:fill="FFFFFF"/>
            <w:vAlign w:val="bottom"/>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37219.269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385792.809</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105620.499</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570" w:type="pct"/>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51444.666</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-3714499.613</w:t>
            </w:r>
          </w:p>
        </w:tc>
      </w:tr>
      <w:tr>
        <w:tblPrEx>
          <w:tblCellMar>
            <w:top w:w="0" w:type="dxa"/>
            <w:left w:w="108" w:type="dxa"/>
            <w:bottom w:w="0" w:type="dxa"/>
            <w:right w:w="108" w:type="dxa"/>
          </w:tblCellMar>
        </w:tblPrEx>
        <w:trPr>
          <w:trHeight w:val="285" w:hRule="atLeast"/>
        </w:trPr>
        <w:tc>
          <w:tcPr>
            <w:tcW w:w="362"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280172.310</w:t>
            </w:r>
          </w:p>
        </w:tc>
        <w:tc>
          <w:tcPr>
            <w:tcW w:w="569" w:type="pct"/>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19"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7.528</w:t>
            </w:r>
          </w:p>
        </w:tc>
        <w:tc>
          <w:tcPr>
            <w:tcW w:w="570" w:type="pct"/>
            <w:tcBorders>
              <w:top w:val="nil"/>
              <w:left w:val="nil"/>
              <w:bottom w:val="nil"/>
              <w:right w:val="nil"/>
            </w:tcBorders>
            <w:shd w:val="clear" w:color="auto" w:fill="FFFFFF"/>
            <w:vAlign w:val="bottom"/>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w:t>
            </w:r>
          </w:p>
        </w:tc>
        <w:tc>
          <w:tcPr>
            <w:tcW w:w="528"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37219.269</w:t>
            </w:r>
          </w:p>
        </w:tc>
        <w:tc>
          <w:tcPr>
            <w:tcW w:w="530" w:type="pc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w:t>
            </w:r>
          </w:p>
        </w:tc>
      </w:tr>
      <w:tr>
        <w:tblPrEx>
          <w:tblCellMar>
            <w:top w:w="0" w:type="dxa"/>
            <w:left w:w="108" w:type="dxa"/>
            <w:bottom w:w="0" w:type="dxa"/>
            <w:right w:w="108" w:type="dxa"/>
          </w:tblCellMar>
        </w:tblPrEx>
        <w:trPr>
          <w:trHeight w:val="285" w:hRule="atLeast"/>
        </w:trPr>
        <w:tc>
          <w:tcPr>
            <w:tcW w:w="362"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434966.826</w:t>
            </w:r>
          </w:p>
        </w:tc>
        <w:tc>
          <w:tcPr>
            <w:tcW w:w="56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154794.516</w:t>
            </w:r>
          </w:p>
        </w:tc>
        <w:tc>
          <w:tcPr>
            <w:tcW w:w="519"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7.499</w:t>
            </w:r>
          </w:p>
        </w:tc>
        <w:tc>
          <w:tcPr>
            <w:tcW w:w="570" w:type="pct"/>
            <w:tcBorders>
              <w:top w:val="nil"/>
              <w:left w:val="nil"/>
              <w:bottom w:val="single" w:color="000000" w:sz="12" w:space="0"/>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-0.028</w:t>
            </w:r>
          </w:p>
        </w:tc>
        <w:tc>
          <w:tcPr>
            <w:tcW w:w="528"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58001.919</w:t>
            </w:r>
          </w:p>
        </w:tc>
        <w:tc>
          <w:tcPr>
            <w:tcW w:w="530" w:type="pct"/>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-5443869.076</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rPr>
        <w:t xml:space="preserve">Table S19. </w:t>
      </w:r>
      <w:r>
        <w:rPr>
          <w:rFonts w:ascii="Times New Roman" w:hAnsi="Times New Roman" w:cs="Times New Roman"/>
        </w:rPr>
        <w:t>The one-way sensitivity analysis with different numbers of conbercept injections</w:t>
      </w:r>
      <w:r>
        <w:rPr>
          <w:rFonts w:hint="eastAsia" w:ascii="Times New Roman" w:hAnsi="Times New Roman" w:cs="Times New Roman"/>
          <w:lang w:val="en-US" w:eastAsia="zh-CN"/>
        </w:rPr>
        <w:t xml:space="preserve"> </w:t>
      </w:r>
      <w:r>
        <w:rPr>
          <w:rFonts w:ascii="Times New Roman" w:hAnsi="Times New Roman" w:cs="Times New Roman"/>
        </w:rPr>
        <w:t>from the Perspective of the Health Insurance Payer in 2021.</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85650.420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10946.619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150067.927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64417.507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17676.755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96840.636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173433.817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22165.844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150067.927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23365.890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17676.755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-35126.595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261217.214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33385.069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150067.927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111149.287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17676.755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-167093.825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349000.611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44604.294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150067.927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198932.684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17676.755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-299061.055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436784.007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55823.520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150067.927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286716.081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17676.755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-431028.286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199200.285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127490.581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24008.900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-2605257.565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116258.807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13930.099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199200.285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82941.478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24008.900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-1694901.010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160807.909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19267.960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199200.285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38392.376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24008.900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-784544.455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205357.011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24605.821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199200.285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6156.726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24008.900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125812.099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249906.114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29943.682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199200.285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50705.828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24008.900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1036168.654 </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177586.142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102395.396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21829.900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-4937860.836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130877.124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16047.255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177586.142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46709.019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21829.900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-2252470.733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186563.50</w:t>
            </w:r>
            <w:r>
              <w:rPr>
                <w:rFonts w:hint="eastAsia" w:ascii="Times New Roman" w:hAnsi="Times New Roman" w:eastAsia="宋体" w:cs="Times New Roman"/>
                <w:i w:val="0"/>
                <w:iCs w:val="0"/>
                <w:color w:val="000000"/>
                <w:kern w:val="0"/>
                <w:sz w:val="22"/>
                <w:szCs w:val="22"/>
                <w:u w:val="none"/>
                <w:lang w:val="en-US" w:eastAsia="zh-CN" w:bidi="ar"/>
              </w:rPr>
              <w:t>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22875.137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177586.142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8977.359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21829.900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432919.371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242249.879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29703.019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177586.142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64663.737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21829.900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3118309.475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297936.257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36530.901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177586.142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120350.115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21829.900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5803699.579 </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119692.182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17164.450</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179947.300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60255.118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26626.952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-280032.573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240655.888</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34511.243</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179947.300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-60708.588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26626.952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282140.051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361619.593</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51858.036</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179947.300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-181672.294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26626.952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844312.676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482583.299</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69204.829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179947.300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-302635.999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26626.952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1406485.301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603547.005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86551.622</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179947.300</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-423599.705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26626.952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1968657.925</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93031.384</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12358.681</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138683.202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45651.818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18493.116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-1605499.511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192896.692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25625.208</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138683.202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-54213.490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18493.116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1906599.470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292761.999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38891.736</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138683.202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-154078.798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18493.116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5418698.451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392627.307</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52158.264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138683.202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-253944.105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18493.116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8930797.432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492492.615</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65424.791</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138683.202</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-353809.413</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18493.116</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12444931.867</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Table S</w:t>
      </w:r>
      <w:r>
        <w:rPr>
          <w:rFonts w:hint="eastAsia" w:ascii="Times New Roman" w:hAnsi="Times New Roman" w:cs="Times New Roman"/>
          <w:b/>
          <w:bCs/>
        </w:rPr>
        <w:t>20</w:t>
      </w:r>
      <w:r>
        <w:rPr>
          <w:rFonts w:ascii="Times New Roman" w:hAnsi="Times New Roman" w:cs="Times New Roman"/>
        </w:rPr>
        <w:t>. The one-way sensitivity analysis with different numbers of ranibizumab injections</w:t>
      </w:r>
      <w:r>
        <w:rPr>
          <w:rFonts w:hint="eastAsia" w:ascii="Times New Roman" w:hAnsi="Times New Roman" w:cs="Times New Roman"/>
          <w:lang w:val="en-US" w:eastAsia="zh-CN"/>
        </w:rPr>
        <w:t xml:space="preserve"> </w:t>
      </w:r>
      <w:r>
        <w:rPr>
          <w:rFonts w:ascii="Times New Roman" w:hAnsi="Times New Roman" w:cs="Times New Roman"/>
        </w:rPr>
        <w:t>from the Perspective of the Health Insurance Payer in 2021.</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123397.281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15770.885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93808.622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29588.659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11049.876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-44481.457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123397.281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15770.885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178409.080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55011.800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21015.107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82700.774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123397.281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15770.885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263009.539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139612.258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30980.338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209883.004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123397.281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15770.885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347609.998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224212.717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40945.569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337065.235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123397.281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15770.885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432210.456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308813.176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50910.800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464247.465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115868.834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44159.129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13965.257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-902387.485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189894.235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118184.530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22887.275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-2415089.332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263919.636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192209.931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31809.292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-3927791.180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337945.037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266235.333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40731.310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-5440493.027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71709.705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8592.237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411970.439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340260.734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49653.327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-6953194.874 </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105252.750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30062.004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12938.267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-1449694.018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179278.151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104087.406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22037.891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-5019455.382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253303.553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178112.807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31137.515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-8589216.746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327328.954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252138.208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40237.139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-12158978.109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75190.746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9219.374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401354.355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326163.609 </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49336.762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-15728739.473 </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196669.085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28203.318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103383.885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-93285.201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15297.799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433538.191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196669.085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28203.318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219709.515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23040.430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32510.600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-107079.217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196669.085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28203.318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336035.146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139366.060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49723.400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-647696.625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196669.085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28203.318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452360.777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255691.691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66936.200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-1188314.033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196669.085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28203.318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568686.407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372017.322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84149.001</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-1728931.442</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153394.414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20377.559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89191.934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-64202.481</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11893.558</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2257895.892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153394.414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20377.559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142067.220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-11327.194</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18944.367</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398358.835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153394.414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20377.559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194942.507</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41548.092</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25995.177</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-1461178.222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153394.414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20377.559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247817.793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94423.379</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33045.986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-3320715.279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153394.414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20377.559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300693.080</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147298.666</w:t>
            </w:r>
          </w:p>
        </w:tc>
        <w:tc>
          <w:tcPr>
            <w:tcW w:w="51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40096.795</w:t>
            </w:r>
          </w:p>
        </w:tc>
        <w:tc>
          <w:tcPr>
            <w:tcW w:w="53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-5180252.336</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keepNext/>
        <w:jc w:val="center"/>
        <w:rPr>
          <w:rFonts w:ascii="Times New Roman" w:hAnsi="Times New Roman" w:eastAsia="宋体" w:cs="Times New Roman"/>
          <w:kern w:val="0"/>
          <w:szCs w:val="21"/>
        </w:rPr>
      </w:pPr>
      <w:r>
        <w:rPr>
          <w:rFonts w:ascii="Times New Roman" w:hAnsi="Times New Roman" w:eastAsia="等线" w:cs="Times New Roman"/>
          <w:b/>
          <w:bCs/>
          <w:szCs w:val="21"/>
        </w:rPr>
        <w:t>T</w:t>
      </w:r>
      <w:r>
        <w:rPr>
          <w:rFonts w:hint="eastAsia" w:ascii="Times New Roman" w:hAnsi="Times New Roman" w:eastAsia="等线" w:cs="Times New Roman"/>
          <w:b/>
          <w:bCs/>
          <w:szCs w:val="21"/>
        </w:rPr>
        <w:t>able</w:t>
      </w:r>
      <w:r>
        <w:rPr>
          <w:rFonts w:ascii="Times New Roman" w:hAnsi="Times New Roman" w:eastAsia="等线" w:cs="Times New Roman"/>
          <w:b/>
          <w:bCs/>
          <w:szCs w:val="21"/>
        </w:rPr>
        <w:t xml:space="preserve"> S</w:t>
      </w:r>
      <w:r>
        <w:rPr>
          <w:rFonts w:hint="eastAsia" w:ascii="Times New Roman" w:hAnsi="Times New Roman" w:eastAsia="等线" w:cs="Times New Roman"/>
          <w:b/>
          <w:bCs/>
          <w:szCs w:val="21"/>
        </w:rPr>
        <w:t>21</w:t>
      </w:r>
      <w:r>
        <w:rPr>
          <w:rFonts w:ascii="Times New Roman" w:hAnsi="Times New Roman" w:eastAsia="等线" w:cs="Times New Roman"/>
          <w:b/>
          <w:bCs/>
          <w:szCs w:val="21"/>
        </w:rPr>
        <w:t>.</w:t>
      </w:r>
      <w:r>
        <w:rPr>
          <w:rFonts w:ascii="Times New Roman" w:hAnsi="Times New Roman" w:eastAsia="等线" w:cs="Times New Roman"/>
          <w:szCs w:val="21"/>
        </w:rPr>
        <w:t xml:space="preserve"> The one-way </w:t>
      </w:r>
      <w:r>
        <w:rPr>
          <w:rFonts w:ascii="Times New Roman" w:hAnsi="Times New Roman" w:cs="Times New Roman"/>
          <w:szCs w:val="21"/>
        </w:rPr>
        <w:t>sensitivity analysis</w:t>
      </w:r>
      <w:r>
        <w:rPr>
          <w:rFonts w:hint="eastAsia" w:ascii="Times New Roman" w:hAnsi="Times New Roman" w:cs="Times New Roman"/>
          <w:szCs w:val="21"/>
          <w:lang w:val="en-US" w:eastAsia="zh-CN"/>
        </w:rPr>
        <w:t xml:space="preserve"> </w:t>
      </w:r>
      <w:r>
        <w:rPr>
          <w:rFonts w:hint="eastAsia" w:ascii="Times New Roman" w:hAnsi="Times New Roman" w:eastAsia="等线" w:cs="Times New Roman"/>
          <w:szCs w:val="21"/>
        </w:rPr>
        <w:t>with</w:t>
      </w:r>
      <w:r>
        <w:rPr>
          <w:rFonts w:hint="eastAsia" w:ascii="Times New Roman" w:hAnsi="Times New Roman" w:eastAsia="等线" w:cs="Times New Roman"/>
          <w:szCs w:val="21"/>
          <w:lang w:val="en-US" w:eastAsia="zh-CN"/>
        </w:rPr>
        <w:t xml:space="preserve"> </w:t>
      </w:r>
      <w:r>
        <w:rPr>
          <w:rFonts w:hint="eastAsia" w:ascii="Times New Roman" w:hAnsi="Times New Roman" w:eastAsia="等线" w:cs="Times New Roman"/>
          <w:szCs w:val="21"/>
        </w:rPr>
        <w:t>different</w:t>
      </w:r>
      <w:r>
        <w:rPr>
          <w:rFonts w:hint="eastAsia" w:ascii="Times New Roman" w:hAnsi="Times New Roman" w:eastAsia="等线" w:cs="Times New Roman"/>
          <w:szCs w:val="21"/>
          <w:lang w:val="en-US" w:eastAsia="zh-CN"/>
        </w:rPr>
        <w:t xml:space="preserve"> </w:t>
      </w:r>
      <w:r>
        <w:rPr>
          <w:rFonts w:hint="eastAsia" w:ascii="Times New Roman" w:hAnsi="Times New Roman" w:eastAsia="宋体" w:cs="Times New Roman"/>
          <w:kern w:val="0"/>
          <w:szCs w:val="21"/>
        </w:rPr>
        <w:t xml:space="preserve">numbers </w:t>
      </w:r>
      <w:r>
        <w:rPr>
          <w:rFonts w:ascii="Times New Roman" w:hAnsi="Times New Roman" w:eastAsia="宋体" w:cs="Times New Roman"/>
          <w:kern w:val="0"/>
          <w:szCs w:val="21"/>
        </w:rPr>
        <w:t xml:space="preserve">of </w:t>
      </w:r>
      <w:r>
        <w:rPr>
          <w:rFonts w:hint="eastAsia" w:ascii="Times New Roman" w:hAnsi="Times New Roman" w:eastAsia="宋体" w:cs="Times New Roman"/>
          <w:kern w:val="0"/>
          <w:szCs w:val="21"/>
        </w:rPr>
        <w:t>conbercept injections from the Perspective of the Health Insurance Payer in 2022.</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96972.324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12393.623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180625.826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83653.502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21276.221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125758.644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169832.544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21705.580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180625.826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10793.283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21276.221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16225.843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242692.763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31017.537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180625.826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62066.937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21276.221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-93306.958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315552.983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40329.494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180625.826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134927.156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21276.221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-202839.760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388413.202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49641.451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180625.826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207787.376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21276.221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-312372.561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87971.305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10540.698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190696.554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102725.249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22983.975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-2099180.441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124947.060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14971.123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190696.554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65749.495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22983.975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-1343584.501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161922.815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19401.547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190696.554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28773.740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22983.975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-587988.560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198898.570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22983.975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190696.554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8202.015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23831.972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167607.380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235874.325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22983.975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190696.554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45177.770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28262.397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923203.320</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57015.944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6990.904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270192.166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213176.222</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33213.559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-10280096.117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103235.637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12658.046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270192.166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166956.528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33213.559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-8051222.331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149455.331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18325.188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270192.166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120736.835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33213.559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-5822348.545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195675.024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23992.330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270192.166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74517.141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33213.559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-3593474.759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241894.718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29659.471</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270192.166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28297.447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33213.559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-1364600.973</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104993.079</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15056.526</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191964.675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86971.597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28405.173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-404196.039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205392.954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29454.364</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191964.675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-13428.279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28405.173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62407.240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305792.830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43852.202</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191964.675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-113828.155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28405.173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529010.518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406192.706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58250.041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191964.675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-214228.031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28405.173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995613.797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506592.582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72647.879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191964.675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-314627.907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28405.173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1462217.075</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87311.396</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11598.813</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159907.483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72596.088</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21323.329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-2553085.259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170199.601</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22610.031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159907.483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-10292.118</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21323.329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361956.895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253087.807</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33621.249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159907.483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-93180.323</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21323.329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3276999.050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335976.012</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44632.467</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159907.483</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-176068.529</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21323.329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6192041.204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418864.217</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7.528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55643.685</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159907.483</w:t>
            </w:r>
          </w:p>
        </w:tc>
        <w:tc>
          <w:tcPr>
            <w:tcW w:w="56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-258956.734</w:t>
            </w:r>
          </w:p>
        </w:tc>
        <w:tc>
          <w:tcPr>
            <w:tcW w:w="519"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7.499</w:t>
            </w:r>
          </w:p>
        </w:tc>
        <w:tc>
          <w:tcPr>
            <w:tcW w:w="57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-0.028</w:t>
            </w:r>
          </w:p>
        </w:tc>
        <w:tc>
          <w:tcPr>
            <w:tcW w:w="528"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21323.329</w:t>
            </w:r>
          </w:p>
        </w:tc>
        <w:tc>
          <w:tcPr>
            <w:tcW w:w="53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9107083.358</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 xml:space="preserve">Table S22. </w:t>
      </w:r>
      <w:r>
        <w:rPr>
          <w:rFonts w:ascii="Times New Roman" w:hAnsi="Times New Roman" w:cs="Times New Roman"/>
        </w:rPr>
        <w:t>The one-way sensitivity analysis with different numbers of ranibizumab injections from the Perspective of the Health Insurance Payer in 2022.</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177482.867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22683.336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101101.395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76381.472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11908.904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-114826.398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177482.867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22683.336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185701.854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8218.987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21874.135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12355.833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177482.867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22683.336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270302.313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92819.446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31839.366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139538.063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177482.867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22683.336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354902.771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177419.904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41804.597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266720.294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177482.867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22683.336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439503.230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262020.363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51769.828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393902.524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150090.573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13093.282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108634.110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41456.464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17983.812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847158.786</w:t>
            </w:r>
          </w:p>
        </w:tc>
      </w:tr>
      <w:tr>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150090.573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17983.812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182659.511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32568.938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22015.299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-665543.061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150090.573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17983.812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256684.912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106594.339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30937.317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-2178244.908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150090.573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17983.812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330710.313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180619.740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39859.334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-3690946.755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150090.573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17983.812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404735.715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254645.142</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48781.352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-5203648.602</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93991.699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11524.617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168248.613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74256.914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20682.077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-3580925.724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93991.699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11524.617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242274.014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148282.316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29781.701</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-7150687.088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93991.699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11524.617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316299.415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222307.717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38881.325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-10720448.452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93991.699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11524.617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390324.817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296333.118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47980.949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-14290209.816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93991.699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11524.617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464350.218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370358.520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57080.572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-17859971.180</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173995.175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24951.768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105249.205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-68745.970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15573.812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319493.373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173995.175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24951.768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221574.836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47579.661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32786.613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-221124.035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173995.175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24951.768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337900.466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163905.291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49999.413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-761741.443</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173995.175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24951.768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454226.097</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280230.922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67212.213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-1302358.851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173995.175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24951.768</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570551.728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396556.552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84425.014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-1842976.259</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142938.592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18988.564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95611.135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-47327.457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12749.545</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1664428.981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142938.592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18988.564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148486.422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5547.830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19800.354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-195108.076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142938.592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18988.564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201361.708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58423.117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26851.164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-2054645.132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142938.592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18988.564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254236.995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111298.403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33901.973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-3914182.189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142938.592</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18988.564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307112.281</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164173.690</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40952.782</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-5773719.246</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 xml:space="preserve">Table S23. </w:t>
      </w:r>
      <w:r>
        <w:rPr>
          <w:rFonts w:ascii="Times New Roman" w:hAnsi="Times New Roman" w:cs="Times New Roman"/>
        </w:rPr>
        <w:t>The one-way sensitivity analysis with different numbers of conbercept injections from the Perspective of the Health Insurance Payer in 2023.</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100102.816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12793.718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156692.258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56589.442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18457.046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85072.487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172963.035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22105.675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156692.258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16270.778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18457.046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-24460.314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245823.255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31417.632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156692.258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89130.997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18457.046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-133993.116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318683.474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40729.589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156692.258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161991.217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18457.046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-243525.917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391543.694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50041.546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156692.258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234851.436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18457.046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-353058.718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93321.461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11181.752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173941.550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80620.089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20964.554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-1647463.642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130297.216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15612.177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173941.550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43644.334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20964.554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-891867.702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167272.971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20042.602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173941.550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6668.579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20964.554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-136271.761</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204248.726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20964.554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173941.550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30307.176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24473.027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619324.179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241224.481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20964.554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173941.550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67282.931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28903.451</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1374920.119</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94363.852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11570.248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202593.877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108230.025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24903.993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-5219226.829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140583.546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17237.390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202593.877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62010.331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24903.993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-2990353.043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186803.239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22904.532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202593.877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15790.637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24903.993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-761479.257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233022.933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24903.993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202593.877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30429.056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28571.674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1467394.529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279242.627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24903.993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202593.877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76648.750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34238.816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3696268.315</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99242.079</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14231.804</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186150.893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86908.814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27544.902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-403904.262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199641.955</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28629.642</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186150.893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-13491.061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27544.902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62699.017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300041.830</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43027.481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186150.893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-113890.937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27544.902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529302.295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400441.706</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57425.319</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186150.893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-214290.813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27544.902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995905.574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500841.582</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71823.157</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186150.893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-314690.689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27544.902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1462508.852</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86009.583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11425.875</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149152.393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63142.810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19889.160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-2220628.996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168897.789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22437.093</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149152.393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-19745.396</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19889.160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694413.158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251785.994</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33448.311</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149152.393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-102633.601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19889.160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3609455.312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334674.199</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44459.529</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149152.393</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-185521.806</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19889.160</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6524497.466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417562.405</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55470.747</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149152.393</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-268410.012</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19889.160</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9439539.620</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hint="eastAsia" w:ascii="Times New Roman" w:hAnsi="Times New Roman" w:cs="Times New Roman"/>
        </w:rPr>
      </w:pPr>
      <w:r>
        <w:rPr>
          <w:rFonts w:ascii="Times New Roman" w:hAnsi="Times New Roman" w:cs="Times New Roman"/>
          <w:b/>
          <w:bCs/>
        </w:rPr>
        <w:t>Table S24.</w:t>
      </w:r>
      <w:r>
        <w:rPr>
          <w:rFonts w:ascii="Times New Roman" w:hAnsi="Times New Roman" w:cs="Times New Roman"/>
        </w:rPr>
        <w:t xml:space="preserve"> The one-way sensitivity analysis with different numbers of ranibizumab injections from the Perspective of the Health Insurance Payer in 2023.</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179520.455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22943.751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97139.052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82381.403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11442.173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-123846.263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179520.455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22943.751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181739.510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2219.055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21407.404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3335.968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179520.455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22943.751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266339.969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86819.514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31372.635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130518.198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179520.455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22943.751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350940.428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171419.972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41337.866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257700.429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179520.455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22943.751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435540.886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256020.431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51303.097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384882.659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155810.487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12093.520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100339.151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55471.336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18669.170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1133551.334</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155810.487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18669.170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174364.552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18554.065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21015.537</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-379150.513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155810.487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18669.170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248389.954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92579.467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29937.555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-1891852.360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155810.487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18669.170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322415.355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166604.868</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38859.572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-3404554.208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155810.487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18669.170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396440.756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240630.269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47781.590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-4917256.055</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150936.757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14452.425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117570.416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33366.341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18506.830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1609040.595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150936.757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18506.830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191595.817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40659.060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23552.049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-1960720.769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150936.757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18506.830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265621.219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114684.461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32651.672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-5530482.133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150936.757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18506.830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339646.620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188709.863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41751.296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-9100243.497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150936.757</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18506.830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413672.021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262735.264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50850.920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-12670004.861</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171895.080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24650.604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103242.444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-68652.636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15276.870</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319059.609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171895.080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24650.604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219568.074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47672.995</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32489.671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-221557.799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171895.080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24650.604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335893.705</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163998.625</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49702.471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-762175.207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171895.080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24650.604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452219.335</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280324.256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66915.271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-1302792.616</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171895.080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24650.604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568544.966</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396649.886</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84128.071</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-1843410.024</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136847.683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18179.422</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91201.079</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-45646.604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12161.474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1605316.139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136847.683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18179.422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144076.366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7228.683</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19212.283</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-254220.918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136847.683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18179.422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196951.652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60103.970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26263.092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-2113757.975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136847.683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18179.422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249826.939</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112979.256</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33313.901</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-3973295.032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eastAsiaTheme="minorEastAsia"/>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136847.683</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18179.422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302702.225</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165854.543</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40364.710</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-5832832.088</w:t>
            </w:r>
          </w:p>
        </w:tc>
      </w:tr>
    </w:tbl>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keepNext/>
        <w:jc w:val="center"/>
        <w:rPr>
          <w:rFonts w:ascii="Times New Roman" w:hAnsi="Times New Roman" w:eastAsia="等线" w:cs="Times New Roman"/>
          <w:b/>
          <w:bCs/>
          <w:szCs w:val="21"/>
        </w:rPr>
      </w:pPr>
      <w:r>
        <w:rPr>
          <w:rFonts w:hint="eastAsia" w:ascii="Times New Roman" w:hAnsi="Times New Roman" w:eastAsia="等线" w:cs="Times New Roman"/>
          <w:b/>
          <w:bCs/>
          <w:szCs w:val="21"/>
        </w:rPr>
        <w:t xml:space="preserve">Table S25. </w:t>
      </w:r>
      <w:r>
        <w:rPr>
          <w:rFonts w:hint="eastAsia" w:ascii="Times New Roman" w:hAnsi="Times New Roman" w:eastAsia="等线" w:cs="Times New Roman"/>
          <w:szCs w:val="21"/>
        </w:rPr>
        <w:t>The one-way sensitivity analysis with different numbers of conbercept injections from the Perspective of the Health Insurance Payer in 2024.</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conbercept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75233.176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9615.235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156278.309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81045.133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18408.286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121837.410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148093.395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18927.192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156278.309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8184.913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18408.286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12304.609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220953.615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28239.149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156278.309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64675.306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18408.286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-97228.192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293813.834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37551.106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156278.309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137535.525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18408.286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-206760.994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366674.054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46863.063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156278.309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210395.745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18408.286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-316293.795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96417.340</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11552.699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144038.149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47620.810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17360.404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-973126.593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133393.094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15983.124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144038.149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10645.055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17360.404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-217530.652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170368.849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17360.404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144038.149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26330.700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20413.549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538065.288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207344.604</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17360.404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144038.149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63306.455</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24843.974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1293661.228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244320.359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17360.404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144038.149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100282.210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29274.399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2049257.169</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105859.828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12979.806</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200935.408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95075.580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24700.124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-4584873.938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152079.521</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18646.948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200935.408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48855.887</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24700.124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-2356000.152</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198299.215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24314.090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200935.408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2636.193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24700.124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-127126.366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244518.908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24700.124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200935.408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43583.501</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29981.232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2101747.420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290738.602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24700.124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200935.408</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89803.194</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w:t>
            </w:r>
            <w:r>
              <w:rPr>
                <w:rFonts w:hint="default" w:ascii="Times New Roman" w:hAnsi="Times New Roman" w:eastAsia="宋体" w:cs="Arial"/>
                <w:color w:val="000000"/>
                <w:kern w:val="0"/>
                <w:szCs w:val="21"/>
                <w:lang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35648.373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4330621.206</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97802.238</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14025.324</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171683.339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73881.101</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25404.126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-343358.630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198202.114</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28423.162</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171683.339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-26518.775</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25404.126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123244.648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298601.990</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42821.000</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171683.339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-126918.651</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25404.126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589847.927</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399001.866</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57218.839</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171683.339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-227318.527</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25404.126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1056451.205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499401.741</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6.973</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71616.677</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171683.339</w:t>
            </w:r>
          </w:p>
        </w:tc>
        <w:tc>
          <w:tcPr>
            <w:tcW w:w="56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-327718.402</w:t>
            </w:r>
          </w:p>
        </w:tc>
        <w:tc>
          <w:tcPr>
            <w:tcW w:w="519"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6.758</w:t>
            </w:r>
          </w:p>
        </w:tc>
        <w:tc>
          <w:tcPr>
            <w:tcW w:w="57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-0.215</w:t>
            </w:r>
          </w:p>
        </w:tc>
        <w:tc>
          <w:tcPr>
            <w:tcW w:w="528"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25404.126</w:t>
            </w:r>
          </w:p>
        </w:tc>
        <w:tc>
          <w:tcPr>
            <w:tcW w:w="53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1523054.484</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83155.755</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11046.760</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147207.716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64051.961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19629.842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-2252602.360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166043.960</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22057.978</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147207.716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-18836.244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19629.842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662439.794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248932.166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33069.196</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147207.716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-101724.450</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19629.842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3577481.948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331820.371</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44080.414</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147207.716</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-184612.655</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19629.842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6492524.102</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10</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414708.576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55091.632</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147207.716</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-267500.860</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19629.842</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9407566.257</w:t>
            </w:r>
          </w:p>
        </w:tc>
      </w:tr>
    </w:tbl>
    <w:p>
      <w:pPr>
        <w:jc w:val="center"/>
        <w:rPr>
          <w:rFonts w:ascii="Times New Roman" w:hAnsi="Times New Roman" w:cs="Times New Roman"/>
        </w:rPr>
        <w:sectPr>
          <w:pgSz w:w="16838" w:h="11906" w:orient="landscape"/>
          <w:pgMar w:top="720" w:right="720" w:bottom="720" w:left="720" w:header="851" w:footer="992" w:gutter="0"/>
          <w:pgNumType w:fmt="decimal"/>
          <w:cols w:space="425" w:num="1"/>
          <w:docGrid w:type="lines" w:linePitch="312" w:charSpace="0"/>
        </w:sectPr>
      </w:pPr>
    </w:p>
    <w:p>
      <w:pPr>
        <w:jc w:val="center"/>
        <w:rPr>
          <w:rFonts w:ascii="Times New Roman" w:hAnsi="Times New Roman" w:cs="Times New Roman"/>
        </w:rPr>
      </w:pPr>
      <w:r>
        <w:rPr>
          <w:rFonts w:ascii="Times New Roman" w:hAnsi="Times New Roman" w:cs="Times New Roman"/>
          <w:b/>
          <w:bCs/>
        </w:rPr>
        <w:t>Table S26.</w:t>
      </w:r>
      <w:r>
        <w:rPr>
          <w:rFonts w:ascii="Times New Roman" w:hAnsi="Times New Roman" w:cs="Times New Roman"/>
        </w:rPr>
        <w:t xml:space="preserve"> The one-way sensitivity analysis with different numbers of ranibizumab injections from the Perspective of the Health Insurance Payer in 2024.</w:t>
      </w:r>
    </w:p>
    <w:tbl>
      <w:tblPr>
        <w:tblStyle w:val="16"/>
        <w:tblpPr w:leftFromText="180" w:rightFromText="180" w:horzAnchor="margin" w:tblpXSpec="center" w:tblpY="439"/>
        <w:tblW w:w="4896" w:type="pct"/>
        <w:tblInd w:w="0" w:type="dxa"/>
        <w:tblLayout w:type="fixed"/>
        <w:tblCellMar>
          <w:top w:w="0" w:type="dxa"/>
          <w:left w:w="108" w:type="dxa"/>
          <w:bottom w:w="0" w:type="dxa"/>
          <w:right w:w="108" w:type="dxa"/>
        </w:tblCellMar>
      </w:tblPr>
      <w:tblGrid>
        <w:gridCol w:w="1108"/>
        <w:gridCol w:w="2225"/>
        <w:gridCol w:w="1898"/>
        <w:gridCol w:w="1742"/>
        <w:gridCol w:w="1742"/>
        <w:gridCol w:w="1589"/>
        <w:gridCol w:w="1745"/>
        <w:gridCol w:w="1617"/>
        <w:gridCol w:w="1623"/>
      </w:tblGrid>
      <w:tr>
        <w:tblPrEx>
          <w:tblCellMar>
            <w:top w:w="0" w:type="dxa"/>
            <w:left w:w="108" w:type="dxa"/>
            <w:bottom w:w="0" w:type="dxa"/>
            <w:right w:w="108" w:type="dxa"/>
          </w:tblCellMar>
        </w:tblPrEx>
        <w:trPr>
          <w:trHeight w:val="688" w:hRule="atLeast"/>
        </w:trPr>
        <w:tc>
          <w:tcPr>
            <w:tcW w:w="363" w:type="pct"/>
            <w:tcBorders>
              <w:top w:val="single" w:color="000000" w:sz="12" w:space="0"/>
              <w:left w:val="nil"/>
              <w:bottom w:val="single" w:color="000000" w:sz="4" w:space="0"/>
              <w:right w:val="nil"/>
              <w:tl2br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Number of  ranibizumab injections</w:t>
            </w:r>
          </w:p>
        </w:tc>
        <w:tc>
          <w:tcPr>
            <w:tcW w:w="62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Strategy</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Cost (RMB)</w:t>
            </w:r>
          </w:p>
        </w:tc>
        <w:tc>
          <w:tcPr>
            <w:tcW w:w="56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costs</w:t>
            </w:r>
          </w:p>
        </w:tc>
        <w:tc>
          <w:tcPr>
            <w:tcW w:w="519"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Effectiveness (QALYs)</w:t>
            </w:r>
          </w:p>
        </w:tc>
        <w:tc>
          <w:tcPr>
            <w:tcW w:w="57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Incremental effectiveness</w:t>
            </w:r>
          </w:p>
        </w:tc>
        <w:tc>
          <w:tcPr>
            <w:tcW w:w="528"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CER</w:t>
            </w:r>
          </w:p>
        </w:tc>
        <w:tc>
          <w:tcPr>
            <w:tcW w:w="530" w:type="pct"/>
            <w:tcBorders>
              <w:top w:val="single" w:color="000000" w:sz="12" w:space="0"/>
              <w:left w:val="nil"/>
              <w:bottom w:val="single" w:color="000000" w:sz="4"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ICER</w:t>
            </w:r>
          </w:p>
        </w:tc>
      </w:tr>
      <w:tr>
        <w:tblPrEx>
          <w:tblCellMar>
            <w:top w:w="0" w:type="dxa"/>
            <w:left w:w="108" w:type="dxa"/>
            <w:bottom w:w="0" w:type="dxa"/>
            <w:right w:w="108" w:type="dxa"/>
          </w:tblCellMar>
        </w:tblPrEx>
        <w:trPr>
          <w:trHeight w:val="285" w:hRule="atLeast"/>
        </w:trPr>
        <w:tc>
          <w:tcPr>
            <w:tcW w:w="363" w:type="pct"/>
            <w:vMerge w:val="restar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AMD</w:t>
            </w:r>
          </w:p>
        </w:tc>
        <w:tc>
          <w:tcPr>
            <w:tcW w:w="2225" w:type="dxa"/>
            <w:vMerge w:val="restart"/>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0" w:type="pct"/>
            <w:tcBorders>
              <w:top w:val="single" w:color="000000" w:sz="4" w:space="0"/>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120406.512 </w:t>
            </w:r>
          </w:p>
        </w:tc>
        <w:tc>
          <w:tcPr>
            <w:tcW w:w="1742"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single" w:color="000000" w:sz="4" w:space="0"/>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15388.648 </w:t>
            </w:r>
          </w:p>
        </w:tc>
        <w:tc>
          <w:tcPr>
            <w:tcW w:w="1623" w:type="dxa"/>
            <w:tcBorders>
              <w:top w:val="single" w:color="000000" w:sz="4" w:space="0"/>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92155.391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28251.121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10855.139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-42470.698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120406.512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15388.648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170833.818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50427.306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20122.804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75808.776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120406.512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15388.648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249512.244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129105.732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29390.469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194088.250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120406.512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15388.648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328190.671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207784.159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38658.134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312367.725 </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120406.512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Times New Roman" w:hAnsi="Times New Roman" w:eastAsia="宋体" w:cs="Times New Roman"/>
                <w:i w:val="0"/>
                <w:iCs w:val="0"/>
                <w:color w:val="000000"/>
                <w:kern w:val="0"/>
                <w:sz w:val="22"/>
                <w:szCs w:val="22"/>
                <w:u w:val="none"/>
                <w:lang w:val="en-US" w:eastAsia="zh-CN" w:bidi="ar"/>
              </w:rPr>
              <w:t>824</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15388.648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 xml:space="preserve"> </w:t>
            </w:r>
          </w:p>
        </w:tc>
      </w:tr>
      <w:tr>
        <w:tblPrEx>
          <w:tblCellMar>
            <w:top w:w="0" w:type="dxa"/>
            <w:left w:w="108" w:type="dxa"/>
            <w:bottom w:w="0" w:type="dxa"/>
            <w:right w:w="108" w:type="dxa"/>
          </w:tblCellMar>
        </w:tblPrEx>
        <w:trPr>
          <w:trHeight w:val="296"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406869.097 </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286462.585 </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8.490</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i w:val="0"/>
                <w:iCs w:val="0"/>
                <w:color w:val="000000"/>
                <w:kern w:val="0"/>
                <w:sz w:val="22"/>
                <w:szCs w:val="22"/>
                <w:u w:val="none"/>
                <w:lang w:val="en-US" w:eastAsia="zh-CN" w:bidi="ar"/>
              </w:rPr>
              <w:t>0.665</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47925.798 </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 xml:space="preserve">430647.199 </w:t>
            </w:r>
          </w:p>
        </w:tc>
      </w:tr>
      <w:tr>
        <w:tblPrEx>
          <w:tblCellMar>
            <w:top w:w="0" w:type="dxa"/>
            <w:left w:w="108" w:type="dxa"/>
            <w:bottom w:w="0" w:type="dxa"/>
            <w:right w:w="108" w:type="dxa"/>
          </w:tblCellMar>
        </w:tblPrEx>
        <w:trPr>
          <w:trHeight w:val="90"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BRVO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157797.093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11433.635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94864.132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62932.960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18907.205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1286028.895</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157797.093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18907.205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163707.756</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5910.663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19731.112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-120783.823</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157797.093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18907.205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232551.379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74754.286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28028.588</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-1527596.540</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157797.093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18907.205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301395.002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143597.909</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36326.064</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-2934409.258</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157797.093</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8.346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18907.205</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370238.625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212441.533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8.297</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44623.540</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-4341221.976</w:t>
            </w:r>
          </w:p>
        </w:tc>
      </w:tr>
      <w:tr>
        <w:tblPrEx>
          <w:tblCellMar>
            <w:top w:w="0" w:type="dxa"/>
            <w:left w:w="108" w:type="dxa"/>
            <w:bottom w:w="0" w:type="dxa"/>
            <w:right w:w="108" w:type="dxa"/>
          </w:tblCellMar>
        </w:tblPrEx>
        <w:trPr>
          <w:trHeight w:val="285" w:hRule="atLeast"/>
        </w:trPr>
        <w:tc>
          <w:tcPr>
            <w:tcW w:w="363" w:type="pct"/>
            <w:vMerge w:val="restar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CRVO</w:t>
            </w: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179071.822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14593.302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118716.452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60355.370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21956.559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2910545.089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default" w:ascii="Times New Roman" w:hAnsi="Times New Roman" w:eastAsia="宋体" w:cs="Arial"/>
                <w:color w:val="000000"/>
                <w:kern w:val="0"/>
                <w:szCs w:val="21"/>
                <w:lang w:bidi="ar"/>
              </w:rPr>
              <w:t>2.75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179071.822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21956.559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187560.075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8488.253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23055.952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-409332.979</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4.5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179071.822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21956.559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256403.699</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77331.876</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31518.602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-3729211.047</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eastAsia="宋体" w:cs="Arial"/>
                <w:color w:val="000000"/>
                <w:kern w:val="0"/>
                <w:szCs w:val="21"/>
                <w:lang w:bidi="ar"/>
              </w:rPr>
              <w:t>6.2</w:t>
            </w:r>
            <w:r>
              <w:rPr>
                <w:rFonts w:hint="default" w:ascii="Times New Roman" w:hAnsi="Times New Roman" w:eastAsia="宋体" w:cs="Arial"/>
                <w:color w:val="000000"/>
                <w:kern w:val="0"/>
                <w:szCs w:val="21"/>
                <w:lang w:bidi="ar"/>
              </w:rPr>
              <w:t>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179071.822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21956.559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325247.322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146175.500</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39981.252</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-7049089.116</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line="300" w:lineRule="auto"/>
              <w:ind w:left="0" w:leftChars="0" w:right="0" w:rightChars="0"/>
              <w:jc w:val="center"/>
              <w:textAlignment w:val="bottom"/>
              <w:rPr>
                <w:rFonts w:hint="default" w:ascii="Times New Roman" w:hAnsi="Times New Roman" w:cs="Times New Roman"/>
              </w:rPr>
            </w:pPr>
            <w:r>
              <w:rPr>
                <w:rFonts w:hint="eastAsia" w:ascii="Times New Roman" w:hAnsi="Times New Roman" w:cs="Arial"/>
                <w:color w:val="000000"/>
                <w:szCs w:val="21"/>
              </w:rPr>
              <w:t>8</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179071.822</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8.156</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21956.559</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394090.945</w:t>
            </w:r>
          </w:p>
        </w:tc>
        <w:tc>
          <w:tcPr>
            <w:tcW w:w="1742"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215019.123</w:t>
            </w:r>
          </w:p>
        </w:tc>
        <w:tc>
          <w:tcPr>
            <w:tcW w:w="1589"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8.135</w:t>
            </w:r>
          </w:p>
        </w:tc>
        <w:tc>
          <w:tcPr>
            <w:tcW w:w="1745"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-0.021</w:t>
            </w:r>
          </w:p>
        </w:tc>
        <w:tc>
          <w:tcPr>
            <w:tcW w:w="1617"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48443.903</w:t>
            </w:r>
          </w:p>
        </w:tc>
        <w:tc>
          <w:tcPr>
            <w:tcW w:w="1623" w:type="dxa"/>
            <w:tcBorders>
              <w:top w:val="nil"/>
              <w:left w:val="nil"/>
              <w:bottom w:val="nil"/>
              <w:right w:val="nil"/>
            </w:tcBorders>
            <w:shd w:val="clear" w:color="auto" w:fill="FFFFFF"/>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-10368967.184</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DME</w:t>
            </w: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default" w:ascii="Times New Roman" w:hAnsi="Times New Roman"/>
                <w:sz w:val="21"/>
                <w:szCs w:val="22"/>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174106.144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24967.681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96545.442</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-77560.702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14285.909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360459.389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3.75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174106.144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24967.681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204728.278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30622.134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30293.814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-142314.800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6.5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174106.144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24967.681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312911.115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138804.971</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46301.718</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-645088.990</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rPr>
              <w:t>9.25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174106.144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24967.681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421093.951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246987.807</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62309.622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-1147863.179</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225" w:type="dxa"/>
            <w:vMerge w:val="restart"/>
            <w:tcBorders>
              <w:top w:val="nil"/>
              <w:left w:val="nil"/>
              <w:right w:val="nil"/>
            </w:tcBorders>
            <w:shd w:val="clear" w:color="auto" w:fill="FFFFFF"/>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rPr>
            </w:pPr>
            <w:r>
              <w:rPr>
                <w:rFonts w:hint="eastAsia" w:ascii="Times New Roman" w:hAnsi="Times New Roman" w:cs="Times New Roman"/>
                <w:lang w:val="en-US" w:eastAsia="zh-CN"/>
              </w:rPr>
              <w:t>12</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174106.144</w:t>
            </w:r>
          </w:p>
        </w:tc>
        <w:tc>
          <w:tcPr>
            <w:tcW w:w="1742"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6.973</w:t>
            </w:r>
          </w:p>
        </w:tc>
        <w:tc>
          <w:tcPr>
            <w:tcW w:w="1745"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24967.681</w:t>
            </w:r>
          </w:p>
        </w:tc>
        <w:tc>
          <w:tcPr>
            <w:tcW w:w="1623" w:type="dxa"/>
            <w:tcBorders>
              <w:top w:val="nil"/>
              <w:left w:val="nil"/>
              <w:bottom w:val="nil"/>
              <w:right w:val="nil"/>
            </w:tcBorders>
            <w:shd w:val="clear" w:color="auto" w:fill="FFFFFF"/>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529276.788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355170.644</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6.758</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lang w:val="en-US" w:eastAsia="zh-CN" w:bidi="ar"/>
              </w:rPr>
              <w:t>-0.215</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78317.526</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lang w:val="en-US" w:eastAsia="zh-CN" w:bidi="ar"/>
              </w:rPr>
              <w:t>-1650637.369</w:t>
            </w:r>
          </w:p>
        </w:tc>
      </w:tr>
      <w:tr>
        <w:tblPrEx>
          <w:tblCellMar>
            <w:top w:w="0" w:type="dxa"/>
            <w:left w:w="108" w:type="dxa"/>
            <w:bottom w:w="0" w:type="dxa"/>
            <w:right w:w="108" w:type="dxa"/>
          </w:tblCellMar>
        </w:tblPrEx>
        <w:trPr>
          <w:trHeight w:val="285" w:hRule="atLeast"/>
        </w:trPr>
        <w:tc>
          <w:tcPr>
            <w:tcW w:w="363"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130678.326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17359.859</w:t>
            </w:r>
          </w:p>
        </w:tc>
        <w:tc>
          <w:tcPr>
            <w:tcW w:w="1623"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88592.288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-42086.038</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11813.597</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1480096.875</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130678.326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17359.859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137766.305</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7087.979</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18370.849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-249272.588</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130678.326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17359.859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186940.321</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56261.996</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24928.102</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-1978642.051</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top w:val="nil"/>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4.75</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130678.326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17359.859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236114.338</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105436.012</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31485.354</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-3708011.514</w:t>
            </w:r>
          </w:p>
        </w:tc>
      </w:tr>
      <w:tr>
        <w:tblPrEx>
          <w:tblCellMar>
            <w:top w:w="0" w:type="dxa"/>
            <w:left w:w="108" w:type="dxa"/>
            <w:bottom w:w="0" w:type="dxa"/>
            <w:right w:w="108" w:type="dxa"/>
          </w:tblCellMar>
        </w:tblPrEx>
        <w:trPr>
          <w:trHeight w:val="285" w:hRule="atLeast"/>
        </w:trPr>
        <w:tc>
          <w:tcPr>
            <w:tcW w:w="363" w:type="pct"/>
            <w:vMerge w:val="continue"/>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restart"/>
            <w:tcBorders>
              <w:left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w:t>
            </w:r>
          </w:p>
        </w:tc>
        <w:tc>
          <w:tcPr>
            <w:tcW w:w="620" w:type="pct"/>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Conbercept</w:t>
            </w:r>
          </w:p>
        </w:tc>
        <w:tc>
          <w:tcPr>
            <w:tcW w:w="1742"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130678.326</w:t>
            </w:r>
          </w:p>
        </w:tc>
        <w:tc>
          <w:tcPr>
            <w:tcW w:w="1742"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589"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7.528</w:t>
            </w:r>
          </w:p>
        </w:tc>
        <w:tc>
          <w:tcPr>
            <w:tcW w:w="1745" w:type="dxa"/>
            <w:tcBorders>
              <w:top w:val="nil"/>
              <w:left w:val="nil"/>
              <w:bottom w:val="nil"/>
              <w:right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c>
          <w:tcPr>
            <w:tcW w:w="1617"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17359.859</w:t>
            </w:r>
          </w:p>
        </w:tc>
        <w:tc>
          <w:tcPr>
            <w:tcW w:w="1623" w:type="dxa"/>
            <w:tcBorders>
              <w:top w:val="nil"/>
              <w:left w:val="nil"/>
              <w:bottom w:val="nil"/>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eastAsia" w:ascii="Times New Roman" w:hAnsi="Times New Roman" w:eastAsia="宋体" w:cs="Times New Roman"/>
                <w:color w:val="000000"/>
                <w:kern w:val="0"/>
                <w:sz w:val="21"/>
                <w:szCs w:val="21"/>
                <w:lang w:val="en-US" w:eastAsia="zh-CN" w:bidi="ar"/>
              </w:rPr>
              <w:t>-</w:t>
            </w:r>
          </w:p>
        </w:tc>
      </w:tr>
      <w:tr>
        <w:tblPrEx>
          <w:tblCellMar>
            <w:top w:w="0" w:type="dxa"/>
            <w:left w:w="108" w:type="dxa"/>
            <w:bottom w:w="0" w:type="dxa"/>
            <w:right w:w="108" w:type="dxa"/>
          </w:tblCellMar>
        </w:tblPrEx>
        <w:trPr>
          <w:trHeight w:val="285" w:hRule="atLeast"/>
        </w:trPr>
        <w:tc>
          <w:tcPr>
            <w:tcW w:w="363"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727" w:type="pct"/>
            <w:vMerge w:val="continue"/>
            <w:tcBorders>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620" w:type="pct"/>
            <w:tcBorders>
              <w:top w:val="nil"/>
              <w:left w:val="nil"/>
              <w:bottom w:val="single" w:color="000000" w:sz="12" w:space="0"/>
              <w:right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Ranibizumab</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285288.355</w:t>
            </w:r>
          </w:p>
        </w:tc>
        <w:tc>
          <w:tcPr>
            <w:tcW w:w="1742"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154610.029</w:t>
            </w:r>
          </w:p>
        </w:tc>
        <w:tc>
          <w:tcPr>
            <w:tcW w:w="1589"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7.499</w:t>
            </w:r>
          </w:p>
        </w:tc>
        <w:tc>
          <w:tcPr>
            <w:tcW w:w="1745"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617"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38042.607</w:t>
            </w:r>
          </w:p>
        </w:tc>
        <w:tc>
          <w:tcPr>
            <w:tcW w:w="1623" w:type="dxa"/>
            <w:tcBorders>
              <w:top w:val="nil"/>
              <w:left w:val="nil"/>
              <w:bottom w:val="single" w:color="000000" w:sz="12" w:space="0"/>
              <w:right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-5437380.977</w:t>
            </w:r>
          </w:p>
        </w:tc>
      </w:tr>
    </w:tbl>
    <w:p>
      <w:pPr>
        <w:jc w:val="center"/>
        <w:rPr>
          <w:rFonts w:ascii="Times New Roman" w:hAnsi="Times New Roman" w:cs="Times New Roman"/>
        </w:rPr>
      </w:pPr>
    </w:p>
    <w:sectPr>
      <w:pgSz w:w="16838" w:h="11906" w:orient="landscape"/>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ahBMgBAACZ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3Hsjlsc+Pnnj/Ovx/PDd/I2&#10;y9MHqDHrLmBeGt77AZdm9gM6M+tBRZu/yIdgHMU9XcSVQyIiP1otV6sKQwJj8wXx2dPzECF9kN6S&#10;bDQ04vSKqPz4CdKYOqfkas7famPKBI37y4GY2cNy72OP2UrDbpgI7Xx7Qj49Dr6hDvecEvPRoa55&#10;R2YjzsZuNg4h6n1XlijXg/DukLCJ0luuMMJOhXFihd20XXkl/ryXrKc/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oGoQTIAQAAmQMAAA4AAAAAAAAAAQAgAAAAHgEAAGRycy9lMm9Eb2Mu&#10;eG1sUEsFBgAAAAAGAAYAWQEAAFg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ZnsscBAACZ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LEcYsDv3z/dvnx6/LzK6mz&#10;PEOABrPuA+al8Y0fcWkWP6Azsx5VtPmLfAjGUdzzVVw5JiLyo3pd1xWGBMaWC+Kzh+chQnorvSXZ&#10;aGnE6RVR+ek9pCl1ScnVnL/TxpQJGveXAzGzh+Xepx6zlcb9OBPa++6MfAYcfEsd7jkl5p1DXfOO&#10;LEZcjP1iHEPUh74sUa4H4fUxYROlt1xhgp0L48QKu3m78kr8eS9ZD3/U9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JNZnsscBAACZAwAADgAAAAAAAAABACAAAAAeAQAAZHJzL2Uyb0RvYy54&#10;bWxQSwUGAAAAAAYABgBZAQAAVw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2"/>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1AB2B"/>
    <w:multiLevelType w:val="multilevel"/>
    <w:tmpl w:val="9281AB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9AE5742"/>
    <w:multiLevelType w:val="multilevel"/>
    <w:tmpl w:val="99AE574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AA9441D9"/>
    <w:multiLevelType w:val="singleLevel"/>
    <w:tmpl w:val="AA9441D9"/>
    <w:lvl w:ilvl="0" w:tentative="0">
      <w:start w:val="1"/>
      <w:numFmt w:val="decimal"/>
      <w:lvlText w:val="(%1)"/>
      <w:lvlJc w:val="left"/>
      <w:pPr>
        <w:ind w:left="425" w:hanging="425"/>
      </w:pPr>
      <w:rPr>
        <w:rFonts w:hint="default"/>
      </w:rPr>
    </w:lvl>
  </w:abstractNum>
  <w:abstractNum w:abstractNumId="3">
    <w:nsid w:val="CD313AC6"/>
    <w:multiLevelType w:val="multilevel"/>
    <w:tmpl w:val="CD313A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62F5846"/>
    <w:multiLevelType w:val="multilevel"/>
    <w:tmpl w:val="062F58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7C07890"/>
    <w:multiLevelType w:val="multilevel"/>
    <w:tmpl w:val="07C0789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EC55EA1"/>
    <w:multiLevelType w:val="multilevel"/>
    <w:tmpl w:val="0EC55E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3C7B243"/>
    <w:multiLevelType w:val="multilevel"/>
    <w:tmpl w:val="13C7B2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E9E47DB"/>
    <w:multiLevelType w:val="multilevel"/>
    <w:tmpl w:val="1E9E47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30B42A48"/>
    <w:multiLevelType w:val="multilevel"/>
    <w:tmpl w:val="30B42A4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30ED0457"/>
    <w:multiLevelType w:val="multilevel"/>
    <w:tmpl w:val="30ED045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A1570FE"/>
    <w:multiLevelType w:val="multilevel"/>
    <w:tmpl w:val="4A1570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A20392B"/>
    <w:multiLevelType w:val="multilevel"/>
    <w:tmpl w:val="4A2039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59FCBA73"/>
    <w:multiLevelType w:val="multilevel"/>
    <w:tmpl w:val="59FCBA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45768AD"/>
    <w:multiLevelType w:val="singleLevel"/>
    <w:tmpl w:val="645768AD"/>
    <w:lvl w:ilvl="0" w:tentative="0">
      <w:start w:val="1"/>
      <w:numFmt w:val="decimal"/>
      <w:lvlText w:val="(%1)"/>
      <w:lvlJc w:val="left"/>
      <w:pPr>
        <w:ind w:left="425" w:hanging="425"/>
      </w:pPr>
      <w:rPr>
        <w:rFonts w:hint="default"/>
      </w:rPr>
    </w:lvl>
  </w:abstractNum>
  <w:abstractNum w:abstractNumId="15">
    <w:nsid w:val="6C472234"/>
    <w:multiLevelType w:val="multilevel"/>
    <w:tmpl w:val="6C4722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2C36EB0"/>
    <w:multiLevelType w:val="multilevel"/>
    <w:tmpl w:val="72C36E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6"/>
  </w:num>
  <w:num w:numId="3">
    <w:abstractNumId w:val="9"/>
  </w:num>
  <w:num w:numId="4">
    <w:abstractNumId w:val="1"/>
  </w:num>
  <w:num w:numId="5">
    <w:abstractNumId w:val="5"/>
  </w:num>
  <w:num w:numId="6">
    <w:abstractNumId w:val="0"/>
  </w:num>
  <w:num w:numId="7">
    <w:abstractNumId w:val="3"/>
  </w:num>
  <w:num w:numId="8">
    <w:abstractNumId w:val="15"/>
  </w:num>
  <w:num w:numId="9">
    <w:abstractNumId w:val="4"/>
  </w:num>
  <w:num w:numId="10">
    <w:abstractNumId w:val="2"/>
  </w:num>
  <w:num w:numId="11">
    <w:abstractNumId w:val="12"/>
  </w:num>
  <w:num w:numId="12">
    <w:abstractNumId w:val="10"/>
  </w:num>
  <w:num w:numId="13">
    <w:abstractNumId w:val="8"/>
  </w:num>
  <w:num w:numId="14">
    <w:abstractNumId w:val="6"/>
  </w:num>
  <w:num w:numId="15">
    <w:abstractNumId w:val="14"/>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OGVkYTIwM2RjNjczY2RkZmY4MDQ0ZjJmM2YxM2MifQ=="/>
    <w:docVar w:name="KSO_WPS_MARK_KEY" w:val="a8cba766-4a97-46d6-b73f-c65b3d5704f5"/>
  </w:docVars>
  <w:rsids>
    <w:rsidRoot w:val="00172A27"/>
    <w:rsid w:val="00053843"/>
    <w:rsid w:val="00172A27"/>
    <w:rsid w:val="00746734"/>
    <w:rsid w:val="007A73F5"/>
    <w:rsid w:val="00B63F18"/>
    <w:rsid w:val="00B85808"/>
    <w:rsid w:val="00C7652D"/>
    <w:rsid w:val="00DD2BC9"/>
    <w:rsid w:val="00F47B59"/>
    <w:rsid w:val="01806FCE"/>
    <w:rsid w:val="036C666C"/>
    <w:rsid w:val="05C17772"/>
    <w:rsid w:val="05D46DC4"/>
    <w:rsid w:val="09A432A2"/>
    <w:rsid w:val="0A5257E5"/>
    <w:rsid w:val="16F540FF"/>
    <w:rsid w:val="172369A5"/>
    <w:rsid w:val="18FD3E6D"/>
    <w:rsid w:val="1B5141E9"/>
    <w:rsid w:val="1EA774B8"/>
    <w:rsid w:val="1FAA11BB"/>
    <w:rsid w:val="22E744D4"/>
    <w:rsid w:val="233C191F"/>
    <w:rsid w:val="23DC0E01"/>
    <w:rsid w:val="25257535"/>
    <w:rsid w:val="268362C1"/>
    <w:rsid w:val="2C900DEA"/>
    <w:rsid w:val="306577D8"/>
    <w:rsid w:val="315C0ED4"/>
    <w:rsid w:val="34AD337D"/>
    <w:rsid w:val="389839BD"/>
    <w:rsid w:val="3F4326E3"/>
    <w:rsid w:val="427E2307"/>
    <w:rsid w:val="48B003D5"/>
    <w:rsid w:val="4A855409"/>
    <w:rsid w:val="4FA904C1"/>
    <w:rsid w:val="50701DE8"/>
    <w:rsid w:val="577D0CA1"/>
    <w:rsid w:val="5B5279BC"/>
    <w:rsid w:val="5DF90991"/>
    <w:rsid w:val="618C1A96"/>
    <w:rsid w:val="62050A10"/>
    <w:rsid w:val="631365EB"/>
    <w:rsid w:val="6B6F419B"/>
    <w:rsid w:val="70D80A09"/>
    <w:rsid w:val="75453C53"/>
    <w:rsid w:val="75A24CF7"/>
    <w:rsid w:val="769059FA"/>
    <w:rsid w:val="799E680F"/>
    <w:rsid w:val="7AC20838"/>
    <w:rsid w:val="7C876E4B"/>
    <w:rsid w:val="7C9031FE"/>
    <w:rsid w:val="7D541AA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Balloon Text"/>
    <w:basedOn w:val="1"/>
    <w:link w:val="37"/>
    <w:semiHidden/>
    <w:unhideWhenUsed/>
    <w:qFormat/>
    <w:uiPriority w:val="99"/>
    <w:rPr>
      <w:sz w:val="18"/>
      <w:szCs w:val="18"/>
    </w:rPr>
  </w:style>
  <w:style w:type="paragraph" w:styleId="12">
    <w:name w:val="footer"/>
    <w:basedOn w:val="1"/>
    <w:semiHidden/>
    <w:unhideWhenUsed/>
    <w:qFormat/>
    <w:uiPriority w:val="99"/>
    <w:pPr>
      <w:tabs>
        <w:tab w:val="center" w:pos="4153"/>
        <w:tab w:val="right" w:pos="8306"/>
      </w:tabs>
      <w:snapToGrid w:val="0"/>
      <w:jc w:val="left"/>
    </w:pPr>
    <w:rPr>
      <w:sz w:val="18"/>
    </w:rPr>
  </w:style>
  <w:style w:type="paragraph" w:styleId="1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标题 1 Char"/>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Char"/>
    <w:basedOn w:val="18"/>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1">
    <w:name w:val="标题 3 Char"/>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Char"/>
    <w:basedOn w:val="18"/>
    <w:link w:val="5"/>
    <w:semiHidden/>
    <w:qFormat/>
    <w:uiPriority w:val="9"/>
    <w:rPr>
      <w:rFonts w:cstheme="majorBidi"/>
      <w:color w:val="2F5597" w:themeColor="accent1" w:themeShade="BF"/>
      <w:sz w:val="28"/>
      <w:szCs w:val="28"/>
    </w:rPr>
  </w:style>
  <w:style w:type="character" w:customStyle="1" w:styleId="23">
    <w:name w:val="标题 5 Char"/>
    <w:basedOn w:val="18"/>
    <w:link w:val="6"/>
    <w:semiHidden/>
    <w:qFormat/>
    <w:uiPriority w:val="9"/>
    <w:rPr>
      <w:rFonts w:cstheme="majorBidi"/>
      <w:color w:val="2F5597" w:themeColor="accent1" w:themeShade="BF"/>
      <w:sz w:val="24"/>
      <w:szCs w:val="24"/>
    </w:rPr>
  </w:style>
  <w:style w:type="character" w:customStyle="1" w:styleId="24">
    <w:name w:val="标题 6 Char"/>
    <w:basedOn w:val="18"/>
    <w:link w:val="7"/>
    <w:semiHidden/>
    <w:qFormat/>
    <w:uiPriority w:val="9"/>
    <w:rPr>
      <w:rFonts w:cstheme="majorBidi"/>
      <w:b/>
      <w:bCs/>
      <w:color w:val="2F5597" w:themeColor="accent1" w:themeShade="BF"/>
    </w:rPr>
  </w:style>
  <w:style w:type="character" w:customStyle="1" w:styleId="25">
    <w:name w:val="标题 7 Char"/>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Char"/>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Char"/>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Char"/>
    <w:basedOn w:val="18"/>
    <w:link w:val="15"/>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Char"/>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8"/>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Char"/>
    <w:basedOn w:val="18"/>
    <w:link w:val="34"/>
    <w:qFormat/>
    <w:uiPriority w:val="30"/>
    <w:rPr>
      <w:i/>
      <w:iCs/>
      <w:color w:val="2F5597" w:themeColor="accent1" w:themeShade="BF"/>
    </w:rPr>
  </w:style>
  <w:style w:type="character" w:customStyle="1" w:styleId="36">
    <w:name w:val="明显参考1"/>
    <w:basedOn w:val="18"/>
    <w:qFormat/>
    <w:uiPriority w:val="32"/>
    <w:rPr>
      <w:b/>
      <w:bCs/>
      <w:smallCaps/>
      <w:color w:val="2F5597" w:themeColor="accent1" w:themeShade="BF"/>
      <w:spacing w:val="5"/>
    </w:rPr>
  </w:style>
  <w:style w:type="character" w:customStyle="1" w:styleId="37">
    <w:name w:val="批注框文本 Char"/>
    <w:basedOn w:val="18"/>
    <w:link w:val="11"/>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12642</Words>
  <Characters>80068</Characters>
  <Lines>1</Lines>
  <Paragraphs>1</Paragraphs>
  <TotalTime>113</TotalTime>
  <ScaleCrop>false</ScaleCrop>
  <LinksUpToDate>false</LinksUpToDate>
  <CharactersWithSpaces>85222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2025-04-08T02:59:00Z</dcterms:created>
  <dc:creator>雅文 秦</dc:creator>
  <cp:lastModifiedBy>旺仔</cp:lastModifiedBy>
  <dcterms:modified xsi:type="dcterms:W3CDTF">2025-05-21T02:00:31Z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94F4C9DF69174362BF4CA43A42A81832</vt:lpwstr>
  </property>
  <property fmtid="{D5CDD505-2E9C-101B-9397-08002B2CF9AE}" pid="4" name="KSOTemplateDocerSaveRecord">
    <vt:lpwstr>eyJoZGlkIjoiNzBlNTE4ZjdiZjZkYTljMDM1MmFhZDVhZTFlODk1NWQiLCJ1c2VySWQiOiI0MjM2NDA1NjUifQ==</vt:lpwstr>
  </property>
</Properties>
</file>