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76D1C1" w14:textId="7BBFFA32" w:rsidR="00F34179" w:rsidRDefault="00F34179" w:rsidP="0067259C">
      <w:pPr>
        <w:jc w:val="both"/>
      </w:pPr>
      <w:bookmarkStart w:id="0" w:name="_Hlk201836879"/>
      <w:bookmarkEnd w:id="0"/>
      <w:r>
        <w:t>Supplementary Information.</w:t>
      </w:r>
    </w:p>
    <w:p w14:paraId="211EF5DD" w14:textId="1A22932D" w:rsidR="00F34179" w:rsidRPr="00C03ADA" w:rsidRDefault="00F34179" w:rsidP="00F34179">
      <w:pPr>
        <w:jc w:val="center"/>
        <w:rPr>
          <w:b/>
          <w:bCs/>
          <w:sz w:val="24"/>
          <w:szCs w:val="24"/>
        </w:rPr>
      </w:pPr>
      <w:r w:rsidRPr="00C03ADA">
        <w:rPr>
          <w:b/>
          <w:bCs/>
          <w:sz w:val="24"/>
          <w:szCs w:val="24"/>
        </w:rPr>
        <w:t>Wavelength-Dependent Feedback Behavior in Light-Gated Polymersome Nanoreactors</w:t>
      </w:r>
    </w:p>
    <w:p w14:paraId="4C9ACBF9" w14:textId="77777777" w:rsidR="00881DBF" w:rsidRDefault="00F34179" w:rsidP="00F34179">
      <w:pPr>
        <w:jc w:val="center"/>
      </w:pPr>
      <w:r w:rsidRPr="00C03ADA">
        <w:t>Uthaya Lathan</w:t>
      </w:r>
      <w:r>
        <w:rPr>
          <w:rFonts w:ascii="Ubuntu" w:hAnsi="Ubuntu"/>
          <w:vertAlign w:val="superscript"/>
        </w:rPr>
        <w:t>1</w:t>
      </w:r>
      <w:r w:rsidR="00221D6E" w:rsidRPr="00BC20EC">
        <w:rPr>
          <w:rFonts w:ascii="Calibri" w:hAnsi="Calibri" w:cs="Calibri"/>
          <w:vertAlign w:val="superscript"/>
        </w:rPr>
        <w:t>ǂ</w:t>
      </w:r>
      <w:r w:rsidRPr="00C03ADA">
        <w:t>, Beyzanur Kaya</w:t>
      </w:r>
      <w:r w:rsidRPr="00C03ADA">
        <w:rPr>
          <w:vertAlign w:val="superscript"/>
        </w:rPr>
        <w:t>1</w:t>
      </w:r>
      <w:r w:rsidR="00221D6E" w:rsidRPr="00BC20EC">
        <w:rPr>
          <w:rFonts w:ascii="Calibri" w:hAnsi="Calibri" w:cs="Calibri"/>
          <w:vertAlign w:val="superscript"/>
        </w:rPr>
        <w:t>ǂ</w:t>
      </w:r>
      <w:r w:rsidRPr="00C03ADA">
        <w:t>, Farzina Matubbar</w:t>
      </w:r>
      <w:r>
        <w:rPr>
          <w:rFonts w:ascii="Ubuntu" w:hAnsi="Ubuntu"/>
          <w:vertAlign w:val="superscript"/>
        </w:rPr>
        <w:t>1</w:t>
      </w:r>
      <w:r w:rsidRPr="00C03ADA">
        <w:t>, Mohamed Chami</w:t>
      </w:r>
      <w:r w:rsidRPr="00C03ADA">
        <w:rPr>
          <w:vertAlign w:val="superscript"/>
        </w:rPr>
        <w:t>2</w:t>
      </w:r>
      <w:r w:rsidRPr="00C03ADA">
        <w:t>, Jonathan</w:t>
      </w:r>
      <w:r>
        <w:t xml:space="preserve"> Yeow</w:t>
      </w:r>
      <w:r w:rsidRPr="00C03ADA">
        <w:rPr>
          <w:vertAlign w:val="superscript"/>
        </w:rPr>
        <w:t>3</w:t>
      </w:r>
      <w:r>
        <w:t xml:space="preserve">, </w:t>
      </w:r>
    </w:p>
    <w:p w14:paraId="676B7972" w14:textId="786B6F53" w:rsidR="00F34179" w:rsidRDefault="00F34179" w:rsidP="00F34179">
      <w:pPr>
        <w:jc w:val="center"/>
      </w:pPr>
      <w:r>
        <w:t>Omar Rifaie-Graham</w:t>
      </w:r>
      <w:r>
        <w:rPr>
          <w:rFonts w:ascii="Ubuntu" w:hAnsi="Ubuntu"/>
          <w:vertAlign w:val="superscript"/>
        </w:rPr>
        <w:t>1</w:t>
      </w:r>
      <w:r>
        <w:t>*</w:t>
      </w:r>
    </w:p>
    <w:p w14:paraId="19D3576C" w14:textId="77777777" w:rsidR="00F34179" w:rsidRDefault="00F34179" w:rsidP="00F34179">
      <w:pPr>
        <w:jc w:val="both"/>
      </w:pPr>
      <w:r w:rsidRPr="00C03ADA">
        <w:rPr>
          <w:vertAlign w:val="superscript"/>
        </w:rPr>
        <w:t>1</w:t>
      </w:r>
      <w:r w:rsidRPr="00C03ADA">
        <w:t>Department of Chemistry, School of Physical and Chemical Sciences, Queen Mary University of London, London, E1 4NS United Kingdom</w:t>
      </w:r>
    </w:p>
    <w:p w14:paraId="5BCD9144" w14:textId="77777777" w:rsidR="00F34179" w:rsidRDefault="00F34179" w:rsidP="00F34179">
      <w:pPr>
        <w:jc w:val="both"/>
      </w:pPr>
      <w:r w:rsidRPr="00C03ADA">
        <w:rPr>
          <w:vertAlign w:val="superscript"/>
        </w:rPr>
        <w:t>2</w:t>
      </w:r>
      <w:r w:rsidRPr="00C03ADA">
        <w:t>BioEM Lab, Biozentrum, University of Basel, Basel, 4058 Switzerland</w:t>
      </w:r>
    </w:p>
    <w:p w14:paraId="784ABF08" w14:textId="77777777" w:rsidR="00F34179" w:rsidRDefault="00F34179" w:rsidP="00F34179">
      <w:pPr>
        <w:jc w:val="both"/>
      </w:pPr>
      <w:r w:rsidRPr="004E5B22">
        <w:rPr>
          <w:vertAlign w:val="superscript"/>
        </w:rPr>
        <w:t>3</w:t>
      </w:r>
      <w:r w:rsidRPr="004E5B22">
        <w:t>Graduate School of Biomedical Engineering, University of New South Wales, Sydney, NSW, 2052 Australia</w:t>
      </w:r>
    </w:p>
    <w:p w14:paraId="73D9FF9C" w14:textId="212CCACF" w:rsidR="00221D6E" w:rsidRPr="004E5B22" w:rsidRDefault="00221D6E" w:rsidP="00F34179">
      <w:pPr>
        <w:jc w:val="both"/>
      </w:pPr>
      <w:r w:rsidRPr="00BC20EC">
        <w:rPr>
          <w:rFonts w:ascii="Calibri" w:hAnsi="Calibri" w:cs="Calibri"/>
          <w:vertAlign w:val="superscript"/>
        </w:rPr>
        <w:t>ǂ</w:t>
      </w:r>
      <w:r w:rsidRPr="00BC20EC">
        <w:t>Authors contributed equally</w:t>
      </w:r>
    </w:p>
    <w:p w14:paraId="6408F772" w14:textId="1B064708" w:rsidR="00F34179" w:rsidRDefault="00F34179" w:rsidP="00F34179">
      <w:pPr>
        <w:jc w:val="both"/>
      </w:pPr>
      <w:r w:rsidRPr="004E5B22">
        <w:t xml:space="preserve">Correspondence: </w:t>
      </w:r>
      <w:hyperlink r:id="rId4" w:history="1">
        <w:r w:rsidR="008B2790" w:rsidRPr="00C553A3">
          <w:rPr>
            <w:rStyle w:val="Hyperlink"/>
          </w:rPr>
          <w:t>o.rifaiegraham@qmul.ac.uk</w:t>
        </w:r>
      </w:hyperlink>
    </w:p>
    <w:p w14:paraId="026BF1C7" w14:textId="3FE5D3A8" w:rsidR="0067259C" w:rsidRDefault="00F01FE3" w:rsidP="0067259C">
      <w:pPr>
        <w:jc w:val="both"/>
      </w:pPr>
      <w:bookmarkStart w:id="1" w:name="_Hlk204322298"/>
      <w:r>
        <w:rPr>
          <w:b/>
          <w:bCs/>
        </w:rPr>
        <w:t xml:space="preserve">Supplementary Section 1. </w:t>
      </w:r>
      <w:r w:rsidR="005E43C9">
        <w:rPr>
          <w:b/>
          <w:bCs/>
        </w:rPr>
        <w:t>Structural analysis</w:t>
      </w:r>
      <w:r w:rsidR="00487B09">
        <w:rPr>
          <w:b/>
          <w:bCs/>
        </w:rPr>
        <w:t xml:space="preserve"> of the PYRA polymer</w:t>
      </w:r>
      <w:r w:rsidR="0067259C" w:rsidRPr="0067259C">
        <w:rPr>
          <w:b/>
          <w:bCs/>
        </w:rPr>
        <w:t xml:space="preserve">. </w:t>
      </w:r>
      <w:r w:rsidR="0067259C" w:rsidRPr="0067259C">
        <w:t>GPC analysis indicated that the polymer exhibited a dispersity (</w:t>
      </w:r>
      <w:r w:rsidR="0067259C" w:rsidRPr="0067259C">
        <w:rPr>
          <w:i/>
          <w:iCs/>
        </w:rPr>
        <w:t>Đ</w:t>
      </w:r>
      <w:r w:rsidR="0067259C" w:rsidRPr="0067259C">
        <w:t xml:space="preserve">) of </w:t>
      </w:r>
      <w:r w:rsidR="0081705E">
        <w:t>1.23</w:t>
      </w:r>
      <w:r w:rsidR="0067259C" w:rsidRPr="0067259C">
        <w:t xml:space="preserve"> and an apparent number-average molecular weight (</w:t>
      </w:r>
      <w:r w:rsidR="0067259C" w:rsidRPr="0067259C">
        <w:rPr>
          <w:i/>
          <w:iCs/>
        </w:rPr>
        <w:t>M</w:t>
      </w:r>
      <w:r w:rsidR="0067259C" w:rsidRPr="0067259C">
        <w:rPr>
          <w:i/>
          <w:iCs/>
          <w:vertAlign w:val="subscript"/>
        </w:rPr>
        <w:t>n</w:t>
      </w:r>
      <w:r w:rsidR="0067259C" w:rsidRPr="0067259C">
        <w:t xml:space="preserve">) of </w:t>
      </w:r>
      <w:r w:rsidR="0081705E">
        <w:t>18</w:t>
      </w:r>
      <w:r w:rsidR="00A05DA0">
        <w:t xml:space="preserve"> </w:t>
      </w:r>
      <w:r w:rsidR="0081705E">
        <w:t>800</w:t>
      </w:r>
      <w:r w:rsidR="0067259C" w:rsidRPr="0067259C">
        <w:t xml:space="preserve"> g·mol</w:t>
      </w:r>
      <w:r w:rsidR="0067259C" w:rsidRPr="0067259C">
        <w:rPr>
          <w:rFonts w:ascii="Cambria Math" w:hAnsi="Cambria Math" w:cs="Cambria Math"/>
        </w:rPr>
        <w:t>⁻</w:t>
      </w:r>
      <w:r w:rsidR="0067259C" w:rsidRPr="0067259C">
        <w:rPr>
          <w:rFonts w:ascii="Aptos" w:hAnsi="Aptos" w:cs="Aptos"/>
        </w:rPr>
        <w:t>¹</w:t>
      </w:r>
      <w:r w:rsidR="0067259C" w:rsidRPr="0067259C">
        <w:t>, based on poly(methyl methacrylate) calibration standards (see Supplementary Fig</w:t>
      </w:r>
      <w:r w:rsidR="00883880">
        <w:t>.</w:t>
      </w:r>
      <w:r w:rsidR="0067259C" w:rsidRPr="0067259C">
        <w:t xml:space="preserve"> </w:t>
      </w:r>
      <w:r w:rsidR="00AC0568">
        <w:t>1</w:t>
      </w:r>
      <w:r w:rsidR="0067259C" w:rsidRPr="0067259C">
        <w:t>). Further characterisation using ¹H NMR spectroscopy (Supplementary Fig</w:t>
      </w:r>
      <w:r w:rsidR="00883880">
        <w:t>.</w:t>
      </w:r>
      <w:r w:rsidR="0067259C" w:rsidRPr="0067259C">
        <w:t xml:space="preserve"> </w:t>
      </w:r>
      <w:r w:rsidR="00883880">
        <w:t>3</w:t>
      </w:r>
      <w:r w:rsidR="0067259C" w:rsidRPr="0067259C">
        <w:t xml:space="preserve">) enabled the calculation of the </w:t>
      </w:r>
      <w:r w:rsidR="0067259C" w:rsidRPr="0067259C">
        <w:rPr>
          <w:i/>
          <w:iCs/>
        </w:rPr>
        <w:t>M</w:t>
      </w:r>
      <w:r w:rsidR="0067259C" w:rsidRPr="0067259C">
        <w:rPr>
          <w:i/>
          <w:iCs/>
          <w:vertAlign w:val="subscript"/>
        </w:rPr>
        <w:t>n</w:t>
      </w:r>
      <w:r w:rsidR="0067259C" w:rsidRPr="0067259C">
        <w:t xml:space="preserve"> of the poly(ethylene glycol) segment using the following equation:</w:t>
      </w:r>
    </w:p>
    <w:p w14:paraId="5CA8E63B" w14:textId="0E7039F4" w:rsidR="0067259C" w:rsidRDefault="0067259C" w:rsidP="0067259C">
      <w:pPr>
        <w:jc w:val="both"/>
      </w:pPr>
      <m:oMathPara>
        <m:oMath>
          <m:r>
            <w:rPr>
              <w:rFonts w:ascii="Cambria Math" w:hAnsi="Cambria Math"/>
            </w:rPr>
            <m:t xml:space="preserve">PEG </m:t>
          </m:r>
          <m:sSub>
            <m:sSubPr>
              <m:ctrlPr>
                <w:rPr>
                  <w:rFonts w:ascii="Cambria Math" w:hAnsi="Cambria Math"/>
                  <w:i/>
                </w:rPr>
              </m:ctrlPr>
            </m:sSubPr>
            <m:e>
              <m:r>
                <w:rPr>
                  <w:rFonts w:ascii="Cambria Math" w:hAnsi="Cambria Math"/>
                </w:rPr>
                <m:t>M</m:t>
              </m:r>
            </m:e>
            <m:sub>
              <m:r>
                <w:rPr>
                  <w:rFonts w:ascii="Cambria Math" w:hAnsi="Cambria Math"/>
                </w:rPr>
                <m:t>n</m:t>
              </m:r>
            </m:sub>
          </m:sSub>
          <m:d>
            <m:dPr>
              <m:ctrlPr>
                <w:rPr>
                  <w:rFonts w:ascii="Cambria Math" w:hAnsi="Cambria Math"/>
                  <w:i/>
                </w:rPr>
              </m:ctrlPr>
            </m:dPr>
            <m:e>
              <m:r>
                <w:rPr>
                  <w:rFonts w:ascii="Cambria Math" w:hAnsi="Cambria Math"/>
                </w:rPr>
                <m:t>g∙</m:t>
              </m:r>
              <m:sSup>
                <m:sSupPr>
                  <m:ctrlPr>
                    <w:rPr>
                      <w:rFonts w:ascii="Cambria Math" w:hAnsi="Cambria Math"/>
                      <w:i/>
                    </w:rPr>
                  </m:ctrlPr>
                </m:sSupPr>
                <m:e>
                  <m:r>
                    <w:rPr>
                      <w:rFonts w:ascii="Cambria Math" w:hAnsi="Cambria Math"/>
                    </w:rPr>
                    <m:t>mol</m:t>
                  </m:r>
                </m:e>
                <m:sup>
                  <m:r>
                    <w:rPr>
                      <w:rFonts w:ascii="Cambria Math" w:hAnsi="Cambria Math"/>
                    </w:rPr>
                    <m:t>-1</m:t>
                  </m:r>
                </m:sup>
              </m:sSup>
            </m:e>
          </m:d>
          <m:r>
            <w:rPr>
              <w:rFonts w:ascii="Cambria Math" w:hAnsi="Cambria Math"/>
            </w:rPr>
            <m:t>=</m:t>
          </m:r>
          <m:f>
            <m:fPr>
              <m:ctrlPr>
                <w:rPr>
                  <w:rFonts w:ascii="Cambria Math" w:eastAsiaTheme="minorEastAsia" w:hAnsi="Cambria Math"/>
                  <w:i/>
                </w:rPr>
              </m:ctrlPr>
            </m:fPr>
            <m:num>
              <m:r>
                <w:rPr>
                  <w:rFonts w:ascii="Cambria Math" w:eastAsiaTheme="minorEastAsia" w:hAnsi="Cambria Math"/>
                </w:rPr>
                <m:t>3e</m:t>
              </m:r>
            </m:num>
            <m:den>
              <m:r>
                <w:rPr>
                  <w:rFonts w:ascii="Cambria Math" w:eastAsiaTheme="minorEastAsia" w:hAnsi="Cambria Math"/>
                </w:rPr>
                <m:t>4f</m:t>
              </m:r>
            </m:den>
          </m:f>
          <m:r>
            <w:rPr>
              <w:rFonts w:ascii="Cambria Math" w:eastAsiaTheme="minorEastAsia" w:hAnsi="Cambria Math"/>
            </w:rPr>
            <m:t>∙44.05+M</m:t>
          </m:r>
        </m:oMath>
      </m:oMathPara>
    </w:p>
    <w:p w14:paraId="478F60F3" w14:textId="7E692414" w:rsidR="00C42556" w:rsidRDefault="00C42556" w:rsidP="0067259C">
      <w:pPr>
        <w:jc w:val="both"/>
      </w:pPr>
      <w:r>
        <w:t>Where</w:t>
      </w:r>
      <w:r w:rsidRPr="00C42556">
        <w:t>, M represents the molar mass of the methoxy end group on the PEG chain, which is 31.03 g·mol</w:t>
      </w:r>
      <w:r w:rsidRPr="00C42556">
        <w:rPr>
          <w:rFonts w:ascii="Cambria Math" w:hAnsi="Cambria Math" w:cs="Cambria Math"/>
        </w:rPr>
        <w:t>⁻</w:t>
      </w:r>
      <w:r w:rsidRPr="00C42556">
        <w:rPr>
          <w:rFonts w:ascii="Aptos" w:hAnsi="Aptos" w:cs="Aptos"/>
        </w:rPr>
        <w:t>¹</w:t>
      </w:r>
      <w:r w:rsidRPr="00C42556">
        <w:t>. Based on NMR analysis, the average number of ethylene glycol units per polymer chain was estimated to be 4</w:t>
      </w:r>
      <w:r w:rsidR="00FC3963">
        <w:t>5</w:t>
      </w:r>
      <w:r w:rsidRPr="00C42556">
        <w:t>.</w:t>
      </w:r>
      <w:r w:rsidR="00FC3963">
        <w:t>6</w:t>
      </w:r>
      <w:r w:rsidRPr="00C42556">
        <w:t xml:space="preserve">, resulting in a calculated </w:t>
      </w:r>
      <w:r w:rsidRPr="00325B5F">
        <w:rPr>
          <w:i/>
          <w:iCs/>
        </w:rPr>
        <w:t>M</w:t>
      </w:r>
      <w:r w:rsidRPr="00325B5F">
        <w:rPr>
          <w:i/>
          <w:iCs/>
          <w:vertAlign w:val="subscript"/>
        </w:rPr>
        <w:t>n</w:t>
      </w:r>
      <w:r w:rsidRPr="00C42556">
        <w:t xml:space="preserve"> for the PEG segment of </w:t>
      </w:r>
      <w:r w:rsidR="006F032E">
        <w:t>2</w:t>
      </w:r>
      <w:r w:rsidR="009D35EE">
        <w:t xml:space="preserve"> </w:t>
      </w:r>
      <w:r w:rsidR="006F032E">
        <w:t>0</w:t>
      </w:r>
      <w:r w:rsidR="004A1EC9">
        <w:t>4</w:t>
      </w:r>
      <w:r w:rsidR="00226970">
        <w:t>0</w:t>
      </w:r>
      <w:r w:rsidRPr="00C42556">
        <w:t xml:space="preserve"> g</w:t>
      </w:r>
      <w:r w:rsidRPr="00C42556">
        <w:rPr>
          <w:rFonts w:ascii="Aptos" w:hAnsi="Aptos" w:cs="Aptos"/>
        </w:rPr>
        <w:t>·</w:t>
      </w:r>
      <w:r w:rsidRPr="00C42556">
        <w:t>mol</w:t>
      </w:r>
      <w:r w:rsidRPr="00C42556">
        <w:rPr>
          <w:rFonts w:ascii="Cambria Math" w:hAnsi="Cambria Math" w:cs="Cambria Math"/>
        </w:rPr>
        <w:t>⁻</w:t>
      </w:r>
      <w:r w:rsidRPr="00C42556">
        <w:rPr>
          <w:rFonts w:ascii="Aptos" w:hAnsi="Aptos" w:cs="Aptos"/>
        </w:rPr>
        <w:t>¹</w:t>
      </w:r>
      <w:r w:rsidRPr="00C42556">
        <w:t>.</w:t>
      </w:r>
    </w:p>
    <w:p w14:paraId="18236463" w14:textId="0E4B8EA9" w:rsidR="0067259C" w:rsidRDefault="00C42556" w:rsidP="0067259C">
      <w:pPr>
        <w:jc w:val="both"/>
      </w:pPr>
      <w:r>
        <w:t>T</w:t>
      </w:r>
      <w:r w:rsidRPr="00C42556">
        <w:t xml:space="preserve">he extent of functionalization of the hydrophobic block was determined using the integrals from the </w:t>
      </w:r>
      <w:r w:rsidRPr="00C42556">
        <w:rPr>
          <w:vertAlign w:val="superscript"/>
        </w:rPr>
        <w:t>1</w:t>
      </w:r>
      <w:r w:rsidRPr="00C42556">
        <w:t>H NMR spectrum, calculated according to the equation provided (see Supplementary Fig</w:t>
      </w:r>
      <w:r w:rsidR="00C3682B">
        <w:t>.</w:t>
      </w:r>
      <w:r w:rsidRPr="00C42556">
        <w:t xml:space="preserve"> </w:t>
      </w:r>
      <w:r w:rsidR="006F31D9">
        <w:t>4</w:t>
      </w:r>
      <w:r w:rsidRPr="00C42556">
        <w:t xml:space="preserve"> for peak assignments and integral values)</w:t>
      </w:r>
      <w:r>
        <w:t>:</w:t>
      </w:r>
    </w:p>
    <w:p w14:paraId="0922EE4E" w14:textId="38D5D92E" w:rsidR="00C42556" w:rsidRPr="00C42556" w:rsidRDefault="00C42556" w:rsidP="0067259C">
      <w:pPr>
        <w:jc w:val="both"/>
        <w:rPr>
          <w:rFonts w:eastAsiaTheme="minorEastAsia"/>
        </w:rPr>
      </w:pPr>
      <m:oMathPara>
        <m:oMath>
          <m:r>
            <w:rPr>
              <w:rFonts w:ascii="Cambria Math" w:hAnsi="Cambria Math"/>
            </w:rPr>
            <m:t>anisole content (mol%)=</m:t>
          </m:r>
          <m:f>
            <m:fPr>
              <m:ctrlPr>
                <w:rPr>
                  <w:rFonts w:ascii="Cambria Math" w:hAnsi="Cambria Math"/>
                  <w:i/>
                </w:rPr>
              </m:ctrlPr>
            </m:fPr>
            <m:num>
              <m:r>
                <w:rPr>
                  <w:rFonts w:ascii="Cambria Math" w:hAnsi="Cambria Math"/>
                </w:rPr>
                <m:t>e+f</m:t>
              </m:r>
            </m:num>
            <m:den>
              <m:r>
                <w:rPr>
                  <w:rFonts w:ascii="Cambria Math" w:hAnsi="Cambria Math"/>
                </w:rPr>
                <m:t>e+f+2a</m:t>
              </m:r>
            </m:den>
          </m:f>
          <m:r>
            <w:rPr>
              <w:rFonts w:ascii="Cambria Math" w:hAnsi="Cambria Math"/>
            </w:rPr>
            <m:t>∙100</m:t>
          </m:r>
        </m:oMath>
      </m:oMathPara>
    </w:p>
    <w:p w14:paraId="69A408DB" w14:textId="36C5115D" w:rsidR="00C42556" w:rsidRDefault="00942A50" w:rsidP="0067259C">
      <w:pPr>
        <w:jc w:val="both"/>
      </w:pPr>
      <w:r w:rsidRPr="00942A50">
        <w:t xml:space="preserve">Approximately </w:t>
      </w:r>
      <w:r w:rsidR="004A1EC9">
        <w:t>9</w:t>
      </w:r>
      <w:r w:rsidR="00694CA6">
        <w:t>.</w:t>
      </w:r>
      <w:r w:rsidR="004A1EC9">
        <w:t>2</w:t>
      </w:r>
      <w:r w:rsidRPr="00942A50">
        <w:t xml:space="preserve"> mol% of the hydrophobic residues were functionalized</w:t>
      </w:r>
      <w:r w:rsidR="00FE45CD">
        <w:t xml:space="preserve"> with the pyrazolone-based DASA</w:t>
      </w:r>
      <w:r w:rsidRPr="00942A50">
        <w:t xml:space="preserve">, while the remaining </w:t>
      </w:r>
      <w:r w:rsidR="003F7C85">
        <w:t>90</w:t>
      </w:r>
      <w:r w:rsidR="009E3DBB">
        <w:t>.</w:t>
      </w:r>
      <w:r w:rsidR="003F7C85">
        <w:t>8</w:t>
      </w:r>
      <w:r w:rsidRPr="00942A50">
        <w:t xml:space="preserve"> mol% were attributed to poly(</w:t>
      </w:r>
      <w:r w:rsidR="008D232C">
        <w:t>hexyl</w:t>
      </w:r>
      <w:r w:rsidRPr="00942A50">
        <w:t xml:space="preserve"> </w:t>
      </w:r>
      <w:r w:rsidR="008D232C">
        <w:t>meth</w:t>
      </w:r>
      <w:r w:rsidRPr="00942A50">
        <w:t xml:space="preserve">acrylate) segments. Using the </w:t>
      </w:r>
      <w:r w:rsidRPr="00325B5F">
        <w:rPr>
          <w:i/>
          <w:iCs/>
        </w:rPr>
        <w:t>M</w:t>
      </w:r>
      <w:r w:rsidRPr="00325B5F">
        <w:rPr>
          <w:i/>
          <w:iCs/>
          <w:vertAlign w:val="subscript"/>
        </w:rPr>
        <w:t>n</w:t>
      </w:r>
      <w:r w:rsidRPr="00942A50">
        <w:rPr>
          <w:rFonts w:ascii="Arial" w:hAnsi="Arial" w:cs="Arial"/>
        </w:rPr>
        <w:t>​</w:t>
      </w:r>
      <w:r w:rsidRPr="00942A50">
        <w:t xml:space="preserve"> of the PEG block</w:t>
      </w:r>
      <w:r w:rsidR="008D232C">
        <w:rPr>
          <w:rFonts w:ascii="Aptos" w:hAnsi="Aptos" w:cs="Aptos"/>
        </w:rPr>
        <w:t xml:space="preserve">, </w:t>
      </w:r>
      <w:r w:rsidRPr="00942A50">
        <w:t xml:space="preserve">estimated from the </w:t>
      </w:r>
      <w:r w:rsidRPr="00942A50">
        <w:rPr>
          <w:vertAlign w:val="superscript"/>
        </w:rPr>
        <w:t>1</w:t>
      </w:r>
      <w:r w:rsidRPr="00942A50">
        <w:t>H NMR data (Supplementary Fig</w:t>
      </w:r>
      <w:r w:rsidR="00C3682B">
        <w:t>.</w:t>
      </w:r>
      <w:r w:rsidRPr="00942A50">
        <w:t xml:space="preserve"> </w:t>
      </w:r>
      <w:r w:rsidR="006F31D9">
        <w:t>4</w:t>
      </w:r>
      <w:r w:rsidRPr="00942A50">
        <w:t>A)</w:t>
      </w:r>
      <w:r>
        <w:rPr>
          <w:rFonts w:ascii="Aptos" w:hAnsi="Aptos" w:cs="Aptos"/>
        </w:rPr>
        <w:t xml:space="preserve">, </w:t>
      </w:r>
      <w:r w:rsidRPr="00942A50">
        <w:t xml:space="preserve">as </w:t>
      </w:r>
      <w:r w:rsidR="009E3DBB">
        <w:t>2</w:t>
      </w:r>
      <w:r w:rsidR="009D35EE">
        <w:t xml:space="preserve"> </w:t>
      </w:r>
      <w:r w:rsidR="009E3DBB">
        <w:t>0</w:t>
      </w:r>
      <w:r w:rsidR="004A1EC9">
        <w:t>4</w:t>
      </w:r>
      <w:r w:rsidR="00226970">
        <w:t xml:space="preserve">0 </w:t>
      </w:r>
      <w:r w:rsidRPr="00942A50">
        <w:t>g</w:t>
      </w:r>
      <w:r w:rsidRPr="00C42556">
        <w:rPr>
          <w:rFonts w:ascii="Aptos" w:hAnsi="Aptos" w:cs="Aptos"/>
        </w:rPr>
        <w:t>·</w:t>
      </w:r>
      <w:r w:rsidRPr="00942A50">
        <w:t>mol</w:t>
      </w:r>
      <w:r w:rsidRPr="00942A50">
        <w:rPr>
          <w:rFonts w:ascii="Aptos" w:hAnsi="Aptos" w:cs="Aptos"/>
          <w:vertAlign w:val="superscript"/>
        </w:rPr>
        <w:t>−</w:t>
      </w:r>
      <w:r w:rsidRPr="00942A50">
        <w:rPr>
          <w:vertAlign w:val="superscript"/>
        </w:rPr>
        <w:t>1</w:t>
      </w:r>
      <w:r w:rsidRPr="00942A50">
        <w:t xml:space="preserve">, the </w:t>
      </w:r>
      <w:r w:rsidRPr="00942A50">
        <w:rPr>
          <w:i/>
          <w:iCs/>
        </w:rPr>
        <w:t>M</w:t>
      </w:r>
      <w:r w:rsidRPr="00942A50">
        <w:rPr>
          <w:i/>
          <w:iCs/>
          <w:vertAlign w:val="subscript"/>
        </w:rPr>
        <w:t>n</w:t>
      </w:r>
      <w:r w:rsidRPr="00942A50">
        <w:rPr>
          <w:rFonts w:ascii="Arial" w:hAnsi="Arial" w:cs="Arial"/>
        </w:rPr>
        <w:t>​</w:t>
      </w:r>
      <w:r w:rsidRPr="00942A50">
        <w:t xml:space="preserve"> of the hydrophobic block was derived based on the ratio of repeating units within that segment</w:t>
      </w:r>
      <w:r>
        <w:t>:</w:t>
      </w:r>
    </w:p>
    <w:p w14:paraId="55036A0A" w14:textId="3D5DF6FD" w:rsidR="00942A50" w:rsidRPr="00942A50" w:rsidRDefault="0024430F" w:rsidP="0067259C">
      <w:pPr>
        <w:jc w:val="both"/>
        <w:rPr>
          <w:rFonts w:eastAsiaTheme="minorEastAsia"/>
        </w:rPr>
      </w:pPr>
      <m:oMathPara>
        <m:oMath>
          <m:f>
            <m:fPr>
              <m:ctrlPr>
                <w:rPr>
                  <w:rFonts w:ascii="Cambria Math" w:hAnsi="Cambria Math"/>
                  <w:i/>
                </w:rPr>
              </m:ctrlPr>
            </m:fPr>
            <m:num>
              <m:r>
                <w:rPr>
                  <w:rFonts w:ascii="Cambria Math" w:hAnsi="Cambria Math"/>
                </w:rPr>
                <m:t>h</m:t>
              </m:r>
              <m:r>
                <w:rPr>
                  <w:rFonts w:ascii="Cambria Math" w:hAnsi="Cambria Math"/>
                </w:rPr>
                <m:t>ydrop</m:t>
              </m:r>
              <m:r>
                <w:rPr>
                  <w:rFonts w:ascii="Cambria Math" w:hAnsi="Cambria Math"/>
                </w:rPr>
                <m:t>h</m:t>
              </m:r>
              <m:r>
                <w:rPr>
                  <w:rFonts w:ascii="Cambria Math" w:hAnsi="Cambria Math"/>
                </w:rPr>
                <m:t>obic</m:t>
              </m:r>
              <m:r>
                <w:rPr>
                  <w:rFonts w:ascii="Cambria Math" w:hAnsi="Cambria Math"/>
                </w:rPr>
                <m:t xml:space="preserve"> </m:t>
              </m:r>
              <m:r>
                <w:rPr>
                  <w:rFonts w:ascii="Cambria Math" w:hAnsi="Cambria Math"/>
                </w:rPr>
                <m:t>block</m:t>
              </m:r>
              <m:r>
                <w:rPr>
                  <w:rFonts w:ascii="Cambria Math" w:hAnsi="Cambria Math"/>
                </w:rPr>
                <m:t xml:space="preserve"> </m:t>
              </m:r>
              <m:r>
                <w:rPr>
                  <w:rFonts w:ascii="Cambria Math" w:hAnsi="Cambria Math"/>
                </w:rPr>
                <m:t>repeating</m:t>
              </m:r>
              <m:r>
                <w:rPr>
                  <w:rFonts w:ascii="Cambria Math" w:hAnsi="Cambria Math"/>
                </w:rPr>
                <m:t xml:space="preserve"> </m:t>
              </m:r>
              <m:r>
                <w:rPr>
                  <w:rFonts w:ascii="Cambria Math" w:hAnsi="Cambria Math"/>
                </w:rPr>
                <m:t>units</m:t>
              </m:r>
            </m:num>
            <m:den>
              <m:r>
                <w:rPr>
                  <w:rFonts w:ascii="Cambria Math" w:hAnsi="Cambria Math"/>
                </w:rPr>
                <m:t>h</m:t>
              </m:r>
              <m:r>
                <w:rPr>
                  <w:rFonts w:ascii="Cambria Math" w:hAnsi="Cambria Math"/>
                </w:rPr>
                <m:t>ydrop</m:t>
              </m:r>
              <m:r>
                <w:rPr>
                  <w:rFonts w:ascii="Cambria Math" w:hAnsi="Cambria Math"/>
                </w:rPr>
                <m:t>h</m:t>
              </m:r>
              <m:r>
                <w:rPr>
                  <w:rFonts w:ascii="Cambria Math" w:hAnsi="Cambria Math"/>
                </w:rPr>
                <m:t>ylic</m:t>
              </m:r>
              <m:r>
                <w:rPr>
                  <w:rFonts w:ascii="Cambria Math" w:hAnsi="Cambria Math"/>
                </w:rPr>
                <m:t xml:space="preserve"> </m:t>
              </m:r>
              <m:r>
                <w:rPr>
                  <w:rFonts w:ascii="Cambria Math" w:hAnsi="Cambria Math"/>
                </w:rPr>
                <m:t>block</m:t>
              </m:r>
              <m:r>
                <w:rPr>
                  <w:rFonts w:ascii="Cambria Math" w:hAnsi="Cambria Math"/>
                </w:rPr>
                <m:t xml:space="preserve"> </m:t>
              </m:r>
              <m:r>
                <w:rPr>
                  <w:rFonts w:ascii="Cambria Math" w:hAnsi="Cambria Math"/>
                </w:rPr>
                <m:t>repeating</m:t>
              </m:r>
              <m:r>
                <w:rPr>
                  <w:rFonts w:ascii="Cambria Math" w:hAnsi="Cambria Math"/>
                </w:rPr>
                <m:t xml:space="preserve"> </m:t>
              </m:r>
              <m:r>
                <w:rPr>
                  <w:rFonts w:ascii="Cambria Math" w:hAnsi="Cambria Math"/>
                </w:rPr>
                <m:t>units</m:t>
              </m:r>
            </m:den>
          </m:f>
          <m:r>
            <w:rPr>
              <w:rFonts w:ascii="Cambria Math" w:hAnsi="Cambria Math"/>
            </w:rPr>
            <m:t>=</m:t>
          </m:r>
          <m:f>
            <m:fPr>
              <m:ctrlPr>
                <w:rPr>
                  <w:rFonts w:ascii="Cambria Math" w:hAnsi="Cambria Math"/>
                  <w:i/>
                </w:rPr>
              </m:ctrlPr>
            </m:fPr>
            <m:num>
              <m:r>
                <w:rPr>
                  <w:rFonts w:ascii="Cambria Math" w:hAnsi="Cambria Math"/>
                </w:rPr>
                <m:t>2</m:t>
              </m:r>
              <m:r>
                <w:rPr>
                  <w:rFonts w:ascii="Cambria Math" w:hAnsi="Cambria Math"/>
                </w:rPr>
                <m:t>a</m:t>
              </m:r>
              <m:r>
                <w:rPr>
                  <w:rFonts w:ascii="Cambria Math" w:hAnsi="Cambria Math"/>
                </w:rPr>
                <m:t>+</m:t>
              </m:r>
              <m:r>
                <w:rPr>
                  <w:rFonts w:ascii="Cambria Math" w:hAnsi="Cambria Math"/>
                </w:rPr>
                <m:t>e</m:t>
              </m:r>
              <m:r>
                <w:rPr>
                  <w:rFonts w:ascii="Cambria Math" w:hAnsi="Cambria Math"/>
                </w:rPr>
                <m:t>+</m:t>
              </m:r>
              <m:r>
                <w:rPr>
                  <w:rFonts w:ascii="Cambria Math" w:hAnsi="Cambria Math"/>
                </w:rPr>
                <m:t>d</m:t>
              </m:r>
            </m:num>
            <m:den>
              <m:r>
                <w:rPr>
                  <w:rFonts w:ascii="Cambria Math" w:hAnsi="Cambria Math"/>
                </w:rPr>
                <m:t>c</m:t>
              </m:r>
            </m:den>
          </m:f>
        </m:oMath>
      </m:oMathPara>
    </w:p>
    <w:p w14:paraId="3FC1C954" w14:textId="17B55471" w:rsidR="00942A50" w:rsidRDefault="00942A50" w:rsidP="0067259C">
      <w:pPr>
        <w:jc w:val="both"/>
      </w:pPr>
      <w:r>
        <w:t>T</w:t>
      </w:r>
      <w:r w:rsidRPr="00942A50">
        <w:t xml:space="preserve">he hydrophobic block was estimated to contain </w:t>
      </w:r>
      <w:r w:rsidR="003F7C85">
        <w:t>45</w:t>
      </w:r>
      <w:r w:rsidR="00D96947">
        <w:t>.</w:t>
      </w:r>
      <w:r w:rsidR="003F7C85">
        <w:t>54</w:t>
      </w:r>
      <w:r w:rsidRPr="00942A50">
        <w:t xml:space="preserve"> repeat units per chain. Based on the molar ratio and the molecular weight of each repeating unit, the number-average molar mass (</w:t>
      </w:r>
      <w:r w:rsidRPr="00942A50">
        <w:rPr>
          <w:i/>
          <w:iCs/>
        </w:rPr>
        <w:t>M</w:t>
      </w:r>
      <w:r w:rsidRPr="00942A50">
        <w:rPr>
          <w:i/>
          <w:iCs/>
          <w:vertAlign w:val="subscript"/>
        </w:rPr>
        <w:t>n</w:t>
      </w:r>
      <w:r w:rsidRPr="00942A50">
        <w:rPr>
          <w:rFonts w:ascii="Arial" w:hAnsi="Arial" w:cs="Arial"/>
        </w:rPr>
        <w:t>​</w:t>
      </w:r>
      <w:r w:rsidRPr="00942A50">
        <w:t xml:space="preserve">) of the hydrophobic block was calculated to be approximately </w:t>
      </w:r>
      <w:r w:rsidR="00803929">
        <w:t>7</w:t>
      </w:r>
      <w:r w:rsidR="009D35EE">
        <w:t xml:space="preserve"> </w:t>
      </w:r>
      <w:r w:rsidR="00803929">
        <w:t>3</w:t>
      </w:r>
      <w:r w:rsidR="009D35EE">
        <w:t>20</w:t>
      </w:r>
      <w:r w:rsidRPr="00942A50">
        <w:t xml:space="preserve"> g</w:t>
      </w:r>
      <w:r w:rsidRPr="00C42556">
        <w:rPr>
          <w:rFonts w:ascii="Aptos" w:hAnsi="Aptos" w:cs="Aptos"/>
        </w:rPr>
        <w:t>·</w:t>
      </w:r>
      <w:r w:rsidRPr="00942A50">
        <w:t>mol</w:t>
      </w:r>
      <w:r w:rsidRPr="008D232C">
        <w:rPr>
          <w:rFonts w:ascii="Aptos" w:hAnsi="Aptos" w:cs="Aptos"/>
          <w:vertAlign w:val="superscript"/>
        </w:rPr>
        <w:t>−</w:t>
      </w:r>
      <w:r w:rsidRPr="008D232C">
        <w:rPr>
          <w:vertAlign w:val="superscript"/>
        </w:rPr>
        <w:t>1</w:t>
      </w:r>
      <w:r w:rsidRPr="00942A50">
        <w:t xml:space="preserve">. Consequently, the </w:t>
      </w:r>
      <w:r w:rsidRPr="00942A50">
        <w:rPr>
          <w:i/>
          <w:iCs/>
        </w:rPr>
        <w:t>M</w:t>
      </w:r>
      <w:r w:rsidRPr="00942A50">
        <w:rPr>
          <w:i/>
          <w:iCs/>
          <w:vertAlign w:val="subscript"/>
        </w:rPr>
        <w:t>n</w:t>
      </w:r>
      <w:r w:rsidRPr="00942A50">
        <w:rPr>
          <w:rFonts w:ascii="Arial" w:hAnsi="Arial" w:cs="Arial"/>
        </w:rPr>
        <w:t>​</w:t>
      </w:r>
      <w:r w:rsidRPr="00942A50">
        <w:t xml:space="preserve"> of the full diblock copolymer incorporating the aromatic amine DASA precursor was determined to be around </w:t>
      </w:r>
      <w:r w:rsidR="00AB46F4">
        <w:t>18</w:t>
      </w:r>
      <w:r w:rsidR="009D35EE">
        <w:t xml:space="preserve"> </w:t>
      </w:r>
      <w:r w:rsidR="00AB46F4">
        <w:t>060</w:t>
      </w:r>
      <w:r w:rsidRPr="00942A50">
        <w:t xml:space="preserve"> g</w:t>
      </w:r>
      <w:r w:rsidRPr="00C42556">
        <w:rPr>
          <w:rFonts w:ascii="Aptos" w:hAnsi="Aptos" w:cs="Aptos"/>
        </w:rPr>
        <w:t>·</w:t>
      </w:r>
      <w:r w:rsidRPr="00942A50">
        <w:t>mol</w:t>
      </w:r>
      <w:r w:rsidRPr="00942A50">
        <w:rPr>
          <w:rFonts w:ascii="Aptos" w:hAnsi="Aptos" w:cs="Aptos"/>
          <w:vertAlign w:val="superscript"/>
        </w:rPr>
        <w:t>−</w:t>
      </w:r>
      <w:r w:rsidRPr="00942A50">
        <w:rPr>
          <w:vertAlign w:val="superscript"/>
        </w:rPr>
        <w:t>1</w:t>
      </w:r>
      <w:r>
        <w:t>.</w:t>
      </w:r>
    </w:p>
    <w:bookmarkEnd w:id="1"/>
    <w:p w14:paraId="43F556A7" w14:textId="530EA0A1" w:rsidR="00062AA2" w:rsidRPr="00EA12AF" w:rsidRDefault="006A29DA" w:rsidP="00062AA2">
      <w:pPr>
        <w:jc w:val="both"/>
        <w:rPr>
          <w:b/>
          <w:bCs/>
        </w:rPr>
      </w:pPr>
      <w:r>
        <w:rPr>
          <w:b/>
          <w:bCs/>
        </w:rPr>
        <w:t xml:space="preserve">Supplementary Section </w:t>
      </w:r>
      <w:r w:rsidR="00F8764C">
        <w:rPr>
          <w:b/>
          <w:bCs/>
        </w:rPr>
        <w:t>2</w:t>
      </w:r>
      <w:r>
        <w:rPr>
          <w:b/>
          <w:bCs/>
        </w:rPr>
        <w:t xml:space="preserve">. </w:t>
      </w:r>
      <w:r w:rsidR="008D232C" w:rsidRPr="00E724F1">
        <w:rPr>
          <w:b/>
          <w:bCs/>
        </w:rPr>
        <w:t>Determination of esterase encapsulation in PYRA-esterase nanoreactors.</w:t>
      </w:r>
      <w:r w:rsidR="00EA12AF">
        <w:rPr>
          <w:b/>
          <w:bCs/>
        </w:rPr>
        <w:t xml:space="preserve"> </w:t>
      </w:r>
      <w:r w:rsidR="00062AA2">
        <w:t>A 200 μL aliquot of trypsini</w:t>
      </w:r>
      <w:r w:rsidR="007614A3">
        <w:t>z</w:t>
      </w:r>
      <w:r w:rsidR="00062AA2">
        <w:t>ed PYRA–esterase nanoreactors was treated with 40 μL of an aqueous solution containing the trypsin inhibitor aprotinin (30.7 nmol) and incubated overnight at room temperature. The nanoreactors were subsequently lysed by dilution in Triton X-100 (20 mmol∙mL</w:t>
      </w:r>
      <w:r w:rsidR="00062AA2">
        <w:rPr>
          <w:rFonts w:ascii="Cambria Math" w:hAnsi="Cambria Math" w:cs="Cambria Math"/>
        </w:rPr>
        <w:t>⁻</w:t>
      </w:r>
      <w:r w:rsidR="00062AA2">
        <w:rPr>
          <w:rFonts w:ascii="Aptos" w:hAnsi="Aptos" w:cs="Aptos"/>
        </w:rPr>
        <w:t>¹</w:t>
      </w:r>
      <w:r w:rsidR="00062AA2">
        <w:t>) to a final volume of 1 mL, following a previously reported protocol.</w:t>
      </w:r>
      <w:r w:rsidR="005C78DF">
        <w:fldChar w:fldCharType="begin"/>
      </w:r>
      <w:r w:rsidR="005C78DF">
        <w:instrText xml:space="preserve"> ADDIN EN.CITE &lt;EndNote&gt;&lt;Cite&gt;&lt;Author&gt;Cheng&lt;/Author&gt;&lt;Year&gt;2008&lt;/Year&gt;&lt;RecNum&gt;293&lt;/RecNum&gt;&lt;DisplayText&gt;&lt;style face="superscript"&gt;1&lt;/style&gt;&lt;/DisplayText&gt;&lt;record&gt;&lt;rec-number&gt;293&lt;/rec-number&gt;&lt;foreign-keys&gt;&lt;key app="EN" db-id="200xtt29iex5f8evwpbv9aro0fwavxzvx5ax" timestamp="1751581000"&gt;293&lt;/key&gt;&lt;/foreign-keys&gt;&lt;ref-type name="Journal Article"&gt;17&lt;/ref-type&gt;&lt;contributors&gt;&lt;authors&gt;&lt;author&gt;Cheng, Zhiliang&lt;/author&gt;&lt;author&gt;Tsourkas, Andrew&lt;/author&gt;&lt;/authors&gt;&lt;/contributors&gt;&lt;titles&gt;&lt;title&gt;Paramagnetic porous polymersomes&lt;/title&gt;&lt;secondary-title&gt;Langmuir&lt;/secondary-title&gt;&lt;/titles&gt;&lt;periodical&gt;&lt;full-title&gt;Langmuir&lt;/full-title&gt;&lt;/periodical&gt;&lt;pages&gt;8169-8173&lt;/pages&gt;&lt;volume&gt;24&lt;/volume&gt;&lt;number&gt;15&lt;/number&gt;&lt;dates&gt;&lt;year&gt;2008&lt;/year&gt;&lt;/dates&gt;&lt;isbn&gt;0743-7463&lt;/isbn&gt;&lt;urls&gt;&lt;/urls&gt;&lt;/record&gt;&lt;/Cite&gt;&lt;/EndNote&gt;</w:instrText>
      </w:r>
      <w:r w:rsidR="005C78DF">
        <w:fldChar w:fldCharType="separate"/>
      </w:r>
      <w:r w:rsidR="005C78DF" w:rsidRPr="005C78DF">
        <w:rPr>
          <w:noProof/>
          <w:vertAlign w:val="superscript"/>
        </w:rPr>
        <w:t>1</w:t>
      </w:r>
      <w:r w:rsidR="005C78DF">
        <w:fldChar w:fldCharType="end"/>
      </w:r>
      <w:r w:rsidR="00062AA2">
        <w:t xml:space="preserve"> Enzymatic activity was assessed by transferring 2 μL of the treated solution into a 96-well microplate containing 300 μL of </w:t>
      </w:r>
      <w:r w:rsidR="00CF4494">
        <w:t>BP</w:t>
      </w:r>
      <w:r w:rsidR="00062AA2">
        <w:t xml:space="preserve"> (3.7</w:t>
      </w:r>
      <w:r w:rsidR="00CF4494">
        <w:t>∙</w:t>
      </w:r>
      <w:r w:rsidR="00062AA2">
        <w:t>10</w:t>
      </w:r>
      <w:r w:rsidR="00062AA2">
        <w:rPr>
          <w:rFonts w:ascii="Cambria Math" w:hAnsi="Cambria Math" w:cs="Cambria Math"/>
        </w:rPr>
        <w:t>⁻</w:t>
      </w:r>
      <w:r w:rsidR="00062AA2">
        <w:rPr>
          <w:rFonts w:ascii="Aptos" w:hAnsi="Aptos" w:cs="Aptos"/>
        </w:rPr>
        <w:t>¹</w:t>
      </w:r>
      <w:r w:rsidR="00062AA2">
        <w:t xml:space="preserve"> </w:t>
      </w:r>
      <w:r w:rsidR="00062AA2">
        <w:rPr>
          <w:rFonts w:ascii="Aptos" w:hAnsi="Aptos" w:cs="Aptos"/>
        </w:rPr>
        <w:t>μ</w:t>
      </w:r>
      <w:r w:rsidR="00062AA2">
        <w:t>mol</w:t>
      </w:r>
      <w:r w:rsidR="00062AA2">
        <w:rPr>
          <w:rFonts w:ascii="Aptos" w:hAnsi="Aptos" w:cs="Aptos"/>
        </w:rPr>
        <w:t>∙</w:t>
      </w:r>
      <w:r w:rsidR="00062AA2">
        <w:t>mL</w:t>
      </w:r>
      <w:r w:rsidR="00062AA2">
        <w:rPr>
          <w:rFonts w:ascii="Cambria Math" w:hAnsi="Cambria Math" w:cs="Cambria Math"/>
        </w:rPr>
        <w:t>⁻</w:t>
      </w:r>
      <w:r w:rsidR="00062AA2">
        <w:rPr>
          <w:rFonts w:ascii="Aptos" w:hAnsi="Aptos" w:cs="Aptos"/>
        </w:rPr>
        <w:t>¹</w:t>
      </w:r>
      <w:r w:rsidR="00062AA2">
        <w:t>) and saturated ethyl acetate at pH 7.4. Absorbance at 405 nm was monitored over time.</w:t>
      </w:r>
      <w:r w:rsidR="00CF4494">
        <w:t xml:space="preserve"> </w:t>
      </w:r>
      <w:r w:rsidR="00062AA2">
        <w:t xml:space="preserve">As a control, a fresh aliquot of non-encapsulated esterase (at equivalent concentration) was subjected to solvent exchange under the same conditions used for preparing DASA–esterase </w:t>
      </w:r>
      <w:r w:rsidR="00062AA2">
        <w:lastRenderedPageBreak/>
        <w:t xml:space="preserve">nanoreactors, but in the absence of DASA polymer and trypsin. This control sample was spiked with aprotinin and Triton X-100 as described </w:t>
      </w:r>
      <w:r w:rsidR="000B0E97">
        <w:t>above but</w:t>
      </w:r>
      <w:r w:rsidR="00062AA2">
        <w:t xml:space="preserve"> was not incubated at room temperature to preserve enzymatic activity. Instead, it was immediately tested for ethyl acetate hydrolysis under the same BP assay conditions used for the PYRA–esterase nanoreactors.</w:t>
      </w:r>
      <w:r w:rsidR="00EA12AF">
        <w:t xml:space="preserve"> </w:t>
      </w:r>
      <w:r w:rsidR="00062AA2">
        <w:t>Retention of enzymatic activity was calculated using the following formula:</w:t>
      </w:r>
    </w:p>
    <w:p w14:paraId="5C928E24" w14:textId="0A9F2806" w:rsidR="00566A5D" w:rsidRDefault="002B79D3" w:rsidP="00EF3845">
      <w:pPr>
        <w:jc w:val="both"/>
      </w:pPr>
      <m:oMathPara>
        <m:oMath>
          <m:r>
            <w:rPr>
              <w:rFonts w:ascii="Cambria Math" w:hAnsi="Cambria Math"/>
            </w:rPr>
            <m:t>Encapsulation Efficiency=</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PE</m:t>
                  </m:r>
                </m:sub>
              </m:sSub>
            </m:num>
            <m:den>
              <m:sSub>
                <m:sSubPr>
                  <m:ctrlPr>
                    <w:rPr>
                      <w:rFonts w:ascii="Cambria Math" w:hAnsi="Cambria Math"/>
                      <w:i/>
                    </w:rPr>
                  </m:ctrlPr>
                </m:sSubPr>
                <m:e>
                  <m:r>
                    <w:rPr>
                      <w:rFonts w:ascii="Cambria Math" w:hAnsi="Cambria Math"/>
                    </w:rPr>
                    <m:t>m</m:t>
                  </m:r>
                </m:e>
                <m:sub>
                  <m:r>
                    <w:rPr>
                      <w:rFonts w:ascii="Cambria Math" w:hAnsi="Cambria Math"/>
                    </w:rPr>
                    <m:t>FE</m:t>
                  </m:r>
                </m:sub>
              </m:sSub>
            </m:den>
          </m:f>
        </m:oMath>
      </m:oMathPara>
    </w:p>
    <w:p w14:paraId="264852C3" w14:textId="574A7220" w:rsidR="008D232C" w:rsidRDefault="00EF3845" w:rsidP="00EF3845">
      <w:pPr>
        <w:jc w:val="both"/>
      </w:pPr>
      <w:r>
        <w:t>Where, m</w:t>
      </w:r>
      <w:r w:rsidR="006200B3" w:rsidRPr="00D97FEB">
        <w:rPr>
          <w:vertAlign w:val="subscript"/>
        </w:rPr>
        <w:t>P</w:t>
      </w:r>
      <w:r w:rsidRPr="00D97FEB">
        <w:rPr>
          <w:vertAlign w:val="subscript"/>
        </w:rPr>
        <w:t>E</w:t>
      </w:r>
      <w:r>
        <w:t xml:space="preserve"> is the slope of the reaction catalysed by the enzyme liberated from the </w:t>
      </w:r>
      <w:r w:rsidR="00BD062B">
        <w:t>PYRA</w:t>
      </w:r>
      <w:r>
        <w:t>-esterase nanoreactors, and m</w:t>
      </w:r>
      <w:r w:rsidRPr="00D97FEB">
        <w:rPr>
          <w:vertAlign w:val="subscript"/>
        </w:rPr>
        <w:t>FE</w:t>
      </w:r>
      <w:r>
        <w:t xml:space="preserve"> is the slope catalysed by the treated free esterase. </w:t>
      </w:r>
      <w:r w:rsidR="005A2B20">
        <w:t xml:space="preserve">No blank reaction was observed. </w:t>
      </w:r>
      <w:r>
        <w:t xml:space="preserve">It was calculated that an equivalent of </w:t>
      </w:r>
      <w:r w:rsidR="000471C4">
        <w:t>6.78</w:t>
      </w:r>
      <w:r>
        <w:t>% of the enzyme activity was retained, which corresponds to the encapsulation efficiency (assuming no loss of enzyme activity for the loading and trypsinisation process for</w:t>
      </w:r>
      <w:r w:rsidR="00AE1DBF">
        <w:t xml:space="preserve"> PYRA</w:t>
      </w:r>
      <w:r>
        <w:t xml:space="preserve">-esterase). This data also confirms successful protection of esterase from proteases when encapsulated within </w:t>
      </w:r>
      <w:r w:rsidR="007C1E3F">
        <w:t xml:space="preserve">PYRA </w:t>
      </w:r>
      <w:r>
        <w:t>polymersomes.</w:t>
      </w:r>
      <w:r w:rsidR="005416C2">
        <w:t xml:space="preserve"> </w:t>
      </w:r>
    </w:p>
    <w:p w14:paraId="75B9FAF9" w14:textId="1702679C" w:rsidR="00725E05" w:rsidRDefault="00725E05" w:rsidP="00725E05">
      <w:pPr>
        <w:jc w:val="both"/>
      </w:pPr>
      <w:r>
        <w:rPr>
          <w:b/>
          <w:bCs/>
        </w:rPr>
        <w:t xml:space="preserve">Supplementary Section </w:t>
      </w:r>
      <w:r w:rsidR="00F8764C">
        <w:rPr>
          <w:b/>
          <w:bCs/>
        </w:rPr>
        <w:t>3</w:t>
      </w:r>
      <w:r>
        <w:rPr>
          <w:b/>
          <w:bCs/>
        </w:rPr>
        <w:t xml:space="preserve">. </w:t>
      </w:r>
      <w:r w:rsidRPr="000A6E64">
        <w:rPr>
          <w:b/>
          <w:bCs/>
        </w:rPr>
        <w:t>Dissecting photoinduced negative feedback mechanisms via external esterase addition.</w:t>
      </w:r>
      <w:r>
        <w:t xml:space="preserve"> To investigate whether the cessation of catalytic activity was driven by light-dependent feedback mechanisms, free esterase was added to PYRA-esterase dispersions previously exposed to yellow or blue light. In the presence of bromocresol purple and ethyl acetate, catalytic activity was monitored by absorbance, as detailed in the Methods section. Samples were irradiated with yellow light (λ = 590</w:t>
      </w:r>
      <w:r>
        <w:rPr>
          <w:rFonts w:ascii="Arial" w:hAnsi="Arial" w:cs="Arial"/>
        </w:rPr>
        <w:t> </w:t>
      </w:r>
      <w:r>
        <w:t>nm) at 1.76 mW</w:t>
      </w:r>
      <w:r>
        <w:rPr>
          <w:rFonts w:ascii="Aptos" w:hAnsi="Aptos" w:cs="Aptos"/>
        </w:rPr>
        <w:t>·</w:t>
      </w:r>
      <w:r>
        <w:t>cm</w:t>
      </w:r>
      <w:r>
        <w:rPr>
          <w:rFonts w:ascii="Cambria Math" w:hAnsi="Cambria Math" w:cs="Cambria Math"/>
        </w:rPr>
        <w:t>⁻</w:t>
      </w:r>
      <w:r>
        <w:rPr>
          <w:rFonts w:ascii="Aptos" w:hAnsi="Aptos" w:cs="Aptos"/>
        </w:rPr>
        <w:t>²</w:t>
      </w:r>
      <w:r>
        <w:t xml:space="preserve"> for 160 minutes (Fig</w:t>
      </w:r>
      <w:r w:rsidR="00C3682B">
        <w:t>.</w:t>
      </w:r>
      <w:r>
        <w:t xml:space="preserve"> 2F), or blue light (</w:t>
      </w:r>
      <w:r>
        <w:rPr>
          <w:rFonts w:ascii="Aptos" w:hAnsi="Aptos" w:cs="Aptos"/>
        </w:rPr>
        <w:t>λ</w:t>
      </w:r>
      <w:r>
        <w:t xml:space="preserve"> = 405</w:t>
      </w:r>
      <w:r>
        <w:rPr>
          <w:rFonts w:ascii="Arial" w:hAnsi="Arial" w:cs="Arial"/>
        </w:rPr>
        <w:t> </w:t>
      </w:r>
      <w:r>
        <w:t xml:space="preserve">nm) at </w:t>
      </w:r>
      <w:r w:rsidRPr="00A56487">
        <w:t>1.</w:t>
      </w:r>
      <w:r>
        <w:t>54 mW</w:t>
      </w:r>
      <w:r>
        <w:rPr>
          <w:rFonts w:ascii="Aptos" w:hAnsi="Aptos" w:cs="Aptos"/>
        </w:rPr>
        <w:t>·</w:t>
      </w:r>
      <w:r>
        <w:t>cm</w:t>
      </w:r>
      <w:r>
        <w:rPr>
          <w:rFonts w:ascii="Cambria Math" w:hAnsi="Cambria Math" w:cs="Cambria Math"/>
        </w:rPr>
        <w:t>⁻</w:t>
      </w:r>
      <w:r>
        <w:rPr>
          <w:rFonts w:ascii="Aptos" w:hAnsi="Aptos" w:cs="Aptos"/>
        </w:rPr>
        <w:t>²</w:t>
      </w:r>
      <w:r>
        <w:t xml:space="preserve"> for 240 minutes (Fig</w:t>
      </w:r>
      <w:r w:rsidR="00C3682B">
        <w:t>.</w:t>
      </w:r>
      <w:r>
        <w:t xml:space="preserve"> 3F). Following the formation of a steady-state absorbance plateau, 5</w:t>
      </w:r>
      <w:r>
        <w:rPr>
          <w:rFonts w:ascii="Arial" w:hAnsi="Arial" w:cs="Arial"/>
        </w:rPr>
        <w:t> </w:t>
      </w:r>
      <w:r>
        <w:rPr>
          <w:rFonts w:ascii="Aptos" w:hAnsi="Aptos" w:cs="Aptos"/>
        </w:rPr>
        <w:t>μ</w:t>
      </w:r>
      <w:r>
        <w:t xml:space="preserve">L of </w:t>
      </w:r>
      <w:r w:rsidR="0062096D">
        <w:t xml:space="preserve">an </w:t>
      </w:r>
      <w:r>
        <w:t>aqueous solution containing 90</w:t>
      </w:r>
      <w:r>
        <w:rPr>
          <w:rFonts w:ascii="Arial" w:hAnsi="Arial" w:cs="Arial"/>
        </w:rPr>
        <w:t> </w:t>
      </w:r>
      <w:r>
        <w:t>pmol of free esterase was introduced. No subsequent change in absorbance was observed in yellow-light-irradiated samples, indicating enzyme deactivation due to local acidification. In contrast, samples previously exposed to blue light showed a renewed increase in absorbance, suggesting that the reaction plateau was caused by a light-induced photomask effect rather than substrate depletion. These observations confirm two distinct feedback mechanisms: a pH-mediated inhibition in the yellow-light condition, and a photomask-based optical inhibition in the blue-light case. pH values were estimated by extrapolating absorbance readings onto the calibration curve shown in Supplementary Fig</w:t>
      </w:r>
      <w:r w:rsidR="00C3682B">
        <w:t>.</w:t>
      </w:r>
      <w:r>
        <w:t xml:space="preserve"> 1</w:t>
      </w:r>
      <w:r w:rsidR="00670B86">
        <w:t>3</w:t>
      </w:r>
      <w:r>
        <w:t>.</w:t>
      </w:r>
    </w:p>
    <w:p w14:paraId="45004CA7" w14:textId="4425C81E" w:rsidR="00063C2E" w:rsidRDefault="001F20B7" w:rsidP="000A6E64">
      <w:pPr>
        <w:jc w:val="both"/>
      </w:pPr>
      <w:r>
        <w:rPr>
          <w:b/>
          <w:bCs/>
        </w:rPr>
        <w:t xml:space="preserve">Supplementary Section </w:t>
      </w:r>
      <w:r w:rsidR="00F8764C">
        <w:rPr>
          <w:b/>
          <w:bCs/>
        </w:rPr>
        <w:t>4</w:t>
      </w:r>
      <w:r>
        <w:rPr>
          <w:b/>
          <w:bCs/>
        </w:rPr>
        <w:t xml:space="preserve">. </w:t>
      </w:r>
      <w:r w:rsidR="00063C2E" w:rsidRPr="00063C2E">
        <w:rPr>
          <w:b/>
          <w:bCs/>
        </w:rPr>
        <w:t xml:space="preserve">Assessment of </w:t>
      </w:r>
      <w:r w:rsidR="00E51A70">
        <w:rPr>
          <w:b/>
          <w:bCs/>
        </w:rPr>
        <w:t>n</w:t>
      </w:r>
      <w:r w:rsidR="00063C2E" w:rsidRPr="00063C2E">
        <w:rPr>
          <w:b/>
          <w:bCs/>
        </w:rPr>
        <w:t xml:space="preserve">anoreactor </w:t>
      </w:r>
      <w:r w:rsidR="00E51A70">
        <w:rPr>
          <w:b/>
          <w:bCs/>
        </w:rPr>
        <w:t>s</w:t>
      </w:r>
      <w:r w:rsidR="00063C2E" w:rsidRPr="00063C2E">
        <w:rPr>
          <w:b/>
          <w:bCs/>
        </w:rPr>
        <w:t xml:space="preserve">tability </w:t>
      </w:r>
      <w:r w:rsidR="00E51A70">
        <w:rPr>
          <w:b/>
          <w:bCs/>
        </w:rPr>
        <w:t>u</w:t>
      </w:r>
      <w:r w:rsidR="00063C2E" w:rsidRPr="00063C2E">
        <w:rPr>
          <w:b/>
          <w:bCs/>
        </w:rPr>
        <w:t xml:space="preserve">nder </w:t>
      </w:r>
      <w:r w:rsidR="00E51A70">
        <w:rPr>
          <w:b/>
          <w:bCs/>
        </w:rPr>
        <w:t>l</w:t>
      </w:r>
      <w:r w:rsidR="00063C2E" w:rsidRPr="00063C2E">
        <w:rPr>
          <w:b/>
          <w:bCs/>
        </w:rPr>
        <w:t xml:space="preserve">ight </w:t>
      </w:r>
      <w:r w:rsidR="00E51A70">
        <w:rPr>
          <w:b/>
          <w:bCs/>
        </w:rPr>
        <w:t>i</w:t>
      </w:r>
      <w:r w:rsidR="00063C2E" w:rsidRPr="00063C2E">
        <w:rPr>
          <w:b/>
          <w:bCs/>
        </w:rPr>
        <w:t>rradiation.</w:t>
      </w:r>
      <w:r w:rsidR="00063C2E" w:rsidRPr="00063C2E">
        <w:t xml:space="preserve"> To assess the structural stability of the PYRA–esterase nanoreactors upon light activation, dispersions were irradiated with either blue light (405</w:t>
      </w:r>
      <w:r w:rsidR="00063C2E" w:rsidRPr="00063C2E">
        <w:rPr>
          <w:rFonts w:ascii="Arial" w:hAnsi="Arial" w:cs="Arial"/>
        </w:rPr>
        <w:t> </w:t>
      </w:r>
      <w:r w:rsidR="00063C2E" w:rsidRPr="00063C2E">
        <w:t>nm, 1.10</w:t>
      </w:r>
      <w:r w:rsidR="00063C2E" w:rsidRPr="00063C2E">
        <w:rPr>
          <w:rFonts w:ascii="Arial" w:hAnsi="Arial" w:cs="Arial"/>
        </w:rPr>
        <w:t> </w:t>
      </w:r>
      <w:r w:rsidR="00063C2E" w:rsidRPr="00063C2E">
        <w:t>mW</w:t>
      </w:r>
      <w:r w:rsidR="00753DD9">
        <w:rPr>
          <w:rFonts w:ascii="Aptos" w:hAnsi="Aptos" w:cs="Aptos"/>
        </w:rPr>
        <w:t>·</w:t>
      </w:r>
      <w:r w:rsidR="00063C2E" w:rsidRPr="00063C2E">
        <w:t>cm</w:t>
      </w:r>
      <w:r w:rsidR="00063C2E" w:rsidRPr="00063C2E">
        <w:rPr>
          <w:rFonts w:ascii="Cambria Math" w:hAnsi="Cambria Math" w:cs="Cambria Math"/>
        </w:rPr>
        <w:t>⁻</w:t>
      </w:r>
      <w:r w:rsidR="00063C2E" w:rsidRPr="00063C2E">
        <w:rPr>
          <w:rFonts w:ascii="Aptos" w:hAnsi="Aptos" w:cs="Aptos"/>
        </w:rPr>
        <w:t>²</w:t>
      </w:r>
      <w:r w:rsidR="00063C2E" w:rsidRPr="00063C2E">
        <w:t>) or yellow light (590</w:t>
      </w:r>
      <w:r w:rsidR="00063C2E" w:rsidRPr="00063C2E">
        <w:rPr>
          <w:rFonts w:ascii="Arial" w:hAnsi="Arial" w:cs="Arial"/>
        </w:rPr>
        <w:t> </w:t>
      </w:r>
      <w:r w:rsidR="00063C2E" w:rsidRPr="00063C2E">
        <w:t>nm, 1.06</w:t>
      </w:r>
      <w:r w:rsidR="00063C2E" w:rsidRPr="00063C2E">
        <w:rPr>
          <w:rFonts w:ascii="Arial" w:hAnsi="Arial" w:cs="Arial"/>
        </w:rPr>
        <w:t> </w:t>
      </w:r>
      <w:r w:rsidR="00063C2E" w:rsidRPr="00063C2E">
        <w:t>mW</w:t>
      </w:r>
      <w:r w:rsidR="00753DD9">
        <w:rPr>
          <w:rFonts w:ascii="Aptos" w:hAnsi="Aptos" w:cs="Aptos"/>
        </w:rPr>
        <w:t>·</w:t>
      </w:r>
      <w:r w:rsidR="00063C2E" w:rsidRPr="00063C2E">
        <w:t>cm</w:t>
      </w:r>
      <w:r w:rsidR="00063C2E" w:rsidRPr="00063C2E">
        <w:rPr>
          <w:rFonts w:ascii="Cambria Math" w:hAnsi="Cambria Math" w:cs="Cambria Math"/>
        </w:rPr>
        <w:t>⁻</w:t>
      </w:r>
      <w:r w:rsidR="00063C2E" w:rsidRPr="00063C2E">
        <w:rPr>
          <w:rFonts w:ascii="Aptos" w:hAnsi="Aptos" w:cs="Aptos"/>
        </w:rPr>
        <w:t>²</w:t>
      </w:r>
      <w:r w:rsidR="00063C2E" w:rsidRPr="00063C2E">
        <w:t xml:space="preserve">) for 30 minutes. The samples were subsequently analyzed by </w:t>
      </w:r>
      <w:r w:rsidR="00077640" w:rsidRPr="00063C2E">
        <w:t>DLS</w:t>
      </w:r>
      <w:r w:rsidR="00077640">
        <w:t xml:space="preserve"> (Supplementary Fig</w:t>
      </w:r>
      <w:r w:rsidR="00C3682B">
        <w:t>.</w:t>
      </w:r>
      <w:r w:rsidR="00077640">
        <w:t xml:space="preserve"> </w:t>
      </w:r>
      <w:r w:rsidR="004A2EC9">
        <w:t>5</w:t>
      </w:r>
      <w:r w:rsidR="00077640">
        <w:t xml:space="preserve">) and </w:t>
      </w:r>
      <w:r w:rsidR="00063C2E" w:rsidRPr="00063C2E">
        <w:t>cryogenic transmission electron microscopy (cryo-TEM)</w:t>
      </w:r>
      <w:r w:rsidR="00077640">
        <w:t xml:space="preserve"> (Supplementary Figs</w:t>
      </w:r>
      <w:r w:rsidR="00C3682B">
        <w:t>.</w:t>
      </w:r>
      <w:r w:rsidR="00077640">
        <w:t xml:space="preserve"> 8 and 10)</w:t>
      </w:r>
      <w:r w:rsidR="00063C2E" w:rsidRPr="00063C2E">
        <w:t xml:space="preserve">. </w:t>
      </w:r>
      <w:r w:rsidR="00077640">
        <w:t>B</w:t>
      </w:r>
      <w:r w:rsidR="00063C2E" w:rsidRPr="00063C2E">
        <w:t>oth techniques revealed no detectable changes in particle size or morphology, confirming that the nanoreactors retained their structural integrity under both irradiation conditions.</w:t>
      </w:r>
    </w:p>
    <w:p w14:paraId="0C182DA4" w14:textId="3FC7E139" w:rsidR="005416C2" w:rsidRDefault="001F20B7" w:rsidP="000A6E64">
      <w:pPr>
        <w:jc w:val="both"/>
      </w:pPr>
      <w:r>
        <w:rPr>
          <w:b/>
          <w:bCs/>
        </w:rPr>
        <w:t xml:space="preserve">Supplementary Section </w:t>
      </w:r>
      <w:r w:rsidR="00F8764C">
        <w:rPr>
          <w:b/>
          <w:bCs/>
        </w:rPr>
        <w:t>5</w:t>
      </w:r>
      <w:r>
        <w:rPr>
          <w:b/>
          <w:bCs/>
        </w:rPr>
        <w:t xml:space="preserve">. </w:t>
      </w:r>
      <w:r w:rsidR="00B4701A" w:rsidRPr="00B4701A">
        <w:rPr>
          <w:b/>
          <w:bCs/>
        </w:rPr>
        <w:t>Nanoreactor stability to variations of pH.</w:t>
      </w:r>
      <w:r w:rsidR="00B4701A">
        <w:t xml:space="preserve"> </w:t>
      </w:r>
      <w:r w:rsidR="005416C2" w:rsidRPr="005416C2">
        <w:t>To determine whether the PYRA–esterase nanoreactors maintain their structural integrity during pH fluctuations, dispersions initially adjusted to pH 8 were acidified to pH 6 by the addition of acetic acid. Both the neutral and acidified samples were incubated at room temperature for 24 hours. Structural analysis by cryo-TEM at both pH conditions (Supplementary Fig</w:t>
      </w:r>
      <w:r w:rsidR="00C3682B">
        <w:t>.</w:t>
      </w:r>
      <w:r w:rsidR="005416C2" w:rsidRPr="005416C2">
        <w:t xml:space="preserve"> 9) revealed no observable morphological changes, indicating that the nanoreactors remained intact and functionally stable during pH cycling.</w:t>
      </w:r>
    </w:p>
    <w:p w14:paraId="22300378" w14:textId="53EEE34F" w:rsidR="001A33B7" w:rsidRDefault="001F20B7" w:rsidP="001A33B7">
      <w:pPr>
        <w:jc w:val="both"/>
      </w:pPr>
      <w:r>
        <w:rPr>
          <w:b/>
          <w:bCs/>
        </w:rPr>
        <w:t xml:space="preserve">Supplementary Section </w:t>
      </w:r>
      <w:r w:rsidR="00F8764C">
        <w:rPr>
          <w:b/>
          <w:bCs/>
        </w:rPr>
        <w:t>6</w:t>
      </w:r>
      <w:r>
        <w:rPr>
          <w:b/>
          <w:bCs/>
        </w:rPr>
        <w:t xml:space="preserve">. </w:t>
      </w:r>
      <w:r w:rsidR="001A33B7" w:rsidRPr="004F3B46">
        <w:rPr>
          <w:b/>
          <w:bCs/>
        </w:rPr>
        <w:t>Absorbance–pH Relationship in Bromocresol Purple Solutions</w:t>
      </w:r>
      <w:r w:rsidR="004F3B46" w:rsidRPr="004F3B46">
        <w:rPr>
          <w:b/>
          <w:bCs/>
        </w:rPr>
        <w:t>.</w:t>
      </w:r>
      <w:r w:rsidR="004F3B46">
        <w:t xml:space="preserve"> </w:t>
      </w:r>
      <w:r w:rsidR="001A33B7">
        <w:t xml:space="preserve">To explore the relationship between absorbance and pH in </w:t>
      </w:r>
      <w:r w:rsidR="007D2F5C">
        <w:t>BP</w:t>
      </w:r>
      <w:r w:rsidR="001A33B7">
        <w:t>-containing s</w:t>
      </w:r>
      <w:r w:rsidR="007D2F5C">
        <w:t>olutions</w:t>
      </w:r>
      <w:r w:rsidR="001A33B7">
        <w:t>, 300</w:t>
      </w:r>
      <w:r w:rsidR="001A33B7">
        <w:rPr>
          <w:rFonts w:ascii="Arial" w:hAnsi="Arial" w:cs="Arial"/>
        </w:rPr>
        <w:t> </w:t>
      </w:r>
      <w:r w:rsidR="001A33B7">
        <w:rPr>
          <w:rFonts w:ascii="Aptos" w:hAnsi="Aptos" w:cs="Aptos"/>
        </w:rPr>
        <w:t>μ</w:t>
      </w:r>
      <w:r w:rsidR="001A33B7">
        <w:t>L aliquots of an aqueous solution of the dye (3.7∙10</w:t>
      </w:r>
      <w:r w:rsidR="001A33B7">
        <w:rPr>
          <w:rFonts w:ascii="Cambria Math" w:hAnsi="Cambria Math" w:cs="Cambria Math"/>
        </w:rPr>
        <w:t>⁻</w:t>
      </w:r>
      <w:r w:rsidR="001A33B7">
        <w:rPr>
          <w:rFonts w:ascii="Aptos" w:hAnsi="Aptos" w:cs="Aptos"/>
        </w:rPr>
        <w:t>¹</w:t>
      </w:r>
      <w:r w:rsidR="001A33B7">
        <w:t xml:space="preserve"> mmol</w:t>
      </w:r>
      <w:r w:rsidR="008D232C">
        <w:rPr>
          <w:rFonts w:ascii="Aptos" w:hAnsi="Aptos" w:cs="Aptos"/>
        </w:rPr>
        <w:t>·</w:t>
      </w:r>
      <w:r w:rsidR="001A33B7">
        <w:t>mL</w:t>
      </w:r>
      <w:r w:rsidR="008D232C" w:rsidRPr="008D232C">
        <w:rPr>
          <w:vertAlign w:val="superscript"/>
        </w:rPr>
        <w:t>-1</w:t>
      </w:r>
      <w:r w:rsidR="001A33B7">
        <w:t>) and saturated ethyl acetate (pH 7.6) were dispensed into the wells of a 96-well Corning microplate made of non-binding polystyrene. Small volumes (less than 1</w:t>
      </w:r>
      <w:r w:rsidR="001A33B7">
        <w:rPr>
          <w:rFonts w:ascii="Arial" w:hAnsi="Arial" w:cs="Arial"/>
        </w:rPr>
        <w:t> </w:t>
      </w:r>
      <w:r w:rsidR="001A33B7">
        <w:rPr>
          <w:rFonts w:ascii="Aptos" w:hAnsi="Aptos" w:cs="Aptos"/>
        </w:rPr>
        <w:t>μ</w:t>
      </w:r>
      <w:r w:rsidR="001A33B7">
        <w:t>L) of either acetic acid or sodium hydroxide were added to adjust the pH across a range. The pH of each sample was measured using a pH electrode, and absorbance spectra were acquired using a Spectramax M5 UV-Vis plate reader (Molecular Devices) (Supplementary Fig</w:t>
      </w:r>
      <w:r w:rsidR="00C3682B">
        <w:t>.</w:t>
      </w:r>
      <w:r w:rsidR="001A33B7">
        <w:t xml:space="preserve"> </w:t>
      </w:r>
      <w:r w:rsidR="00C21811">
        <w:t>1</w:t>
      </w:r>
      <w:r w:rsidR="00670B86">
        <w:t>3</w:t>
      </w:r>
      <w:r w:rsidR="001A33B7">
        <w:t xml:space="preserve">). The resulting data were </w:t>
      </w:r>
      <w:r w:rsidR="00275948">
        <w:t>modelled</w:t>
      </w:r>
      <w:r w:rsidR="001A33B7">
        <w:t xml:space="preserve"> using an exponential decay function, yielding a strong fit with an r² value of 0.99 and producing the following correlation equation</w:t>
      </w:r>
      <w:r w:rsidR="00C45068">
        <w:t xml:space="preserve"> (Supplementary Fig</w:t>
      </w:r>
      <w:r w:rsidR="00C3682B">
        <w:t>.</w:t>
      </w:r>
      <w:r w:rsidR="00C45068">
        <w:t xml:space="preserve"> 1</w:t>
      </w:r>
      <w:r w:rsidR="00670B86">
        <w:t>3</w:t>
      </w:r>
      <w:r w:rsidR="00C45068">
        <w:t>)</w:t>
      </w:r>
      <w:r w:rsidR="001A33B7">
        <w:t>:</w:t>
      </w:r>
    </w:p>
    <w:p w14:paraId="5997FB6C" w14:textId="17C235B5" w:rsidR="00F34179" w:rsidRPr="00F34179" w:rsidRDefault="00F34179" w:rsidP="00F34179">
      <w:pPr>
        <w:jc w:val="both"/>
        <w:rPr>
          <w:rFonts w:eastAsiaTheme="minorEastAsia"/>
        </w:rPr>
      </w:pPr>
      <m:oMathPara>
        <m:oMath>
          <m:r>
            <w:rPr>
              <w:rFonts w:ascii="Cambria Math" w:hAnsi="Cambria Math"/>
            </w:rPr>
            <m:t>pH=7.24349+</m:t>
          </m:r>
          <m:sSup>
            <m:sSupPr>
              <m:ctrlPr>
                <w:rPr>
                  <w:rFonts w:ascii="Cambria Math" w:hAnsi="Cambria Math"/>
                  <w:i/>
                </w:rPr>
              </m:ctrlPr>
            </m:sSupPr>
            <m:e>
              <m:r>
                <w:rPr>
                  <w:rFonts w:ascii="Cambria Math" w:hAnsi="Cambria Math"/>
                </w:rPr>
                <m:t>1.01835</m:t>
              </m:r>
            </m:e>
            <m:sup>
              <m:f>
                <m:fPr>
                  <m:ctrlPr>
                    <w:rPr>
                      <w:rFonts w:ascii="Cambria Math" w:hAnsi="Cambria Math"/>
                      <w:i/>
                    </w:rPr>
                  </m:ctrlPr>
                </m:fPr>
                <m:num>
                  <m:r>
                    <w:rPr>
                      <w:rFonts w:ascii="Cambria Math" w:hAnsi="Cambria Math"/>
                    </w:rPr>
                    <m:t>-(x-0.83726)</m:t>
                  </m:r>
                </m:num>
                <m:den>
                  <m:r>
                    <w:rPr>
                      <w:rFonts w:ascii="Cambria Math" w:hAnsi="Cambria Math"/>
                    </w:rPr>
                    <m:t>0.04639</m:t>
                  </m:r>
                </m:den>
              </m:f>
            </m:sup>
          </m:sSup>
          <m:r>
            <w:rPr>
              <w:rFonts w:ascii="Cambria Math" w:hAnsi="Cambria Math"/>
            </w:rPr>
            <m:t>+</m:t>
          </m:r>
          <m:sSup>
            <m:sSupPr>
              <m:ctrlPr>
                <w:rPr>
                  <w:rFonts w:ascii="Cambria Math" w:hAnsi="Cambria Math"/>
                  <w:i/>
                </w:rPr>
              </m:ctrlPr>
            </m:sSupPr>
            <m:e>
              <m:r>
                <w:rPr>
                  <w:rFonts w:ascii="Cambria Math" w:hAnsi="Cambria Math"/>
                </w:rPr>
                <m:t>0.98563</m:t>
              </m:r>
            </m:e>
            <m:sup>
              <m:f>
                <m:fPr>
                  <m:ctrlPr>
                    <w:rPr>
                      <w:rFonts w:ascii="Cambria Math" w:hAnsi="Cambria Math"/>
                      <w:i/>
                    </w:rPr>
                  </m:ctrlPr>
                </m:fPr>
                <m:num>
                  <m:r>
                    <w:rPr>
                      <w:rFonts w:ascii="Cambria Math" w:hAnsi="Cambria Math"/>
                    </w:rPr>
                    <m:t>-(x-0.83726)</m:t>
                  </m:r>
                </m:num>
                <m:den>
                  <m:r>
                    <w:rPr>
                      <w:rFonts w:ascii="Cambria Math" w:hAnsi="Cambria Math"/>
                    </w:rPr>
                    <m:t>0.20131</m:t>
                  </m:r>
                </m:den>
              </m:f>
            </m:sup>
          </m:sSup>
          <m:r>
            <w:rPr>
              <w:rFonts w:ascii="Cambria Math" w:hAnsi="Cambria Math"/>
            </w:rPr>
            <m:t>+</m:t>
          </m:r>
          <m:sSup>
            <m:sSupPr>
              <m:ctrlPr>
                <w:rPr>
                  <w:rFonts w:ascii="Cambria Math" w:hAnsi="Cambria Math"/>
                  <w:i/>
                </w:rPr>
              </m:ctrlPr>
            </m:sSupPr>
            <m:e>
              <m:r>
                <w:rPr>
                  <w:rFonts w:ascii="Cambria Math" w:hAnsi="Cambria Math"/>
                </w:rPr>
                <m:t>1.1027</m:t>
              </m:r>
            </m:e>
            <m:sup>
              <m:f>
                <m:fPr>
                  <m:ctrlPr>
                    <w:rPr>
                      <w:rFonts w:ascii="Cambria Math" w:hAnsi="Cambria Math"/>
                      <w:i/>
                    </w:rPr>
                  </m:ctrlPr>
                </m:fPr>
                <m:num>
                  <m:r>
                    <w:rPr>
                      <w:rFonts w:ascii="Cambria Math" w:hAnsi="Cambria Math"/>
                    </w:rPr>
                    <m:t>-(x-0.83726)</m:t>
                  </m:r>
                </m:num>
                <m:den>
                  <m:r>
                    <w:rPr>
                      <w:rFonts w:ascii="Cambria Math" w:hAnsi="Cambria Math"/>
                    </w:rPr>
                    <m:t>0.20128</m:t>
                  </m:r>
                </m:den>
              </m:f>
            </m:sup>
          </m:sSup>
        </m:oMath>
      </m:oMathPara>
    </w:p>
    <w:p w14:paraId="1E37017E" w14:textId="68911776" w:rsidR="00F34179" w:rsidRDefault="00F34179" w:rsidP="00F34179">
      <w:pPr>
        <w:jc w:val="both"/>
      </w:pPr>
    </w:p>
    <w:p w14:paraId="249310CD" w14:textId="74542F03" w:rsidR="00B231E7" w:rsidRPr="00B231E7" w:rsidRDefault="00FC0719" w:rsidP="00F34179">
      <w:pPr>
        <w:jc w:val="both"/>
      </w:pPr>
      <w:r w:rsidRPr="00891F1F">
        <w:rPr>
          <w:b/>
          <w:bCs/>
        </w:rPr>
        <w:t>Supplementary Figures</w:t>
      </w:r>
    </w:p>
    <w:p w14:paraId="509585E4" w14:textId="5C1B936D" w:rsidR="00E54EC6" w:rsidRDefault="008D627B" w:rsidP="00FF6FEC">
      <w:pPr>
        <w:jc w:val="both"/>
      </w:pPr>
      <w:r>
        <w:object w:dxaOrig="16046" w:dyaOrig="13092" w14:anchorId="3F3E2A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411.6pt" o:ole="">
            <v:imagedata r:id="rId5" o:title=""/>
          </v:shape>
          <o:OLEObject Type="Embed" ProgID="ChemDraw_x64.Document.6.0" ShapeID="_x0000_i1025" DrawAspect="Content" ObjectID="_1815482801" r:id="rId6"/>
        </w:object>
      </w:r>
      <w:r w:rsidR="00E54EC6" w:rsidRPr="00CC4A54">
        <w:rPr>
          <w:b/>
          <w:bCs/>
        </w:rPr>
        <w:t>Supplementary Scheme 1.</w:t>
      </w:r>
      <w:r w:rsidR="00512F37">
        <w:t xml:space="preserve"> </w:t>
      </w:r>
      <w:r w:rsidR="00512F37" w:rsidRPr="00EF2638">
        <w:rPr>
          <w:b/>
          <w:bCs/>
        </w:rPr>
        <w:t xml:space="preserve">Synthesis of PYRA polymer. </w:t>
      </w:r>
      <w:r w:rsidR="00FF6FEC" w:rsidRPr="00F64498">
        <w:rPr>
          <w:b/>
          <w:bCs/>
        </w:rPr>
        <w:t>A.</w:t>
      </w:r>
      <w:r w:rsidR="00FF6FEC">
        <w:t xml:space="preserve"> RAFT polymerization of PEG-based macroCTA with PFPMA and HMA to form an activated ester diblock copolymer. </w:t>
      </w:r>
      <w:r w:rsidR="00FF6FEC" w:rsidRPr="00F64498">
        <w:rPr>
          <w:b/>
          <w:bCs/>
        </w:rPr>
        <w:t>B.</w:t>
      </w:r>
      <w:r w:rsidR="00FF6FEC">
        <w:t xml:space="preserve"> Subsequent removal of the RAFT end group. </w:t>
      </w:r>
      <w:r w:rsidR="00FF6FEC" w:rsidRPr="00F64498">
        <w:rPr>
          <w:b/>
          <w:bCs/>
        </w:rPr>
        <w:t>C.</w:t>
      </w:r>
      <w:r w:rsidR="00FF6FEC">
        <w:t xml:space="preserve"> Formation of the aromatic amine DASA precursor polymer via amidation of the activated esters with MPDP. </w:t>
      </w:r>
      <w:r w:rsidR="00FF6FEC" w:rsidRPr="00F64498">
        <w:rPr>
          <w:b/>
          <w:bCs/>
        </w:rPr>
        <w:t>D.</w:t>
      </w:r>
      <w:r w:rsidR="00FF6FEC">
        <w:t xml:space="preserve"> Final conjugation with a pyrazolone-derived furan adduct to yield the DASA-functionalized diblock copolymer.</w:t>
      </w:r>
    </w:p>
    <w:p w14:paraId="5412E5D3" w14:textId="34DFA735" w:rsidR="00B371BB" w:rsidRDefault="00190255" w:rsidP="002D27B3">
      <w:pPr>
        <w:jc w:val="both"/>
        <w:rPr>
          <w:b/>
          <w:bCs/>
        </w:rPr>
      </w:pPr>
      <w:r>
        <w:rPr>
          <w:b/>
          <w:bCs/>
          <w:noProof/>
        </w:rPr>
        <w:drawing>
          <wp:inline distT="0" distB="0" distL="0" distR="0" wp14:anchorId="60513C0B" wp14:editId="3ECE349F">
            <wp:extent cx="3600000" cy="2754000"/>
            <wp:effectExtent l="0" t="0" r="0" b="8255"/>
            <wp:docPr id="7855374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0000" cy="2754000"/>
                    </a:xfrm>
                    <a:prstGeom prst="rect">
                      <a:avLst/>
                    </a:prstGeom>
                    <a:noFill/>
                  </pic:spPr>
                </pic:pic>
              </a:graphicData>
            </a:graphic>
          </wp:inline>
        </w:drawing>
      </w:r>
    </w:p>
    <w:p w14:paraId="3366EAE4" w14:textId="7B605F56" w:rsidR="00E355A5" w:rsidRDefault="00E355A5" w:rsidP="002D27B3">
      <w:pPr>
        <w:jc w:val="both"/>
      </w:pPr>
      <w:r w:rsidRPr="00CC4A54">
        <w:rPr>
          <w:b/>
          <w:bCs/>
        </w:rPr>
        <w:t>Supplementary Figure 1.</w:t>
      </w:r>
      <w:r>
        <w:t xml:space="preserve"> </w:t>
      </w:r>
      <w:r w:rsidR="002D27B3" w:rsidRPr="00073D70">
        <w:rPr>
          <w:b/>
          <w:bCs/>
        </w:rPr>
        <w:t xml:space="preserve">GPC traces of the </w:t>
      </w:r>
      <w:r w:rsidR="00F6759D">
        <w:rPr>
          <w:b/>
          <w:bCs/>
        </w:rPr>
        <w:t>PYRA polymer</w:t>
      </w:r>
      <w:r w:rsidR="002D27B3" w:rsidRPr="00073D70">
        <w:rPr>
          <w:b/>
          <w:bCs/>
        </w:rPr>
        <w:t xml:space="preserve"> in DMF containing 0.075% w/w LiBr. </w:t>
      </w:r>
    </w:p>
    <w:p w14:paraId="4996FCEE" w14:textId="77777777" w:rsidR="00494366" w:rsidRDefault="00494366" w:rsidP="008E3619">
      <w:pPr>
        <w:jc w:val="both"/>
      </w:pPr>
      <w:r>
        <w:rPr>
          <w:noProof/>
        </w:rPr>
        <w:lastRenderedPageBreak/>
        <w:drawing>
          <wp:inline distT="0" distB="0" distL="0" distR="0" wp14:anchorId="5678265F" wp14:editId="694CD925">
            <wp:extent cx="3600000" cy="2754000"/>
            <wp:effectExtent l="0" t="0" r="0" b="8255"/>
            <wp:docPr id="20813420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2754000"/>
                    </a:xfrm>
                    <a:prstGeom prst="rect">
                      <a:avLst/>
                    </a:prstGeom>
                    <a:noFill/>
                  </pic:spPr>
                </pic:pic>
              </a:graphicData>
            </a:graphic>
          </wp:inline>
        </w:drawing>
      </w:r>
    </w:p>
    <w:p w14:paraId="5378B451" w14:textId="30ADEB45" w:rsidR="008E3619" w:rsidRDefault="008E3619" w:rsidP="008E3619">
      <w:pPr>
        <w:jc w:val="both"/>
      </w:pPr>
      <w:r w:rsidRPr="00E97867">
        <w:rPr>
          <w:b/>
          <w:bCs/>
        </w:rPr>
        <w:t xml:space="preserve">Supplementary Figure </w:t>
      </w:r>
      <w:r w:rsidR="00AC096B">
        <w:rPr>
          <w:b/>
          <w:bCs/>
        </w:rPr>
        <w:t>2</w:t>
      </w:r>
      <w:r w:rsidRPr="00E97867">
        <w:rPr>
          <w:b/>
          <w:bCs/>
        </w:rPr>
        <w:t>.</w:t>
      </w:r>
      <w:r>
        <w:t xml:space="preserve"> </w:t>
      </w:r>
      <w:r w:rsidR="00FD292B" w:rsidRPr="00073D70">
        <w:rPr>
          <w:b/>
          <w:bCs/>
        </w:rPr>
        <w:t>ATR FT-IR spectra illustrating the sequential synthesis of DASA-functionalized polymers.</w:t>
      </w:r>
      <w:r w:rsidR="00FD292B" w:rsidRPr="00FD292B">
        <w:t xml:space="preserve"> The initial activated ester diblock copolymer, PEG-</w:t>
      </w:r>
      <w:r w:rsidR="00FD292B" w:rsidRPr="00FD292B">
        <w:rPr>
          <w:i/>
          <w:iCs/>
        </w:rPr>
        <w:t>b</w:t>
      </w:r>
      <w:r w:rsidR="00FD292B" w:rsidRPr="00FD292B">
        <w:t>-(P</w:t>
      </w:r>
      <w:r w:rsidR="00FD292B">
        <w:t>HM</w:t>
      </w:r>
      <w:r w:rsidR="00FD292B" w:rsidRPr="00FD292B">
        <w:t>A-</w:t>
      </w:r>
      <w:r w:rsidR="00FD292B" w:rsidRPr="00FD292B">
        <w:rPr>
          <w:i/>
          <w:iCs/>
        </w:rPr>
        <w:t>co</w:t>
      </w:r>
      <w:r w:rsidR="00FD292B" w:rsidRPr="00FD292B">
        <w:t xml:space="preserve">-PPFPA) (black), was first reacted with the aromatic amine precursor MPDP (orange), resulting in the loss of the ester signal and the appearance of an amide-associated peak. Subsequent reaction with </w:t>
      </w:r>
      <w:r w:rsidR="00E97867">
        <w:t>the</w:t>
      </w:r>
      <w:r w:rsidR="00FD292B" w:rsidRPr="00FD292B">
        <w:t xml:space="preserve"> </w:t>
      </w:r>
      <w:r w:rsidR="00E97867">
        <w:t>pyrazolone</w:t>
      </w:r>
      <w:r w:rsidR="00FD292B" w:rsidRPr="00FD292B">
        <w:t>-derived furan adduct led to formation of the DASA-containing polymer</w:t>
      </w:r>
      <w:r w:rsidR="00E97867">
        <w:t xml:space="preserve"> </w:t>
      </w:r>
      <w:r w:rsidR="00E97867" w:rsidRPr="00FD292B">
        <w:t>(blue)</w:t>
      </w:r>
      <w:r w:rsidR="00FD292B" w:rsidRPr="00FD292B">
        <w:t>.</w:t>
      </w:r>
    </w:p>
    <w:p w14:paraId="0EE4281C" w14:textId="62A7AE66" w:rsidR="00E06EF7" w:rsidRDefault="001D63B9" w:rsidP="00A56B68">
      <w:pPr>
        <w:jc w:val="both"/>
        <w:rPr>
          <w:b/>
          <w:bCs/>
        </w:rPr>
      </w:pPr>
      <w:r>
        <w:rPr>
          <w:b/>
          <w:bCs/>
          <w:noProof/>
        </w:rPr>
        <w:drawing>
          <wp:inline distT="0" distB="0" distL="0" distR="0" wp14:anchorId="04A54ABC" wp14:editId="698FDD01">
            <wp:extent cx="6724800" cy="3895200"/>
            <wp:effectExtent l="0" t="0" r="0" b="0"/>
            <wp:docPr id="573958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24800" cy="3895200"/>
                    </a:xfrm>
                    <a:prstGeom prst="rect">
                      <a:avLst/>
                    </a:prstGeom>
                    <a:noFill/>
                  </pic:spPr>
                </pic:pic>
              </a:graphicData>
            </a:graphic>
          </wp:inline>
        </w:drawing>
      </w:r>
    </w:p>
    <w:p w14:paraId="4B27DDE7" w14:textId="725B5F34" w:rsidR="008E3619" w:rsidRDefault="00415C90" w:rsidP="00883880">
      <w:pPr>
        <w:jc w:val="both"/>
      </w:pPr>
      <w:r w:rsidRPr="001230E8">
        <w:rPr>
          <w:b/>
          <w:bCs/>
        </w:rPr>
        <w:t xml:space="preserve">Supplementary Figure </w:t>
      </w:r>
      <w:r w:rsidR="00AC096B">
        <w:rPr>
          <w:b/>
          <w:bCs/>
        </w:rPr>
        <w:t>3</w:t>
      </w:r>
      <w:r w:rsidRPr="001230E8">
        <w:rPr>
          <w:b/>
          <w:bCs/>
        </w:rPr>
        <w:t>.</w:t>
      </w:r>
      <w:r>
        <w:t xml:space="preserve"> </w:t>
      </w:r>
      <w:r w:rsidR="00A56B68" w:rsidRPr="001230E8">
        <w:rPr>
          <w:b/>
          <w:bCs/>
          <w:vertAlign w:val="superscript"/>
        </w:rPr>
        <w:t>1</w:t>
      </w:r>
      <w:r w:rsidR="00A56B68" w:rsidRPr="001230E8">
        <w:rPr>
          <w:b/>
          <w:bCs/>
        </w:rPr>
        <w:t>H NMR analysis of the stepwise synthesis leading to DASA-functionalized block copolymers. A.</w:t>
      </w:r>
      <w:r w:rsidR="00A56B68">
        <w:t xml:space="preserve"> Spectrum of the unmodified PEG-</w:t>
      </w:r>
      <w:r w:rsidR="00A56B68" w:rsidRPr="001230E8">
        <w:rPr>
          <w:i/>
          <w:iCs/>
        </w:rPr>
        <w:t>b</w:t>
      </w:r>
      <w:r w:rsidR="00A56B68">
        <w:t>-(</w:t>
      </w:r>
      <w:r w:rsidR="001230E8">
        <w:t>PHM</w:t>
      </w:r>
      <w:r w:rsidR="00A56B68">
        <w:t>A-</w:t>
      </w:r>
      <w:r w:rsidR="00A56B68" w:rsidRPr="001230E8">
        <w:rPr>
          <w:i/>
          <w:iCs/>
        </w:rPr>
        <w:t>co</w:t>
      </w:r>
      <w:r w:rsidR="00A56B68">
        <w:t>-PPFPA) diblock copolymer</w:t>
      </w:r>
      <w:r w:rsidR="00C610BF">
        <w:t xml:space="preserve"> (400 MHz)</w:t>
      </w:r>
      <w:r w:rsidR="00A56B68">
        <w:t xml:space="preserve">. </w:t>
      </w:r>
      <w:r w:rsidR="00446192">
        <w:rPr>
          <w:b/>
          <w:bCs/>
        </w:rPr>
        <w:t>B</w:t>
      </w:r>
      <w:r w:rsidR="00A56B68" w:rsidRPr="001230E8">
        <w:rPr>
          <w:b/>
          <w:bCs/>
        </w:rPr>
        <w:t>.</w:t>
      </w:r>
      <w:r w:rsidR="00A56B68">
        <w:t xml:space="preserve"> </w:t>
      </w:r>
      <w:r w:rsidR="00446192">
        <w:t>Diffusion-edited</w:t>
      </w:r>
      <w:r w:rsidR="00A56B68">
        <w:t xml:space="preserve"> </w:t>
      </w:r>
      <w:r w:rsidR="001230E8" w:rsidRPr="001230E8">
        <w:rPr>
          <w:vertAlign w:val="superscript"/>
        </w:rPr>
        <w:t>1</w:t>
      </w:r>
      <w:r w:rsidR="00A56B68">
        <w:t>H NMR spectrum of the DASA-modified block copolymer</w:t>
      </w:r>
      <w:r w:rsidR="00C610BF">
        <w:t xml:space="preserve"> (600 MHz)</w:t>
      </w:r>
      <w:r w:rsidR="00A56B68">
        <w:t>.</w:t>
      </w:r>
      <w:r w:rsidR="00883880">
        <w:t xml:space="preserve"> </w:t>
      </w:r>
      <w:r w:rsidR="00883880" w:rsidRPr="00883880">
        <w:t>Peaks corresponding to the open isomers are indicated by letters, while those of the closed form are denoted with an asterisk.</w:t>
      </w:r>
    </w:p>
    <w:p w14:paraId="3E00C2F6" w14:textId="7AB47389" w:rsidR="007913EF" w:rsidRDefault="007913EF" w:rsidP="00F34179">
      <w:pPr>
        <w:jc w:val="both"/>
      </w:pPr>
      <w:r>
        <w:rPr>
          <w:noProof/>
        </w:rPr>
        <w:lastRenderedPageBreak/>
        <w:drawing>
          <wp:inline distT="0" distB="0" distL="0" distR="0" wp14:anchorId="5437C437" wp14:editId="4B223768">
            <wp:extent cx="6480810" cy="2158365"/>
            <wp:effectExtent l="0" t="0" r="0" b="0"/>
            <wp:docPr id="1080234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2158365"/>
                    </a:xfrm>
                    <a:prstGeom prst="rect">
                      <a:avLst/>
                    </a:prstGeom>
                    <a:noFill/>
                  </pic:spPr>
                </pic:pic>
              </a:graphicData>
            </a:graphic>
          </wp:inline>
        </w:drawing>
      </w:r>
    </w:p>
    <w:p w14:paraId="4D3E5AED" w14:textId="3C50D889" w:rsidR="00415C90" w:rsidRDefault="00415C90" w:rsidP="00F34179">
      <w:pPr>
        <w:jc w:val="both"/>
      </w:pPr>
      <w:r w:rsidRPr="00073D70">
        <w:rPr>
          <w:b/>
          <w:bCs/>
        </w:rPr>
        <w:t xml:space="preserve">Supplementary Figure </w:t>
      </w:r>
      <w:r w:rsidR="00586B6F">
        <w:rPr>
          <w:b/>
          <w:bCs/>
        </w:rPr>
        <w:t>4</w:t>
      </w:r>
      <w:r w:rsidRPr="00073D70">
        <w:rPr>
          <w:b/>
          <w:bCs/>
        </w:rPr>
        <w:t xml:space="preserve">. </w:t>
      </w:r>
      <w:r w:rsidR="00073D70" w:rsidRPr="00073D70">
        <w:rPr>
          <w:b/>
          <w:bCs/>
        </w:rPr>
        <w:t xml:space="preserve">Cryo-TEM images of </w:t>
      </w:r>
      <w:r w:rsidR="006B6768">
        <w:rPr>
          <w:b/>
          <w:bCs/>
        </w:rPr>
        <w:t>PYRA-esterase nanoreactors</w:t>
      </w:r>
      <w:r w:rsidR="00073D70" w:rsidRPr="00073D70">
        <w:rPr>
          <w:b/>
          <w:bCs/>
        </w:rPr>
        <w:t>.</w:t>
      </w:r>
      <w:r w:rsidR="00073D70" w:rsidRPr="00073D70">
        <w:t xml:space="preserve"> Vesicular morphology is clearly observed, indicating successful self-assembly in the absence of light-induced structural changes. Scale bar: </w:t>
      </w:r>
      <w:r w:rsidR="00073D70">
        <w:t>200</w:t>
      </w:r>
      <w:r w:rsidR="00073D70" w:rsidRPr="00073D70">
        <w:t xml:space="preserve"> nm.</w:t>
      </w:r>
    </w:p>
    <w:p w14:paraId="0597C4C2" w14:textId="77777777" w:rsidR="00A56B1B" w:rsidRDefault="00A56B1B" w:rsidP="00F34179">
      <w:pPr>
        <w:jc w:val="both"/>
      </w:pPr>
    </w:p>
    <w:p w14:paraId="58AC94FC" w14:textId="77777777" w:rsidR="00A56B1B" w:rsidRDefault="00A56B1B" w:rsidP="00F34179">
      <w:pPr>
        <w:jc w:val="both"/>
      </w:pPr>
    </w:p>
    <w:p w14:paraId="6419B8A6" w14:textId="0B722F61" w:rsidR="000E5884" w:rsidRDefault="00B87C49" w:rsidP="00F34179">
      <w:pPr>
        <w:jc w:val="both"/>
      </w:pPr>
      <w:r>
        <w:rPr>
          <w:noProof/>
        </w:rPr>
        <w:lastRenderedPageBreak/>
        <w:drawing>
          <wp:inline distT="0" distB="0" distL="0" distR="0" wp14:anchorId="61C1D4AF" wp14:editId="1D3BDFC9">
            <wp:extent cx="6724800" cy="6735600"/>
            <wp:effectExtent l="0" t="0" r="0" b="8255"/>
            <wp:docPr id="2131637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24800" cy="6735600"/>
                    </a:xfrm>
                    <a:prstGeom prst="rect">
                      <a:avLst/>
                    </a:prstGeom>
                    <a:noFill/>
                  </pic:spPr>
                </pic:pic>
              </a:graphicData>
            </a:graphic>
          </wp:inline>
        </w:drawing>
      </w:r>
    </w:p>
    <w:p w14:paraId="3DA32EC6" w14:textId="6242DB5C" w:rsidR="002757E9" w:rsidRDefault="00282AC4" w:rsidP="008C5706">
      <w:pPr>
        <w:jc w:val="both"/>
      </w:pPr>
      <w:r w:rsidRPr="003D66DA">
        <w:rPr>
          <w:b/>
          <w:bCs/>
        </w:rPr>
        <w:t xml:space="preserve">Supplementary Figure </w:t>
      </w:r>
      <w:r w:rsidR="00586B6F">
        <w:rPr>
          <w:b/>
          <w:bCs/>
        </w:rPr>
        <w:t>5</w:t>
      </w:r>
      <w:r w:rsidRPr="003D66DA">
        <w:rPr>
          <w:b/>
          <w:bCs/>
        </w:rPr>
        <w:t xml:space="preserve">. </w:t>
      </w:r>
      <w:r w:rsidR="008C5706" w:rsidRPr="003D66DA">
        <w:rPr>
          <w:b/>
          <w:bCs/>
        </w:rPr>
        <w:t>Dynamic light scattering (DLS) analysis of DASA-containing polymersomes under different light conditions. A–C</w:t>
      </w:r>
      <w:r w:rsidR="003D66DA" w:rsidRPr="003D66DA">
        <w:rPr>
          <w:b/>
          <w:bCs/>
        </w:rPr>
        <w:t>.</w:t>
      </w:r>
      <w:r w:rsidR="008C5706">
        <w:t xml:space="preserve"> Prior to yellow light irradiation.</w:t>
      </w:r>
      <w:r w:rsidR="003D66DA">
        <w:t xml:space="preserve"> </w:t>
      </w:r>
      <w:r w:rsidR="008C5706" w:rsidRPr="003D66DA">
        <w:rPr>
          <w:b/>
          <w:bCs/>
        </w:rPr>
        <w:t>D–F</w:t>
      </w:r>
      <w:r w:rsidR="003D66DA" w:rsidRPr="003D66DA">
        <w:rPr>
          <w:b/>
          <w:bCs/>
        </w:rPr>
        <w:t>.</w:t>
      </w:r>
      <w:r w:rsidR="008C5706">
        <w:t xml:space="preserve"> After yellow light exposure.</w:t>
      </w:r>
      <w:r w:rsidR="003D66DA">
        <w:t xml:space="preserve"> </w:t>
      </w:r>
      <w:r w:rsidR="008C5706" w:rsidRPr="003D66DA">
        <w:rPr>
          <w:b/>
          <w:bCs/>
        </w:rPr>
        <w:t>G–I</w:t>
      </w:r>
      <w:r w:rsidR="003D66DA" w:rsidRPr="003D66DA">
        <w:rPr>
          <w:b/>
          <w:bCs/>
        </w:rPr>
        <w:t>.</w:t>
      </w:r>
      <w:r w:rsidR="008C5706">
        <w:t xml:space="preserve"> Before blue light irradiation.</w:t>
      </w:r>
      <w:r w:rsidR="003D66DA">
        <w:t xml:space="preserve"> </w:t>
      </w:r>
      <w:r w:rsidR="008C5706" w:rsidRPr="003D66DA">
        <w:rPr>
          <w:b/>
          <w:bCs/>
        </w:rPr>
        <w:t>J–L</w:t>
      </w:r>
      <w:r w:rsidR="003D66DA" w:rsidRPr="003D66DA">
        <w:rPr>
          <w:b/>
          <w:bCs/>
        </w:rPr>
        <w:t>.</w:t>
      </w:r>
      <w:r w:rsidR="008C5706">
        <w:t xml:space="preserve"> Following blue light exposure.</w:t>
      </w:r>
      <w:r w:rsidR="003D66DA">
        <w:t xml:space="preserve"> </w:t>
      </w:r>
      <w:r w:rsidR="008C5706">
        <w:t>For each condition, the hydrodynamic diameter (</w:t>
      </w:r>
      <w:r w:rsidR="008C5706" w:rsidRPr="00E94F60">
        <w:rPr>
          <w:i/>
          <w:iCs/>
        </w:rPr>
        <w:t>D</w:t>
      </w:r>
      <w:r w:rsidR="008C5706" w:rsidRPr="00E94F60">
        <w:rPr>
          <w:i/>
          <w:iCs/>
          <w:vertAlign w:val="subscript"/>
        </w:rPr>
        <w:t>h</w:t>
      </w:r>
      <w:r w:rsidR="008C5706">
        <w:t>) and polydispersity index (PDI) are reported, reflecting changes in vesicle size and distribution in response to light stimuli.</w:t>
      </w:r>
    </w:p>
    <w:p w14:paraId="00049416" w14:textId="77777777" w:rsidR="00CC5445" w:rsidRDefault="00CC5445" w:rsidP="008C5706">
      <w:pPr>
        <w:jc w:val="both"/>
        <w:rPr>
          <w:b/>
          <w:bCs/>
        </w:rPr>
      </w:pPr>
      <w:r>
        <w:rPr>
          <w:b/>
          <w:bCs/>
          <w:noProof/>
        </w:rPr>
        <w:lastRenderedPageBreak/>
        <w:drawing>
          <wp:inline distT="0" distB="0" distL="0" distR="0" wp14:anchorId="75210512" wp14:editId="0CE18CB1">
            <wp:extent cx="5041900" cy="1926590"/>
            <wp:effectExtent l="0" t="0" r="0" b="0"/>
            <wp:docPr id="15080409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1900" cy="1926590"/>
                    </a:xfrm>
                    <a:prstGeom prst="rect">
                      <a:avLst/>
                    </a:prstGeom>
                    <a:noFill/>
                  </pic:spPr>
                </pic:pic>
              </a:graphicData>
            </a:graphic>
          </wp:inline>
        </w:drawing>
      </w:r>
    </w:p>
    <w:p w14:paraId="201B77EB" w14:textId="59F24E03" w:rsidR="002757E9" w:rsidRPr="00CC5445" w:rsidRDefault="002757E9" w:rsidP="008C5706">
      <w:pPr>
        <w:jc w:val="both"/>
        <w:rPr>
          <w:b/>
          <w:bCs/>
        </w:rPr>
      </w:pPr>
      <w:r w:rsidRPr="003D66DA">
        <w:rPr>
          <w:b/>
          <w:bCs/>
        </w:rPr>
        <w:t xml:space="preserve">Supplementary Figure </w:t>
      </w:r>
      <w:r>
        <w:rPr>
          <w:b/>
          <w:bCs/>
        </w:rPr>
        <w:t>6</w:t>
      </w:r>
      <w:r w:rsidRPr="003D66DA">
        <w:rPr>
          <w:b/>
          <w:bCs/>
        </w:rPr>
        <w:t>.</w:t>
      </w:r>
      <w:r>
        <w:rPr>
          <w:b/>
          <w:bCs/>
        </w:rPr>
        <w:t xml:space="preserve"> </w:t>
      </w:r>
      <w:r w:rsidR="003F4A81">
        <w:rPr>
          <w:b/>
          <w:bCs/>
        </w:rPr>
        <w:t>Evolution of rate of change in absorbance over time</w:t>
      </w:r>
      <w:r w:rsidR="00C110BC">
        <w:rPr>
          <w:b/>
          <w:bCs/>
        </w:rPr>
        <w:t xml:space="preserve"> in presence of </w:t>
      </w:r>
      <w:r w:rsidR="00240BBC">
        <w:rPr>
          <w:b/>
          <w:bCs/>
        </w:rPr>
        <w:t>orthogonal wavelength</w:t>
      </w:r>
      <w:r w:rsidR="00C110BC">
        <w:rPr>
          <w:b/>
          <w:bCs/>
        </w:rPr>
        <w:t xml:space="preserve">. </w:t>
      </w:r>
      <w:r w:rsidR="00240BBC">
        <w:rPr>
          <w:b/>
          <w:bCs/>
        </w:rPr>
        <w:t xml:space="preserve">A. </w:t>
      </w:r>
      <w:r w:rsidR="00C110BC">
        <w:t>The values are calculated from the data in Figure 2D</w:t>
      </w:r>
      <w:r w:rsidR="00887B7D">
        <w:t xml:space="preserve"> with samples being irradiated </w:t>
      </w:r>
      <w:r w:rsidR="0040257F">
        <w:t xml:space="preserve">with yellow light </w:t>
      </w:r>
      <w:r w:rsidR="00887B7D">
        <w:t xml:space="preserve">at </w:t>
      </w:r>
      <w:r w:rsidR="005719BF" w:rsidRPr="005719BF">
        <w:t>1.76 mW·cm</w:t>
      </w:r>
      <w:r w:rsidR="005719BF" w:rsidRPr="005719BF">
        <w:rPr>
          <w:rFonts w:ascii="Cambria Math" w:hAnsi="Cambria Math" w:cs="Cambria Math"/>
        </w:rPr>
        <w:t>⁻</w:t>
      </w:r>
      <w:r w:rsidR="005719BF" w:rsidRPr="005719BF">
        <w:rPr>
          <w:rFonts w:ascii="Aptos" w:hAnsi="Aptos" w:cs="Aptos"/>
        </w:rPr>
        <w:t>²</w:t>
      </w:r>
      <w:r w:rsidR="005719BF" w:rsidRPr="005719BF">
        <w:t xml:space="preserve"> (</w:t>
      </w:r>
      <w:r w:rsidR="003A7497">
        <w:t>red</w:t>
      </w:r>
      <w:r w:rsidR="005719BF" w:rsidRPr="005719BF">
        <w:t>)</w:t>
      </w:r>
      <w:r w:rsidR="005719BF">
        <w:t xml:space="preserve"> and </w:t>
      </w:r>
      <w:r w:rsidR="005719BF" w:rsidRPr="005719BF">
        <w:t>1.57 mW</w:t>
      </w:r>
      <w:r w:rsidR="005719BF" w:rsidRPr="005719BF">
        <w:rPr>
          <w:rFonts w:ascii="Aptos" w:hAnsi="Aptos" w:cs="Aptos"/>
        </w:rPr>
        <w:t>·</w:t>
      </w:r>
      <w:r w:rsidR="005719BF" w:rsidRPr="005719BF">
        <w:t>cm</w:t>
      </w:r>
      <w:r w:rsidR="005719BF" w:rsidRPr="005719BF">
        <w:rPr>
          <w:rFonts w:ascii="Cambria Math" w:hAnsi="Cambria Math" w:cs="Cambria Math"/>
        </w:rPr>
        <w:t>⁻</w:t>
      </w:r>
      <w:r w:rsidR="005719BF" w:rsidRPr="005719BF">
        <w:rPr>
          <w:rFonts w:ascii="Aptos" w:hAnsi="Aptos" w:cs="Aptos"/>
        </w:rPr>
        <w:t>²</w:t>
      </w:r>
      <w:r w:rsidR="005719BF" w:rsidRPr="005719BF">
        <w:t xml:space="preserve"> (orange)</w:t>
      </w:r>
      <w:r w:rsidR="005719BF">
        <w:t>.</w:t>
      </w:r>
      <w:r w:rsidR="0040257F">
        <w:t xml:space="preserve"> </w:t>
      </w:r>
      <w:r w:rsidR="0040257F" w:rsidRPr="0040257F">
        <w:rPr>
          <w:b/>
          <w:bCs/>
        </w:rPr>
        <w:t>B.</w:t>
      </w:r>
      <w:r w:rsidR="0040257F">
        <w:t xml:space="preserve"> The values are calculated from the data in Figure 2D with samples being irradiated with yellow light at </w:t>
      </w:r>
      <w:r w:rsidR="00DA13D0" w:rsidRPr="00DA13D0">
        <w:rPr>
          <w:rStyle w:val="Strong"/>
          <w:b w:val="0"/>
          <w:bCs w:val="0"/>
          <w:lang w:val="en-US"/>
        </w:rPr>
        <w:t>1.88</w:t>
      </w:r>
      <w:r w:rsidR="00DA13D0" w:rsidRPr="00DA13D0">
        <w:rPr>
          <w:b/>
          <w:bCs/>
          <w:lang w:val="en-US"/>
        </w:rPr>
        <w:t xml:space="preserve"> </w:t>
      </w:r>
      <w:r w:rsidR="0040257F" w:rsidRPr="005719BF">
        <w:t>mW·cm</w:t>
      </w:r>
      <w:r w:rsidR="0040257F" w:rsidRPr="005719BF">
        <w:rPr>
          <w:rFonts w:ascii="Cambria Math" w:hAnsi="Cambria Math" w:cs="Cambria Math"/>
        </w:rPr>
        <w:t>⁻</w:t>
      </w:r>
      <w:r w:rsidR="0040257F" w:rsidRPr="005719BF">
        <w:rPr>
          <w:rFonts w:ascii="Aptos" w:hAnsi="Aptos" w:cs="Aptos"/>
        </w:rPr>
        <w:t>²</w:t>
      </w:r>
      <w:r w:rsidR="0040257F" w:rsidRPr="005719BF">
        <w:t xml:space="preserve"> (</w:t>
      </w:r>
      <w:r w:rsidR="0040257F">
        <w:t>dark blue</w:t>
      </w:r>
      <w:r w:rsidR="0040257F" w:rsidRPr="005719BF">
        <w:t>)</w:t>
      </w:r>
      <w:r w:rsidR="0040257F">
        <w:t xml:space="preserve"> and </w:t>
      </w:r>
      <w:r w:rsidR="0040257F" w:rsidRPr="005719BF">
        <w:t>1.5</w:t>
      </w:r>
      <w:r w:rsidR="00DA13D0">
        <w:t>4</w:t>
      </w:r>
      <w:r w:rsidR="0040257F" w:rsidRPr="005719BF">
        <w:t xml:space="preserve"> mW</w:t>
      </w:r>
      <w:r w:rsidR="0040257F" w:rsidRPr="005719BF">
        <w:rPr>
          <w:rFonts w:ascii="Aptos" w:hAnsi="Aptos" w:cs="Aptos"/>
        </w:rPr>
        <w:t>·</w:t>
      </w:r>
      <w:r w:rsidR="0040257F" w:rsidRPr="005719BF">
        <w:t>cm</w:t>
      </w:r>
      <w:r w:rsidR="0040257F" w:rsidRPr="005719BF">
        <w:rPr>
          <w:rFonts w:ascii="Cambria Math" w:hAnsi="Cambria Math" w:cs="Cambria Math"/>
        </w:rPr>
        <w:t>⁻</w:t>
      </w:r>
      <w:r w:rsidR="0040257F" w:rsidRPr="005719BF">
        <w:rPr>
          <w:rFonts w:ascii="Aptos" w:hAnsi="Aptos" w:cs="Aptos"/>
        </w:rPr>
        <w:t>²</w:t>
      </w:r>
      <w:r w:rsidR="0040257F" w:rsidRPr="005719BF">
        <w:t xml:space="preserve"> (</w:t>
      </w:r>
      <w:r w:rsidR="0040257F">
        <w:t>light blue</w:t>
      </w:r>
      <w:r w:rsidR="0040257F" w:rsidRPr="005719BF">
        <w:t>)</w:t>
      </w:r>
      <w:r w:rsidR="0040257F">
        <w:t>.</w:t>
      </w:r>
    </w:p>
    <w:p w14:paraId="1D82230D" w14:textId="77777777" w:rsidR="004A37AE" w:rsidRDefault="004A37AE" w:rsidP="00F34179">
      <w:pPr>
        <w:jc w:val="both"/>
      </w:pPr>
      <w:r>
        <w:rPr>
          <w:noProof/>
        </w:rPr>
        <w:drawing>
          <wp:inline distT="0" distB="0" distL="0" distR="0" wp14:anchorId="068AE933" wp14:editId="7A0F68E5">
            <wp:extent cx="3602990" cy="2950845"/>
            <wp:effectExtent l="0" t="0" r="0" b="1905"/>
            <wp:docPr id="4221941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2990" cy="2950845"/>
                    </a:xfrm>
                    <a:prstGeom prst="rect">
                      <a:avLst/>
                    </a:prstGeom>
                    <a:noFill/>
                  </pic:spPr>
                </pic:pic>
              </a:graphicData>
            </a:graphic>
          </wp:inline>
        </w:drawing>
      </w:r>
    </w:p>
    <w:p w14:paraId="786AB5FC" w14:textId="204A07D2" w:rsidR="00412460" w:rsidRDefault="00271E0D" w:rsidP="00F34179">
      <w:pPr>
        <w:jc w:val="both"/>
      </w:pPr>
      <w:r w:rsidRPr="004E6A4A">
        <w:rPr>
          <w:b/>
          <w:bCs/>
        </w:rPr>
        <w:t xml:space="preserve">Supplementary Figure </w:t>
      </w:r>
      <w:r w:rsidR="004E4A77">
        <w:rPr>
          <w:b/>
          <w:bCs/>
        </w:rPr>
        <w:t>7</w:t>
      </w:r>
      <w:r w:rsidRPr="004E6A4A">
        <w:rPr>
          <w:b/>
          <w:bCs/>
        </w:rPr>
        <w:t>.</w:t>
      </w:r>
      <w:r>
        <w:t xml:space="preserve"> </w:t>
      </w:r>
      <w:r w:rsidR="00412460" w:rsidRPr="00E73FEB">
        <w:rPr>
          <w:b/>
          <w:bCs/>
        </w:rPr>
        <w:t>Photoisomerization of the PYRA polymer in THF upon blue light irradiation.</w:t>
      </w:r>
      <w:r w:rsidR="00412460" w:rsidRPr="00E73FEB">
        <w:t xml:space="preserve"> The samples were irradiated at intensities of </w:t>
      </w:r>
      <w:r w:rsidR="00F75035">
        <w:t>2</w:t>
      </w:r>
      <w:r w:rsidR="00412460" w:rsidRPr="00E73FEB">
        <w:t>.</w:t>
      </w:r>
      <w:r w:rsidR="00F75035">
        <w:t>23</w:t>
      </w:r>
      <w:r w:rsidR="00412460" w:rsidRPr="00E73FEB">
        <w:t xml:space="preserve"> mW·cm</w:t>
      </w:r>
      <w:r w:rsidR="00412460" w:rsidRPr="00E73FEB">
        <w:rPr>
          <w:rFonts w:ascii="Cambria Math" w:hAnsi="Cambria Math" w:cs="Cambria Math"/>
        </w:rPr>
        <w:t>⁻</w:t>
      </w:r>
      <w:r w:rsidR="00412460" w:rsidRPr="00E73FEB">
        <w:rPr>
          <w:rFonts w:ascii="Aptos" w:hAnsi="Aptos" w:cs="Aptos"/>
        </w:rPr>
        <w:t>²</w:t>
      </w:r>
      <w:r w:rsidR="00412460" w:rsidRPr="00E73FEB">
        <w:t xml:space="preserve"> (</w:t>
      </w:r>
      <w:r w:rsidR="001F4F65">
        <w:t>blue</w:t>
      </w:r>
      <w:r w:rsidR="00412460" w:rsidRPr="00E73FEB">
        <w:t>), 1.</w:t>
      </w:r>
      <w:r w:rsidR="00516720">
        <w:t>56</w:t>
      </w:r>
      <w:r w:rsidR="00412460" w:rsidRPr="00E73FEB">
        <w:t xml:space="preserve"> mW</w:t>
      </w:r>
      <w:r w:rsidR="00412460" w:rsidRPr="00E73FEB">
        <w:rPr>
          <w:rFonts w:ascii="Aptos" w:hAnsi="Aptos" w:cs="Aptos"/>
        </w:rPr>
        <w:t>·</w:t>
      </w:r>
      <w:r w:rsidR="00412460" w:rsidRPr="00E73FEB">
        <w:t>cm</w:t>
      </w:r>
      <w:r w:rsidR="00412460" w:rsidRPr="00E73FEB">
        <w:rPr>
          <w:rFonts w:ascii="Cambria Math" w:hAnsi="Cambria Math" w:cs="Cambria Math"/>
        </w:rPr>
        <w:t>⁻</w:t>
      </w:r>
      <w:r w:rsidR="00412460" w:rsidRPr="00E73FEB">
        <w:rPr>
          <w:rFonts w:ascii="Aptos" w:hAnsi="Aptos" w:cs="Aptos"/>
        </w:rPr>
        <w:t>²</w:t>
      </w:r>
      <w:r w:rsidR="00412460" w:rsidRPr="00E73FEB">
        <w:t xml:space="preserve"> (</w:t>
      </w:r>
      <w:r w:rsidR="005212B2">
        <w:t>orange</w:t>
      </w:r>
      <w:r w:rsidR="00412460" w:rsidRPr="00E73FEB">
        <w:t>), and 1.1 mW</w:t>
      </w:r>
      <w:r w:rsidR="00412460" w:rsidRPr="00E73FEB">
        <w:rPr>
          <w:rFonts w:ascii="Aptos" w:hAnsi="Aptos" w:cs="Aptos"/>
        </w:rPr>
        <w:t>·</w:t>
      </w:r>
      <w:r w:rsidR="00412460" w:rsidRPr="00E73FEB">
        <w:t>cm</w:t>
      </w:r>
      <w:r w:rsidR="00412460" w:rsidRPr="00E73FEB">
        <w:rPr>
          <w:rFonts w:ascii="Cambria Math" w:hAnsi="Cambria Math" w:cs="Cambria Math"/>
        </w:rPr>
        <w:t>⁻</w:t>
      </w:r>
      <w:r w:rsidR="00412460" w:rsidRPr="00E73FEB">
        <w:rPr>
          <w:rFonts w:ascii="Aptos" w:hAnsi="Aptos" w:cs="Aptos"/>
        </w:rPr>
        <w:t>²</w:t>
      </w:r>
      <w:r w:rsidR="00412460" w:rsidRPr="00E73FEB">
        <w:t xml:space="preserve"> (black). Samples were irradiated for 15 seconds across three consecutive cycles.</w:t>
      </w:r>
    </w:p>
    <w:p w14:paraId="74E16103" w14:textId="77777777" w:rsidR="00A56B1B" w:rsidRDefault="00A56B1B" w:rsidP="00F34179">
      <w:pPr>
        <w:jc w:val="both"/>
      </w:pPr>
    </w:p>
    <w:p w14:paraId="76880006" w14:textId="77777777" w:rsidR="00A56B1B" w:rsidRDefault="00A56B1B" w:rsidP="00F34179">
      <w:pPr>
        <w:jc w:val="both"/>
      </w:pPr>
    </w:p>
    <w:p w14:paraId="71F0170B" w14:textId="77777777" w:rsidR="0024430F" w:rsidRDefault="0024430F" w:rsidP="00F34179">
      <w:pPr>
        <w:jc w:val="both"/>
      </w:pPr>
    </w:p>
    <w:p w14:paraId="77E47D2C" w14:textId="77777777" w:rsidR="0024430F" w:rsidRDefault="0024430F" w:rsidP="00F34179">
      <w:pPr>
        <w:jc w:val="both"/>
      </w:pPr>
    </w:p>
    <w:p w14:paraId="48DC616C" w14:textId="5487CA5A" w:rsidR="007B55CD" w:rsidRDefault="007B55CD" w:rsidP="00F34179">
      <w:pPr>
        <w:jc w:val="both"/>
      </w:pPr>
      <w:r>
        <w:rPr>
          <w:noProof/>
        </w:rPr>
        <w:lastRenderedPageBreak/>
        <w:drawing>
          <wp:inline distT="0" distB="0" distL="0" distR="0" wp14:anchorId="2B613098" wp14:editId="343200ED">
            <wp:extent cx="6480810" cy="2158365"/>
            <wp:effectExtent l="0" t="0" r="0" b="0"/>
            <wp:docPr id="1270845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810" cy="2158365"/>
                    </a:xfrm>
                    <a:prstGeom prst="rect">
                      <a:avLst/>
                    </a:prstGeom>
                    <a:noFill/>
                  </pic:spPr>
                </pic:pic>
              </a:graphicData>
            </a:graphic>
          </wp:inline>
        </w:drawing>
      </w:r>
    </w:p>
    <w:p w14:paraId="368C2886" w14:textId="5DF3A630" w:rsidR="00F038AB" w:rsidRDefault="00F038AB" w:rsidP="00F34179">
      <w:pPr>
        <w:jc w:val="both"/>
      </w:pPr>
      <w:r w:rsidRPr="00B17F25">
        <w:rPr>
          <w:b/>
          <w:bCs/>
        </w:rPr>
        <w:t xml:space="preserve">Supplementary Figure </w:t>
      </w:r>
      <w:r w:rsidR="004E4A77">
        <w:rPr>
          <w:b/>
          <w:bCs/>
        </w:rPr>
        <w:t>8</w:t>
      </w:r>
      <w:r w:rsidRPr="00B17F25">
        <w:rPr>
          <w:b/>
          <w:bCs/>
        </w:rPr>
        <w:t xml:space="preserve">. </w:t>
      </w:r>
      <w:r w:rsidR="00B17F25" w:rsidRPr="00B17F25">
        <w:rPr>
          <w:b/>
          <w:bCs/>
        </w:rPr>
        <w:t xml:space="preserve">Cryo-TEM images of </w:t>
      </w:r>
      <w:r w:rsidR="00DE3043">
        <w:rPr>
          <w:b/>
          <w:bCs/>
        </w:rPr>
        <w:t>PYRA-esterase nanoreactors after</w:t>
      </w:r>
      <w:r w:rsidR="00B17F25" w:rsidRPr="00B17F25">
        <w:rPr>
          <w:b/>
          <w:bCs/>
        </w:rPr>
        <w:t xml:space="preserve"> yellow light irradiation.</w:t>
      </w:r>
      <w:r w:rsidR="00B17F25" w:rsidRPr="00B17F25">
        <w:t xml:space="preserve"> Vesicular structures are still observed, indicating that self-assembly is retained after light exposure. Scale bar: 200 nm.</w:t>
      </w:r>
    </w:p>
    <w:p w14:paraId="0C652795" w14:textId="6545F5CA" w:rsidR="00C50215" w:rsidRDefault="00550B6C" w:rsidP="00F34179">
      <w:pPr>
        <w:jc w:val="both"/>
      </w:pPr>
      <w:r>
        <w:rPr>
          <w:noProof/>
        </w:rPr>
        <w:drawing>
          <wp:inline distT="0" distB="0" distL="0" distR="0" wp14:anchorId="22584999" wp14:editId="2D8BBFB3">
            <wp:extent cx="6480810" cy="4298315"/>
            <wp:effectExtent l="0" t="0" r="0" b="6985"/>
            <wp:docPr id="478176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810" cy="4298315"/>
                    </a:xfrm>
                    <a:prstGeom prst="rect">
                      <a:avLst/>
                    </a:prstGeom>
                    <a:noFill/>
                  </pic:spPr>
                </pic:pic>
              </a:graphicData>
            </a:graphic>
          </wp:inline>
        </w:drawing>
      </w:r>
    </w:p>
    <w:p w14:paraId="7A237942" w14:textId="749F4697" w:rsidR="00195849" w:rsidRDefault="009B69EF" w:rsidP="00F34179">
      <w:pPr>
        <w:jc w:val="both"/>
      </w:pPr>
      <w:r w:rsidRPr="00195849">
        <w:rPr>
          <w:b/>
          <w:bCs/>
        </w:rPr>
        <w:t xml:space="preserve">Supplementary Figure </w:t>
      </w:r>
      <w:r w:rsidR="004E4A77">
        <w:rPr>
          <w:b/>
          <w:bCs/>
        </w:rPr>
        <w:t>9</w:t>
      </w:r>
      <w:r w:rsidRPr="00195849">
        <w:rPr>
          <w:b/>
          <w:bCs/>
        </w:rPr>
        <w:t xml:space="preserve">. </w:t>
      </w:r>
      <w:r w:rsidR="00195849" w:rsidRPr="00195849">
        <w:rPr>
          <w:b/>
          <w:bCs/>
        </w:rPr>
        <w:t>Cryo-TEM analysis of DASA-containing polymersomes under alkaline and acidic conditions.</w:t>
      </w:r>
      <w:r w:rsidR="00195849">
        <w:rPr>
          <w:b/>
          <w:bCs/>
        </w:rPr>
        <w:t xml:space="preserve"> </w:t>
      </w:r>
      <w:r w:rsidR="00195849" w:rsidRPr="00195849">
        <w:t>Cryo-TEM images of DASA-containing polymersomes before (</w:t>
      </w:r>
      <w:r w:rsidR="00195849" w:rsidRPr="00195849">
        <w:rPr>
          <w:b/>
          <w:bCs/>
        </w:rPr>
        <w:t>A–C</w:t>
      </w:r>
      <w:r w:rsidR="00195849" w:rsidRPr="00195849">
        <w:t>) and after (</w:t>
      </w:r>
      <w:r w:rsidR="00195849" w:rsidRPr="00195849">
        <w:rPr>
          <w:b/>
          <w:bCs/>
        </w:rPr>
        <w:t>D–F</w:t>
      </w:r>
      <w:r w:rsidR="00195849" w:rsidRPr="00195849">
        <w:t>) transitioning from alkaline</w:t>
      </w:r>
      <w:r w:rsidR="001818E1">
        <w:t xml:space="preserve"> (pH = 8)</w:t>
      </w:r>
      <w:r w:rsidR="00195849" w:rsidRPr="00195849">
        <w:t xml:space="preserve"> to acidic pH</w:t>
      </w:r>
      <w:r w:rsidR="001818E1">
        <w:t xml:space="preserve"> (pH = 6)</w:t>
      </w:r>
      <w:r w:rsidR="00195849" w:rsidRPr="00195849">
        <w:t>. Vesicular morphology is maintained in all cases, indicating structural stability of the self-assembled assemblies across pH conditions. Scale bar: 200</w:t>
      </w:r>
      <w:r w:rsidR="00195849" w:rsidRPr="00195849">
        <w:rPr>
          <w:rFonts w:ascii="Arial" w:hAnsi="Arial" w:cs="Arial"/>
        </w:rPr>
        <w:t> </w:t>
      </w:r>
      <w:r w:rsidR="00195849" w:rsidRPr="00195849">
        <w:t>nm.</w:t>
      </w:r>
    </w:p>
    <w:p w14:paraId="0463AD67" w14:textId="7424856E" w:rsidR="00C052AF" w:rsidRDefault="004873A4" w:rsidP="00F34179">
      <w:pPr>
        <w:jc w:val="both"/>
      </w:pPr>
      <w:r>
        <w:rPr>
          <w:noProof/>
        </w:rPr>
        <w:lastRenderedPageBreak/>
        <w:drawing>
          <wp:inline distT="0" distB="0" distL="0" distR="0" wp14:anchorId="43168721" wp14:editId="6ED1728D">
            <wp:extent cx="6480810" cy="2158365"/>
            <wp:effectExtent l="0" t="0" r="0" b="0"/>
            <wp:docPr id="18264616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0810" cy="2158365"/>
                    </a:xfrm>
                    <a:prstGeom prst="rect">
                      <a:avLst/>
                    </a:prstGeom>
                    <a:noFill/>
                  </pic:spPr>
                </pic:pic>
              </a:graphicData>
            </a:graphic>
          </wp:inline>
        </w:drawing>
      </w:r>
    </w:p>
    <w:p w14:paraId="3F42D27D" w14:textId="6731B9F4" w:rsidR="00A56B1B" w:rsidRPr="00A56B1B" w:rsidRDefault="001C5FA7" w:rsidP="009639FD">
      <w:pPr>
        <w:jc w:val="both"/>
      </w:pPr>
      <w:r w:rsidRPr="00AC559D">
        <w:rPr>
          <w:b/>
          <w:bCs/>
        </w:rPr>
        <w:t>Supplementary Figure 1</w:t>
      </w:r>
      <w:r w:rsidR="004E4A77">
        <w:rPr>
          <w:b/>
          <w:bCs/>
        </w:rPr>
        <w:t>0</w:t>
      </w:r>
      <w:r w:rsidRPr="00AC559D">
        <w:rPr>
          <w:b/>
          <w:bCs/>
        </w:rPr>
        <w:t>.</w:t>
      </w:r>
      <w:r>
        <w:t xml:space="preserve"> </w:t>
      </w:r>
      <w:r w:rsidR="00AC559D" w:rsidRPr="00B17F25">
        <w:rPr>
          <w:b/>
          <w:bCs/>
        </w:rPr>
        <w:t xml:space="preserve">Cryo-TEM images of </w:t>
      </w:r>
      <w:r w:rsidR="00AC559D">
        <w:rPr>
          <w:b/>
          <w:bCs/>
        </w:rPr>
        <w:t>PYRA-esterase nanoreactors after</w:t>
      </w:r>
      <w:r w:rsidR="00AC559D" w:rsidRPr="00B17F25">
        <w:rPr>
          <w:b/>
          <w:bCs/>
        </w:rPr>
        <w:t xml:space="preserve"> </w:t>
      </w:r>
      <w:r w:rsidR="00AC559D">
        <w:rPr>
          <w:b/>
          <w:bCs/>
        </w:rPr>
        <w:t>blue</w:t>
      </w:r>
      <w:r w:rsidR="00AC559D" w:rsidRPr="00B17F25">
        <w:rPr>
          <w:b/>
          <w:bCs/>
        </w:rPr>
        <w:t xml:space="preserve"> light irradiation.</w:t>
      </w:r>
      <w:r w:rsidR="00AC559D" w:rsidRPr="00B17F25">
        <w:t xml:space="preserve"> Vesicular structures are still observed, indicating that self-assembly is retained after light exposure. Scale bar: 200 nm.</w:t>
      </w:r>
    </w:p>
    <w:p w14:paraId="1D9034DC" w14:textId="4B5EFEBA" w:rsidR="00F52C99" w:rsidRDefault="00366544" w:rsidP="00F34179">
      <w:pPr>
        <w:jc w:val="both"/>
      </w:pPr>
      <w:r>
        <w:rPr>
          <w:noProof/>
        </w:rPr>
        <w:drawing>
          <wp:inline distT="0" distB="0" distL="0" distR="0" wp14:anchorId="5F380578" wp14:editId="3C6D6240">
            <wp:extent cx="3596640" cy="2755900"/>
            <wp:effectExtent l="0" t="0" r="0" b="6350"/>
            <wp:docPr id="8544838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6640" cy="2755900"/>
                    </a:xfrm>
                    <a:prstGeom prst="rect">
                      <a:avLst/>
                    </a:prstGeom>
                    <a:noFill/>
                  </pic:spPr>
                </pic:pic>
              </a:graphicData>
            </a:graphic>
          </wp:inline>
        </w:drawing>
      </w:r>
    </w:p>
    <w:p w14:paraId="278A4EB8" w14:textId="728C03C1" w:rsidR="00FB4B7D" w:rsidRDefault="003C2673" w:rsidP="00F34179">
      <w:pPr>
        <w:jc w:val="both"/>
      </w:pPr>
      <w:r w:rsidRPr="00E73FEB">
        <w:rPr>
          <w:b/>
          <w:bCs/>
        </w:rPr>
        <w:t>Supplementary Figure 1</w:t>
      </w:r>
      <w:r w:rsidR="00A16637">
        <w:rPr>
          <w:b/>
          <w:bCs/>
        </w:rPr>
        <w:t>1</w:t>
      </w:r>
      <w:r w:rsidRPr="00E73FEB">
        <w:rPr>
          <w:b/>
          <w:bCs/>
        </w:rPr>
        <w:t xml:space="preserve">. </w:t>
      </w:r>
      <w:r w:rsidR="00E73FEB" w:rsidRPr="00E73FEB">
        <w:rPr>
          <w:b/>
          <w:bCs/>
        </w:rPr>
        <w:t>Photoisomerization of the PYRA polymer in THF upon blue light irradiation.</w:t>
      </w:r>
      <w:r w:rsidR="00E73FEB" w:rsidRPr="00E73FEB">
        <w:t xml:space="preserve"> The samples were irradiated at intensities of 3.5·10</w:t>
      </w:r>
      <w:r w:rsidR="00E73FEB" w:rsidRPr="00883741">
        <w:rPr>
          <w:vertAlign w:val="superscript"/>
        </w:rPr>
        <w:t>-3</w:t>
      </w:r>
      <w:r w:rsidR="00E73FEB" w:rsidRPr="00E73FEB">
        <w:t xml:space="preserve"> mW·cm</w:t>
      </w:r>
      <w:r w:rsidR="00E73FEB" w:rsidRPr="00E73FEB">
        <w:rPr>
          <w:rFonts w:ascii="Cambria Math" w:hAnsi="Cambria Math" w:cs="Cambria Math"/>
        </w:rPr>
        <w:t>⁻</w:t>
      </w:r>
      <w:r w:rsidR="00E73FEB" w:rsidRPr="00E73FEB">
        <w:rPr>
          <w:rFonts w:ascii="Aptos" w:hAnsi="Aptos" w:cs="Aptos"/>
        </w:rPr>
        <w:t>²</w:t>
      </w:r>
      <w:r w:rsidR="00E73FEB" w:rsidRPr="00E73FEB">
        <w:t xml:space="preserve"> (</w:t>
      </w:r>
      <w:r w:rsidR="001F4F65">
        <w:t>blue</w:t>
      </w:r>
      <w:r w:rsidR="00E73FEB" w:rsidRPr="00E73FEB">
        <w:t>), 1.6</w:t>
      </w:r>
      <w:r w:rsidR="00E73FEB" w:rsidRPr="00E73FEB">
        <w:rPr>
          <w:rFonts w:ascii="Aptos" w:hAnsi="Aptos" w:cs="Aptos"/>
        </w:rPr>
        <w:t>·</w:t>
      </w:r>
      <w:r w:rsidR="00E73FEB" w:rsidRPr="00E73FEB">
        <w:t>10</w:t>
      </w:r>
      <w:r w:rsidR="00E73FEB" w:rsidRPr="00883741">
        <w:rPr>
          <w:vertAlign w:val="superscript"/>
        </w:rPr>
        <w:t>-3</w:t>
      </w:r>
      <w:r w:rsidR="00E73FEB" w:rsidRPr="00E73FEB">
        <w:t xml:space="preserve"> mW</w:t>
      </w:r>
      <w:r w:rsidR="00E73FEB" w:rsidRPr="00E73FEB">
        <w:rPr>
          <w:rFonts w:ascii="Aptos" w:hAnsi="Aptos" w:cs="Aptos"/>
        </w:rPr>
        <w:t>·</w:t>
      </w:r>
      <w:r w:rsidR="00E73FEB" w:rsidRPr="00E73FEB">
        <w:t>cm</w:t>
      </w:r>
      <w:r w:rsidR="00E73FEB" w:rsidRPr="00E73FEB">
        <w:rPr>
          <w:rFonts w:ascii="Cambria Math" w:hAnsi="Cambria Math" w:cs="Cambria Math"/>
        </w:rPr>
        <w:t>⁻</w:t>
      </w:r>
      <w:r w:rsidR="00E73FEB" w:rsidRPr="00E73FEB">
        <w:rPr>
          <w:rFonts w:ascii="Aptos" w:hAnsi="Aptos" w:cs="Aptos"/>
        </w:rPr>
        <w:t>²</w:t>
      </w:r>
      <w:r w:rsidR="00E73FEB" w:rsidRPr="00E73FEB">
        <w:t xml:space="preserve"> (</w:t>
      </w:r>
      <w:r w:rsidR="001F4F65">
        <w:t>orange</w:t>
      </w:r>
      <w:r w:rsidR="00E73FEB" w:rsidRPr="00E73FEB">
        <w:t>), and 1.1</w:t>
      </w:r>
      <w:r w:rsidR="00E73FEB" w:rsidRPr="00E73FEB">
        <w:rPr>
          <w:rFonts w:ascii="Aptos" w:hAnsi="Aptos" w:cs="Aptos"/>
        </w:rPr>
        <w:t>·</w:t>
      </w:r>
      <w:r w:rsidR="00E73FEB" w:rsidRPr="00E73FEB">
        <w:t>10</w:t>
      </w:r>
      <w:r w:rsidR="00A43011">
        <w:rPr>
          <w:vertAlign w:val="superscript"/>
        </w:rPr>
        <w:noBreakHyphen/>
      </w:r>
      <w:r w:rsidR="00E73FEB" w:rsidRPr="00883741">
        <w:rPr>
          <w:vertAlign w:val="superscript"/>
        </w:rPr>
        <w:t>3</w:t>
      </w:r>
      <w:r w:rsidR="00E73FEB" w:rsidRPr="00E73FEB">
        <w:t xml:space="preserve"> mW</w:t>
      </w:r>
      <w:r w:rsidR="00E73FEB" w:rsidRPr="00E73FEB">
        <w:rPr>
          <w:rFonts w:ascii="Aptos" w:hAnsi="Aptos" w:cs="Aptos"/>
        </w:rPr>
        <w:t>·</w:t>
      </w:r>
      <w:r w:rsidR="00E73FEB" w:rsidRPr="00E73FEB">
        <w:t>cm</w:t>
      </w:r>
      <w:r w:rsidR="00E73FEB" w:rsidRPr="00E73FEB">
        <w:rPr>
          <w:rFonts w:ascii="Cambria Math" w:hAnsi="Cambria Math" w:cs="Cambria Math"/>
        </w:rPr>
        <w:t>⁻</w:t>
      </w:r>
      <w:r w:rsidR="00E73FEB" w:rsidRPr="00E73FEB">
        <w:rPr>
          <w:rFonts w:ascii="Aptos" w:hAnsi="Aptos" w:cs="Aptos"/>
        </w:rPr>
        <w:t>²</w:t>
      </w:r>
      <w:r w:rsidR="00E73FEB" w:rsidRPr="00E73FEB">
        <w:t xml:space="preserve"> (black). Samples were irradiated for 15 seconds across three consecutive cycles.</w:t>
      </w:r>
    </w:p>
    <w:p w14:paraId="6079F503" w14:textId="7ED07C0B" w:rsidR="00B926D6" w:rsidRDefault="000F2B26" w:rsidP="005B031F">
      <w:pPr>
        <w:jc w:val="both"/>
        <w:rPr>
          <w:b/>
          <w:bCs/>
        </w:rPr>
      </w:pPr>
      <w:r>
        <w:rPr>
          <w:b/>
          <w:bCs/>
          <w:noProof/>
        </w:rPr>
        <w:drawing>
          <wp:inline distT="0" distB="0" distL="0" distR="0" wp14:anchorId="6BD3C3ED" wp14:editId="1F33BCFE">
            <wp:extent cx="5040000" cy="1987200"/>
            <wp:effectExtent l="0" t="0" r="0" b="0"/>
            <wp:docPr id="10965797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000" cy="1987200"/>
                    </a:xfrm>
                    <a:prstGeom prst="rect">
                      <a:avLst/>
                    </a:prstGeom>
                    <a:noFill/>
                  </pic:spPr>
                </pic:pic>
              </a:graphicData>
            </a:graphic>
          </wp:inline>
        </w:drawing>
      </w:r>
    </w:p>
    <w:p w14:paraId="7B107D6F" w14:textId="26A34425" w:rsidR="00597C56" w:rsidRDefault="00F9265C" w:rsidP="005B031F">
      <w:pPr>
        <w:jc w:val="both"/>
      </w:pPr>
      <w:r w:rsidRPr="003D66DA">
        <w:rPr>
          <w:b/>
          <w:bCs/>
        </w:rPr>
        <w:t xml:space="preserve">Supplementary Figure </w:t>
      </w:r>
      <w:r>
        <w:rPr>
          <w:b/>
          <w:bCs/>
        </w:rPr>
        <w:t>12</w:t>
      </w:r>
      <w:r w:rsidRPr="003D66DA">
        <w:rPr>
          <w:b/>
          <w:bCs/>
        </w:rPr>
        <w:t>.</w:t>
      </w:r>
      <w:r>
        <w:rPr>
          <w:b/>
          <w:bCs/>
        </w:rPr>
        <w:t xml:space="preserve"> Evolution of rate of change in absorbance over time in presence of orthogonal wavelength. A. </w:t>
      </w:r>
      <w:r w:rsidR="00D966A5">
        <w:t>Samples were first exposed to blue light (405 nm, 1.54 mW·cm</w:t>
      </w:r>
      <w:r w:rsidR="00D966A5">
        <w:rPr>
          <w:rFonts w:ascii="Cambria Math" w:hAnsi="Cambria Math" w:cs="Cambria Math"/>
        </w:rPr>
        <w:t>⁻</w:t>
      </w:r>
      <w:r w:rsidR="00D966A5">
        <w:rPr>
          <w:rFonts w:ascii="Aptos" w:hAnsi="Aptos" w:cs="Aptos"/>
        </w:rPr>
        <w:t>²</w:t>
      </w:r>
      <w:r w:rsidR="00D966A5">
        <w:t>) (blue dots) and then irradiated with yellow light (590 nm, 1.86 mW</w:t>
      </w:r>
      <w:r w:rsidR="00D966A5">
        <w:rPr>
          <w:rFonts w:ascii="Aptos" w:hAnsi="Aptos" w:cs="Aptos"/>
        </w:rPr>
        <w:t>·</w:t>
      </w:r>
      <w:r w:rsidR="00D966A5">
        <w:t>cm</w:t>
      </w:r>
      <w:r w:rsidR="00D966A5">
        <w:rPr>
          <w:rFonts w:ascii="Cambria Math" w:hAnsi="Cambria Math" w:cs="Cambria Math"/>
        </w:rPr>
        <w:t>⁻</w:t>
      </w:r>
      <w:r w:rsidR="00D966A5">
        <w:rPr>
          <w:rFonts w:ascii="Aptos" w:hAnsi="Aptos" w:cs="Aptos"/>
        </w:rPr>
        <w:t>²</w:t>
      </w:r>
      <w:r w:rsidR="00D966A5">
        <w:t xml:space="preserve">) (yellow dots). </w:t>
      </w:r>
      <w:r w:rsidRPr="0040257F">
        <w:rPr>
          <w:b/>
          <w:bCs/>
        </w:rPr>
        <w:t>B.</w:t>
      </w:r>
      <w:r>
        <w:t xml:space="preserve"> </w:t>
      </w:r>
      <w:r w:rsidR="00597C56">
        <w:t>Complementary experiment in which samples were initially irradiated with yellow light (590 nm, 1.86 mW</w:t>
      </w:r>
      <w:r w:rsidR="00597C56">
        <w:rPr>
          <w:rFonts w:ascii="Aptos" w:hAnsi="Aptos" w:cs="Aptos"/>
        </w:rPr>
        <w:t>·</w:t>
      </w:r>
      <w:r w:rsidR="00597C56">
        <w:t>cm</w:t>
      </w:r>
      <w:r w:rsidR="00597C56">
        <w:rPr>
          <w:rFonts w:ascii="Cambria Math" w:hAnsi="Cambria Math" w:cs="Cambria Math"/>
        </w:rPr>
        <w:t>⁻</w:t>
      </w:r>
      <w:r w:rsidR="00597C56">
        <w:rPr>
          <w:rFonts w:ascii="Aptos" w:hAnsi="Aptos" w:cs="Aptos"/>
        </w:rPr>
        <w:t>²</w:t>
      </w:r>
      <w:r w:rsidR="00597C56">
        <w:t>) (yellow dots), followed by blue light (405 nm, 1.54 mW·cm</w:t>
      </w:r>
      <w:r w:rsidR="00597C56">
        <w:rPr>
          <w:rFonts w:ascii="Cambria Math" w:hAnsi="Cambria Math" w:cs="Cambria Math"/>
        </w:rPr>
        <w:t>⁻</w:t>
      </w:r>
      <w:r w:rsidR="00597C56">
        <w:rPr>
          <w:rFonts w:ascii="Aptos" w:hAnsi="Aptos" w:cs="Aptos"/>
        </w:rPr>
        <w:t>²</w:t>
      </w:r>
      <w:r w:rsidR="00597C56">
        <w:t>) exposure (blue dots).</w:t>
      </w:r>
    </w:p>
    <w:p w14:paraId="27B1FD41" w14:textId="77777777" w:rsidR="0024430F" w:rsidRDefault="0024430F" w:rsidP="005B031F">
      <w:pPr>
        <w:jc w:val="both"/>
      </w:pPr>
    </w:p>
    <w:p w14:paraId="1E5D60D2" w14:textId="77777777" w:rsidR="0024430F" w:rsidRDefault="0024430F" w:rsidP="005B031F">
      <w:pPr>
        <w:jc w:val="both"/>
      </w:pPr>
    </w:p>
    <w:p w14:paraId="78F975F7" w14:textId="736B6BB9" w:rsidR="00A91251" w:rsidRDefault="00F81926" w:rsidP="005B031F">
      <w:pPr>
        <w:jc w:val="both"/>
      </w:pPr>
      <w:r>
        <w:rPr>
          <w:noProof/>
        </w:rPr>
        <w:drawing>
          <wp:inline distT="0" distB="0" distL="0" distR="0" wp14:anchorId="385016DC" wp14:editId="2C94F377">
            <wp:extent cx="3600000" cy="2754000"/>
            <wp:effectExtent l="0" t="0" r="0" b="8255"/>
            <wp:docPr id="102517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2754000"/>
                    </a:xfrm>
                    <a:prstGeom prst="rect">
                      <a:avLst/>
                    </a:prstGeom>
                    <a:noFill/>
                  </pic:spPr>
                </pic:pic>
              </a:graphicData>
            </a:graphic>
          </wp:inline>
        </w:drawing>
      </w:r>
    </w:p>
    <w:p w14:paraId="56033706" w14:textId="59D8DA4A" w:rsidR="005C78DF" w:rsidRDefault="00D722B2" w:rsidP="00F34179">
      <w:pPr>
        <w:jc w:val="both"/>
      </w:pPr>
      <w:r w:rsidRPr="00297AAA">
        <w:rPr>
          <w:b/>
          <w:bCs/>
        </w:rPr>
        <w:t>Supplementary Figure 1</w:t>
      </w:r>
      <w:r w:rsidR="007614B9">
        <w:rPr>
          <w:b/>
          <w:bCs/>
        </w:rPr>
        <w:t>3</w:t>
      </w:r>
      <w:r w:rsidRPr="00297AAA">
        <w:rPr>
          <w:b/>
          <w:bCs/>
        </w:rPr>
        <w:t xml:space="preserve">. </w:t>
      </w:r>
      <w:r w:rsidR="0023518E" w:rsidRPr="00297AAA">
        <w:rPr>
          <w:b/>
          <w:bCs/>
        </w:rPr>
        <w:t>Dose–response curve showing the relationship between absorbance and pH.</w:t>
      </w:r>
      <w:r w:rsidR="0023518E" w:rsidRPr="0023518E">
        <w:t xml:space="preserve"> pH </w:t>
      </w:r>
      <w:r w:rsidR="00297AAA">
        <w:t>and</w:t>
      </w:r>
      <w:r w:rsidR="0023518E" w:rsidRPr="0023518E">
        <w:t xml:space="preserve"> absorbance </w:t>
      </w:r>
      <w:r w:rsidR="00297AAA">
        <w:t>values were quantified simultaneously</w:t>
      </w:r>
      <w:r w:rsidR="0023518E" w:rsidRPr="0023518E">
        <w:t>, enabling quantitative estimation of pH changes based on optical measurements. This calibration curve was used to interpret pH variations in light-triggered experiments.</w:t>
      </w:r>
    </w:p>
    <w:p w14:paraId="6EF1CF58" w14:textId="3617C289" w:rsidR="005C78DF" w:rsidRPr="005C78DF" w:rsidRDefault="005C78DF" w:rsidP="00F34179">
      <w:pPr>
        <w:jc w:val="both"/>
        <w:rPr>
          <w:b/>
          <w:bCs/>
        </w:rPr>
      </w:pPr>
      <w:r w:rsidRPr="005C78DF">
        <w:rPr>
          <w:b/>
          <w:bCs/>
        </w:rPr>
        <w:t>Supplementary References</w:t>
      </w:r>
    </w:p>
    <w:p w14:paraId="2F27E151" w14:textId="77777777" w:rsidR="005C78DF" w:rsidRPr="005C78DF" w:rsidRDefault="005C78DF" w:rsidP="005C78DF">
      <w:pPr>
        <w:pStyle w:val="EndNoteBibliography"/>
        <w:ind w:left="720" w:hanging="720"/>
      </w:pPr>
      <w:r>
        <w:fldChar w:fldCharType="begin"/>
      </w:r>
      <w:r>
        <w:instrText xml:space="preserve"> ADDIN EN.REFLIST </w:instrText>
      </w:r>
      <w:r>
        <w:fldChar w:fldCharType="separate"/>
      </w:r>
      <w:r w:rsidRPr="005C78DF">
        <w:t>1</w:t>
      </w:r>
      <w:r w:rsidRPr="005C78DF">
        <w:tab/>
        <w:t xml:space="preserve">Cheng, Z. &amp; Tsourkas, A. Paramagnetic porous polymersomes. </w:t>
      </w:r>
      <w:r w:rsidRPr="005C78DF">
        <w:rPr>
          <w:i/>
        </w:rPr>
        <w:t>Langmuir</w:t>
      </w:r>
      <w:r w:rsidRPr="005C78DF">
        <w:t xml:space="preserve"> </w:t>
      </w:r>
      <w:r w:rsidRPr="005C78DF">
        <w:rPr>
          <w:b/>
        </w:rPr>
        <w:t>24</w:t>
      </w:r>
      <w:r w:rsidRPr="005C78DF">
        <w:t xml:space="preserve">, 8169-8173 (2008). </w:t>
      </w:r>
    </w:p>
    <w:p w14:paraId="2FF33874" w14:textId="3C233EAA" w:rsidR="00D722B2" w:rsidRPr="00D36E01" w:rsidRDefault="005C78DF" w:rsidP="00F34179">
      <w:pPr>
        <w:jc w:val="both"/>
      </w:pPr>
      <w:r>
        <w:fldChar w:fldCharType="end"/>
      </w:r>
    </w:p>
    <w:sectPr w:rsidR="00D722B2" w:rsidRPr="00D36E01" w:rsidSect="00414D9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Ubuntu">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Apto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00xtt29iex5f8evwpbv9aro0fwavxzvx5ax&quot;&gt;Queen Mary&lt;record-ids&gt;&lt;item&gt;293&lt;/item&gt;&lt;/record-ids&gt;&lt;/item&gt;&lt;/Libraries&gt;"/>
  </w:docVars>
  <w:rsids>
    <w:rsidRoot w:val="0067259C"/>
    <w:rsid w:val="000001DB"/>
    <w:rsid w:val="00003A5D"/>
    <w:rsid w:val="00005BCB"/>
    <w:rsid w:val="00020E89"/>
    <w:rsid w:val="0002415A"/>
    <w:rsid w:val="000311D2"/>
    <w:rsid w:val="000430C3"/>
    <w:rsid w:val="000471C4"/>
    <w:rsid w:val="00061EB7"/>
    <w:rsid w:val="000620D3"/>
    <w:rsid w:val="000627BC"/>
    <w:rsid w:val="00062AA2"/>
    <w:rsid w:val="00063431"/>
    <w:rsid w:val="00063C2E"/>
    <w:rsid w:val="00063E75"/>
    <w:rsid w:val="00073D70"/>
    <w:rsid w:val="00073F6B"/>
    <w:rsid w:val="00077640"/>
    <w:rsid w:val="000847ED"/>
    <w:rsid w:val="000A6D81"/>
    <w:rsid w:val="000A6E64"/>
    <w:rsid w:val="000B0E97"/>
    <w:rsid w:val="000C0976"/>
    <w:rsid w:val="000C16AA"/>
    <w:rsid w:val="000C3EAE"/>
    <w:rsid w:val="000E5884"/>
    <w:rsid w:val="000F2B26"/>
    <w:rsid w:val="00107981"/>
    <w:rsid w:val="00110536"/>
    <w:rsid w:val="0011057A"/>
    <w:rsid w:val="001230E8"/>
    <w:rsid w:val="00123A79"/>
    <w:rsid w:val="00130825"/>
    <w:rsid w:val="00144182"/>
    <w:rsid w:val="00150627"/>
    <w:rsid w:val="00151986"/>
    <w:rsid w:val="00165C70"/>
    <w:rsid w:val="001818E1"/>
    <w:rsid w:val="0018315A"/>
    <w:rsid w:val="00184BE1"/>
    <w:rsid w:val="00190255"/>
    <w:rsid w:val="00194DE7"/>
    <w:rsid w:val="00195849"/>
    <w:rsid w:val="00197279"/>
    <w:rsid w:val="001A33B7"/>
    <w:rsid w:val="001A3BAE"/>
    <w:rsid w:val="001A4D9D"/>
    <w:rsid w:val="001C15C1"/>
    <w:rsid w:val="001C5FA7"/>
    <w:rsid w:val="001D63B9"/>
    <w:rsid w:val="001F20B7"/>
    <w:rsid w:val="001F3763"/>
    <w:rsid w:val="001F4F65"/>
    <w:rsid w:val="001F6D8F"/>
    <w:rsid w:val="0020522F"/>
    <w:rsid w:val="00206E0D"/>
    <w:rsid w:val="002118AE"/>
    <w:rsid w:val="00221D6E"/>
    <w:rsid w:val="00226970"/>
    <w:rsid w:val="00231460"/>
    <w:rsid w:val="002325E5"/>
    <w:rsid w:val="00233342"/>
    <w:rsid w:val="0023518E"/>
    <w:rsid w:val="0023524C"/>
    <w:rsid w:val="0023603C"/>
    <w:rsid w:val="00240BBC"/>
    <w:rsid w:val="0024430F"/>
    <w:rsid w:val="00271E0D"/>
    <w:rsid w:val="002757E9"/>
    <w:rsid w:val="00275948"/>
    <w:rsid w:val="00282AC4"/>
    <w:rsid w:val="00285B70"/>
    <w:rsid w:val="00285EF8"/>
    <w:rsid w:val="00290C69"/>
    <w:rsid w:val="00297AAA"/>
    <w:rsid w:val="002B791E"/>
    <w:rsid w:val="002B79D3"/>
    <w:rsid w:val="002C4131"/>
    <w:rsid w:val="002D27B3"/>
    <w:rsid w:val="002D3644"/>
    <w:rsid w:val="002D3923"/>
    <w:rsid w:val="002E3F53"/>
    <w:rsid w:val="003003C9"/>
    <w:rsid w:val="0031347C"/>
    <w:rsid w:val="0032039E"/>
    <w:rsid w:val="00325B5F"/>
    <w:rsid w:val="0035095E"/>
    <w:rsid w:val="00351453"/>
    <w:rsid w:val="00364A02"/>
    <w:rsid w:val="00366544"/>
    <w:rsid w:val="00366553"/>
    <w:rsid w:val="003A0EDF"/>
    <w:rsid w:val="003A7497"/>
    <w:rsid w:val="003B0D88"/>
    <w:rsid w:val="003C2673"/>
    <w:rsid w:val="003D66DA"/>
    <w:rsid w:val="003F35A6"/>
    <w:rsid w:val="003F3B23"/>
    <w:rsid w:val="003F4A81"/>
    <w:rsid w:val="003F7C85"/>
    <w:rsid w:val="00401679"/>
    <w:rsid w:val="0040257F"/>
    <w:rsid w:val="0041062C"/>
    <w:rsid w:val="00412460"/>
    <w:rsid w:val="00414D96"/>
    <w:rsid w:val="00415C90"/>
    <w:rsid w:val="004204E0"/>
    <w:rsid w:val="004250E4"/>
    <w:rsid w:val="00437905"/>
    <w:rsid w:val="00446192"/>
    <w:rsid w:val="004566F2"/>
    <w:rsid w:val="00456FB3"/>
    <w:rsid w:val="00465DA7"/>
    <w:rsid w:val="004738D9"/>
    <w:rsid w:val="004873A4"/>
    <w:rsid w:val="00487B09"/>
    <w:rsid w:val="00494366"/>
    <w:rsid w:val="004A1EC9"/>
    <w:rsid w:val="004A2EC9"/>
    <w:rsid w:val="004A37AE"/>
    <w:rsid w:val="004A4DFB"/>
    <w:rsid w:val="004B79A2"/>
    <w:rsid w:val="004C679B"/>
    <w:rsid w:val="004D4275"/>
    <w:rsid w:val="004D5D19"/>
    <w:rsid w:val="004E0F5B"/>
    <w:rsid w:val="004E1EA4"/>
    <w:rsid w:val="004E3BAB"/>
    <w:rsid w:val="004E4A77"/>
    <w:rsid w:val="004E6A4A"/>
    <w:rsid w:val="004E7E4F"/>
    <w:rsid w:val="004F3B46"/>
    <w:rsid w:val="00512F37"/>
    <w:rsid w:val="005161E0"/>
    <w:rsid w:val="00516720"/>
    <w:rsid w:val="00516B54"/>
    <w:rsid w:val="005212B2"/>
    <w:rsid w:val="0052646D"/>
    <w:rsid w:val="005416C2"/>
    <w:rsid w:val="00550B6C"/>
    <w:rsid w:val="00566A5D"/>
    <w:rsid w:val="005719BF"/>
    <w:rsid w:val="0057310B"/>
    <w:rsid w:val="00573EBB"/>
    <w:rsid w:val="005831D8"/>
    <w:rsid w:val="00586B6F"/>
    <w:rsid w:val="0059183C"/>
    <w:rsid w:val="005935D4"/>
    <w:rsid w:val="00597C56"/>
    <w:rsid w:val="005A2B20"/>
    <w:rsid w:val="005B031F"/>
    <w:rsid w:val="005C02AE"/>
    <w:rsid w:val="005C145F"/>
    <w:rsid w:val="005C34D5"/>
    <w:rsid w:val="005C6E73"/>
    <w:rsid w:val="005C78DF"/>
    <w:rsid w:val="005E43C9"/>
    <w:rsid w:val="00601C77"/>
    <w:rsid w:val="00603035"/>
    <w:rsid w:val="00617611"/>
    <w:rsid w:val="00617F99"/>
    <w:rsid w:val="006200B3"/>
    <w:rsid w:val="0062096D"/>
    <w:rsid w:val="00647535"/>
    <w:rsid w:val="00652772"/>
    <w:rsid w:val="00656249"/>
    <w:rsid w:val="0067043B"/>
    <w:rsid w:val="00670B86"/>
    <w:rsid w:val="0067259C"/>
    <w:rsid w:val="00677BB8"/>
    <w:rsid w:val="00687F5A"/>
    <w:rsid w:val="00690D9F"/>
    <w:rsid w:val="006913C6"/>
    <w:rsid w:val="00692B91"/>
    <w:rsid w:val="00694CA6"/>
    <w:rsid w:val="00694D42"/>
    <w:rsid w:val="006A29DA"/>
    <w:rsid w:val="006B6768"/>
    <w:rsid w:val="006D1863"/>
    <w:rsid w:val="006D64C1"/>
    <w:rsid w:val="006E5350"/>
    <w:rsid w:val="006F032E"/>
    <w:rsid w:val="006F31D9"/>
    <w:rsid w:val="00703E0A"/>
    <w:rsid w:val="007237D7"/>
    <w:rsid w:val="00725E05"/>
    <w:rsid w:val="007350E1"/>
    <w:rsid w:val="00753DD9"/>
    <w:rsid w:val="007614A3"/>
    <w:rsid w:val="007614B9"/>
    <w:rsid w:val="007913EF"/>
    <w:rsid w:val="00794ED2"/>
    <w:rsid w:val="007A1770"/>
    <w:rsid w:val="007A3C9B"/>
    <w:rsid w:val="007B55CD"/>
    <w:rsid w:val="007C1E3F"/>
    <w:rsid w:val="007C3C51"/>
    <w:rsid w:val="007C5617"/>
    <w:rsid w:val="007D2F5C"/>
    <w:rsid w:val="007F1092"/>
    <w:rsid w:val="00803929"/>
    <w:rsid w:val="0081705E"/>
    <w:rsid w:val="008327B2"/>
    <w:rsid w:val="008334EA"/>
    <w:rsid w:val="00841BF7"/>
    <w:rsid w:val="00850245"/>
    <w:rsid w:val="008747D6"/>
    <w:rsid w:val="008771C8"/>
    <w:rsid w:val="00881DBF"/>
    <w:rsid w:val="00883741"/>
    <w:rsid w:val="00883880"/>
    <w:rsid w:val="00887B7D"/>
    <w:rsid w:val="00891F1F"/>
    <w:rsid w:val="008A28D5"/>
    <w:rsid w:val="008A4B9E"/>
    <w:rsid w:val="008A7996"/>
    <w:rsid w:val="008B2790"/>
    <w:rsid w:val="008C26ED"/>
    <w:rsid w:val="008C2ADF"/>
    <w:rsid w:val="008C5706"/>
    <w:rsid w:val="008C6D25"/>
    <w:rsid w:val="008D232C"/>
    <w:rsid w:val="008D627B"/>
    <w:rsid w:val="008E2A77"/>
    <w:rsid w:val="008E308C"/>
    <w:rsid w:val="008E3619"/>
    <w:rsid w:val="0090348A"/>
    <w:rsid w:val="00915197"/>
    <w:rsid w:val="00924405"/>
    <w:rsid w:val="009413EB"/>
    <w:rsid w:val="00942A50"/>
    <w:rsid w:val="00944544"/>
    <w:rsid w:val="009521F7"/>
    <w:rsid w:val="00955029"/>
    <w:rsid w:val="00957A58"/>
    <w:rsid w:val="009639FD"/>
    <w:rsid w:val="00991373"/>
    <w:rsid w:val="00997CFA"/>
    <w:rsid w:val="009B56D0"/>
    <w:rsid w:val="009B69EF"/>
    <w:rsid w:val="009B6D67"/>
    <w:rsid w:val="009C270A"/>
    <w:rsid w:val="009C48A3"/>
    <w:rsid w:val="009D35EE"/>
    <w:rsid w:val="009E3DBB"/>
    <w:rsid w:val="009F375C"/>
    <w:rsid w:val="00A0547F"/>
    <w:rsid w:val="00A05DA0"/>
    <w:rsid w:val="00A16637"/>
    <w:rsid w:val="00A30AE0"/>
    <w:rsid w:val="00A418EF"/>
    <w:rsid w:val="00A43011"/>
    <w:rsid w:val="00A44EAD"/>
    <w:rsid w:val="00A56487"/>
    <w:rsid w:val="00A56B1B"/>
    <w:rsid w:val="00A56B68"/>
    <w:rsid w:val="00A8095B"/>
    <w:rsid w:val="00A91251"/>
    <w:rsid w:val="00A922AB"/>
    <w:rsid w:val="00A92D1F"/>
    <w:rsid w:val="00AA6559"/>
    <w:rsid w:val="00AB46F4"/>
    <w:rsid w:val="00AB4CDA"/>
    <w:rsid w:val="00AC0568"/>
    <w:rsid w:val="00AC096B"/>
    <w:rsid w:val="00AC559D"/>
    <w:rsid w:val="00AC7E54"/>
    <w:rsid w:val="00AD336A"/>
    <w:rsid w:val="00AE154C"/>
    <w:rsid w:val="00AE1DBF"/>
    <w:rsid w:val="00AF789B"/>
    <w:rsid w:val="00B02AAE"/>
    <w:rsid w:val="00B166BC"/>
    <w:rsid w:val="00B17F25"/>
    <w:rsid w:val="00B214A5"/>
    <w:rsid w:val="00B231E7"/>
    <w:rsid w:val="00B348FF"/>
    <w:rsid w:val="00B371BB"/>
    <w:rsid w:val="00B4701A"/>
    <w:rsid w:val="00B63BE2"/>
    <w:rsid w:val="00B66D35"/>
    <w:rsid w:val="00B75A8D"/>
    <w:rsid w:val="00B76555"/>
    <w:rsid w:val="00B87C49"/>
    <w:rsid w:val="00B926D6"/>
    <w:rsid w:val="00B92A38"/>
    <w:rsid w:val="00BB3D11"/>
    <w:rsid w:val="00BC379F"/>
    <w:rsid w:val="00BD062B"/>
    <w:rsid w:val="00BD10D7"/>
    <w:rsid w:val="00BD636D"/>
    <w:rsid w:val="00BF14EB"/>
    <w:rsid w:val="00BF5FAA"/>
    <w:rsid w:val="00C0055F"/>
    <w:rsid w:val="00C052AF"/>
    <w:rsid w:val="00C110BC"/>
    <w:rsid w:val="00C133DB"/>
    <w:rsid w:val="00C17F26"/>
    <w:rsid w:val="00C21811"/>
    <w:rsid w:val="00C2660D"/>
    <w:rsid w:val="00C3682B"/>
    <w:rsid w:val="00C42556"/>
    <w:rsid w:val="00C45068"/>
    <w:rsid w:val="00C50215"/>
    <w:rsid w:val="00C610BF"/>
    <w:rsid w:val="00C62C09"/>
    <w:rsid w:val="00C72CD2"/>
    <w:rsid w:val="00C77BF2"/>
    <w:rsid w:val="00C8168E"/>
    <w:rsid w:val="00CA0E3A"/>
    <w:rsid w:val="00CC4A54"/>
    <w:rsid w:val="00CC5445"/>
    <w:rsid w:val="00CD539D"/>
    <w:rsid w:val="00CF4494"/>
    <w:rsid w:val="00D20022"/>
    <w:rsid w:val="00D36E01"/>
    <w:rsid w:val="00D40CB5"/>
    <w:rsid w:val="00D45507"/>
    <w:rsid w:val="00D67AF1"/>
    <w:rsid w:val="00D722B2"/>
    <w:rsid w:val="00D7610F"/>
    <w:rsid w:val="00D90046"/>
    <w:rsid w:val="00D90B76"/>
    <w:rsid w:val="00D966A5"/>
    <w:rsid w:val="00D96947"/>
    <w:rsid w:val="00D97FEB"/>
    <w:rsid w:val="00DA13D0"/>
    <w:rsid w:val="00DA5ABD"/>
    <w:rsid w:val="00DA6E72"/>
    <w:rsid w:val="00DB2CB3"/>
    <w:rsid w:val="00DB67C6"/>
    <w:rsid w:val="00DD55EF"/>
    <w:rsid w:val="00DE3043"/>
    <w:rsid w:val="00E06EF7"/>
    <w:rsid w:val="00E355A5"/>
    <w:rsid w:val="00E44A48"/>
    <w:rsid w:val="00E51A70"/>
    <w:rsid w:val="00E5446E"/>
    <w:rsid w:val="00E54EC6"/>
    <w:rsid w:val="00E611BB"/>
    <w:rsid w:val="00E658D0"/>
    <w:rsid w:val="00E724F1"/>
    <w:rsid w:val="00E73FEB"/>
    <w:rsid w:val="00E80599"/>
    <w:rsid w:val="00E826AF"/>
    <w:rsid w:val="00E8637F"/>
    <w:rsid w:val="00E90D0B"/>
    <w:rsid w:val="00E94F60"/>
    <w:rsid w:val="00E97867"/>
    <w:rsid w:val="00EA12AF"/>
    <w:rsid w:val="00EA20D4"/>
    <w:rsid w:val="00EC03B7"/>
    <w:rsid w:val="00EC365A"/>
    <w:rsid w:val="00EC4ADB"/>
    <w:rsid w:val="00EF2638"/>
    <w:rsid w:val="00EF3845"/>
    <w:rsid w:val="00F018EE"/>
    <w:rsid w:val="00F01FE3"/>
    <w:rsid w:val="00F038AB"/>
    <w:rsid w:val="00F04EAB"/>
    <w:rsid w:val="00F073D4"/>
    <w:rsid w:val="00F260BD"/>
    <w:rsid w:val="00F34179"/>
    <w:rsid w:val="00F52C99"/>
    <w:rsid w:val="00F53151"/>
    <w:rsid w:val="00F5394A"/>
    <w:rsid w:val="00F62F01"/>
    <w:rsid w:val="00F64498"/>
    <w:rsid w:val="00F6759D"/>
    <w:rsid w:val="00F75035"/>
    <w:rsid w:val="00F81926"/>
    <w:rsid w:val="00F837EF"/>
    <w:rsid w:val="00F84BF2"/>
    <w:rsid w:val="00F8764C"/>
    <w:rsid w:val="00F9265C"/>
    <w:rsid w:val="00FB4B7D"/>
    <w:rsid w:val="00FC0719"/>
    <w:rsid w:val="00FC22C6"/>
    <w:rsid w:val="00FC3963"/>
    <w:rsid w:val="00FC665E"/>
    <w:rsid w:val="00FD292B"/>
    <w:rsid w:val="00FE3A69"/>
    <w:rsid w:val="00FE45CD"/>
    <w:rsid w:val="00FF0329"/>
    <w:rsid w:val="00FF6F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EA99959"/>
  <w15:chartTrackingRefBased/>
  <w15:docId w15:val="{D5F615F4-704E-4B42-94BE-EB3A2B903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25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725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7259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7259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7259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725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25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25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25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259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7259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7259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7259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7259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725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25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25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259C"/>
    <w:rPr>
      <w:rFonts w:eastAsiaTheme="majorEastAsia" w:cstheme="majorBidi"/>
      <w:color w:val="272727" w:themeColor="text1" w:themeTint="D8"/>
    </w:rPr>
  </w:style>
  <w:style w:type="paragraph" w:styleId="Title">
    <w:name w:val="Title"/>
    <w:basedOn w:val="Normal"/>
    <w:next w:val="Normal"/>
    <w:link w:val="TitleChar"/>
    <w:uiPriority w:val="10"/>
    <w:qFormat/>
    <w:rsid w:val="006725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25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259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725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259C"/>
    <w:pPr>
      <w:spacing w:before="160"/>
      <w:jc w:val="center"/>
    </w:pPr>
    <w:rPr>
      <w:i/>
      <w:iCs/>
      <w:color w:val="404040" w:themeColor="text1" w:themeTint="BF"/>
    </w:rPr>
  </w:style>
  <w:style w:type="character" w:customStyle="1" w:styleId="QuoteChar">
    <w:name w:val="Quote Char"/>
    <w:basedOn w:val="DefaultParagraphFont"/>
    <w:link w:val="Quote"/>
    <w:uiPriority w:val="29"/>
    <w:rsid w:val="0067259C"/>
    <w:rPr>
      <w:i/>
      <w:iCs/>
      <w:color w:val="404040" w:themeColor="text1" w:themeTint="BF"/>
    </w:rPr>
  </w:style>
  <w:style w:type="paragraph" w:styleId="ListParagraph">
    <w:name w:val="List Paragraph"/>
    <w:basedOn w:val="Normal"/>
    <w:uiPriority w:val="34"/>
    <w:qFormat/>
    <w:rsid w:val="0067259C"/>
    <w:pPr>
      <w:ind w:left="720"/>
      <w:contextualSpacing/>
    </w:pPr>
  </w:style>
  <w:style w:type="character" w:styleId="IntenseEmphasis">
    <w:name w:val="Intense Emphasis"/>
    <w:basedOn w:val="DefaultParagraphFont"/>
    <w:uiPriority w:val="21"/>
    <w:qFormat/>
    <w:rsid w:val="0067259C"/>
    <w:rPr>
      <w:i/>
      <w:iCs/>
      <w:color w:val="0F4761" w:themeColor="accent1" w:themeShade="BF"/>
    </w:rPr>
  </w:style>
  <w:style w:type="paragraph" w:styleId="IntenseQuote">
    <w:name w:val="Intense Quote"/>
    <w:basedOn w:val="Normal"/>
    <w:next w:val="Normal"/>
    <w:link w:val="IntenseQuoteChar"/>
    <w:uiPriority w:val="30"/>
    <w:qFormat/>
    <w:rsid w:val="006725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7259C"/>
    <w:rPr>
      <w:i/>
      <w:iCs/>
      <w:color w:val="0F4761" w:themeColor="accent1" w:themeShade="BF"/>
    </w:rPr>
  </w:style>
  <w:style w:type="character" w:styleId="IntenseReference">
    <w:name w:val="Intense Reference"/>
    <w:basedOn w:val="DefaultParagraphFont"/>
    <w:uiPriority w:val="32"/>
    <w:qFormat/>
    <w:rsid w:val="0067259C"/>
    <w:rPr>
      <w:b/>
      <w:bCs/>
      <w:smallCaps/>
      <w:color w:val="0F4761" w:themeColor="accent1" w:themeShade="BF"/>
      <w:spacing w:val="5"/>
    </w:rPr>
  </w:style>
  <w:style w:type="character" w:styleId="PlaceholderText">
    <w:name w:val="Placeholder Text"/>
    <w:basedOn w:val="DefaultParagraphFont"/>
    <w:uiPriority w:val="99"/>
    <w:semiHidden/>
    <w:rsid w:val="0067259C"/>
    <w:rPr>
      <w:color w:val="666666"/>
    </w:rPr>
  </w:style>
  <w:style w:type="character" w:styleId="CommentReference">
    <w:name w:val="annotation reference"/>
    <w:basedOn w:val="DefaultParagraphFont"/>
    <w:uiPriority w:val="99"/>
    <w:semiHidden/>
    <w:unhideWhenUsed/>
    <w:rsid w:val="00F34179"/>
    <w:rPr>
      <w:sz w:val="16"/>
      <w:szCs w:val="16"/>
    </w:rPr>
  </w:style>
  <w:style w:type="paragraph" w:styleId="CommentText">
    <w:name w:val="annotation text"/>
    <w:basedOn w:val="Normal"/>
    <w:link w:val="CommentTextChar"/>
    <w:uiPriority w:val="99"/>
    <w:unhideWhenUsed/>
    <w:rsid w:val="00F34179"/>
    <w:pPr>
      <w:spacing w:line="240" w:lineRule="auto"/>
    </w:pPr>
    <w:rPr>
      <w:sz w:val="20"/>
      <w:szCs w:val="20"/>
    </w:rPr>
  </w:style>
  <w:style w:type="character" w:customStyle="1" w:styleId="CommentTextChar">
    <w:name w:val="Comment Text Char"/>
    <w:basedOn w:val="DefaultParagraphFont"/>
    <w:link w:val="CommentText"/>
    <w:uiPriority w:val="99"/>
    <w:rsid w:val="00F34179"/>
    <w:rPr>
      <w:sz w:val="20"/>
      <w:szCs w:val="20"/>
    </w:rPr>
  </w:style>
  <w:style w:type="paragraph" w:styleId="CommentSubject">
    <w:name w:val="annotation subject"/>
    <w:basedOn w:val="CommentText"/>
    <w:next w:val="CommentText"/>
    <w:link w:val="CommentSubjectChar"/>
    <w:uiPriority w:val="99"/>
    <w:semiHidden/>
    <w:unhideWhenUsed/>
    <w:rsid w:val="00F34179"/>
    <w:rPr>
      <w:b/>
      <w:bCs/>
    </w:rPr>
  </w:style>
  <w:style w:type="character" w:customStyle="1" w:styleId="CommentSubjectChar">
    <w:name w:val="Comment Subject Char"/>
    <w:basedOn w:val="CommentTextChar"/>
    <w:link w:val="CommentSubject"/>
    <w:uiPriority w:val="99"/>
    <w:semiHidden/>
    <w:rsid w:val="00F34179"/>
    <w:rPr>
      <w:b/>
      <w:bCs/>
      <w:sz w:val="20"/>
      <w:szCs w:val="20"/>
    </w:rPr>
  </w:style>
  <w:style w:type="character" w:styleId="Hyperlink">
    <w:name w:val="Hyperlink"/>
    <w:basedOn w:val="DefaultParagraphFont"/>
    <w:uiPriority w:val="99"/>
    <w:unhideWhenUsed/>
    <w:rsid w:val="008B2790"/>
    <w:rPr>
      <w:color w:val="467886" w:themeColor="hyperlink"/>
      <w:u w:val="single"/>
    </w:rPr>
  </w:style>
  <w:style w:type="character" w:styleId="UnresolvedMention">
    <w:name w:val="Unresolved Mention"/>
    <w:basedOn w:val="DefaultParagraphFont"/>
    <w:uiPriority w:val="99"/>
    <w:semiHidden/>
    <w:unhideWhenUsed/>
    <w:rsid w:val="008B2790"/>
    <w:rPr>
      <w:color w:val="605E5C"/>
      <w:shd w:val="clear" w:color="auto" w:fill="E1DFDD"/>
    </w:rPr>
  </w:style>
  <w:style w:type="paragraph" w:styleId="NormalWeb">
    <w:name w:val="Normal (Web)"/>
    <w:basedOn w:val="Normal"/>
    <w:uiPriority w:val="99"/>
    <w:semiHidden/>
    <w:unhideWhenUsed/>
    <w:rsid w:val="005B031F"/>
    <w:rPr>
      <w:rFonts w:ascii="Times New Roman" w:hAnsi="Times New Roman" w:cs="Times New Roman"/>
      <w:sz w:val="24"/>
      <w:szCs w:val="24"/>
    </w:rPr>
  </w:style>
  <w:style w:type="character" w:styleId="Strong">
    <w:name w:val="Strong"/>
    <w:basedOn w:val="DefaultParagraphFont"/>
    <w:uiPriority w:val="22"/>
    <w:qFormat/>
    <w:rsid w:val="008C2ADF"/>
    <w:rPr>
      <w:b/>
      <w:bCs/>
    </w:rPr>
  </w:style>
  <w:style w:type="paragraph" w:customStyle="1" w:styleId="EndNoteBibliographyTitle">
    <w:name w:val="EndNote Bibliography Title"/>
    <w:basedOn w:val="Normal"/>
    <w:link w:val="EndNoteBibliographyTitleChar"/>
    <w:rsid w:val="005C78DF"/>
    <w:pPr>
      <w:spacing w:after="0"/>
      <w:jc w:val="center"/>
    </w:pPr>
    <w:rPr>
      <w:rFonts w:ascii="Aptos" w:hAnsi="Aptos"/>
      <w:noProof/>
      <w:lang w:val="en-US"/>
    </w:rPr>
  </w:style>
  <w:style w:type="character" w:customStyle="1" w:styleId="EndNoteBibliographyTitleChar">
    <w:name w:val="EndNote Bibliography Title Char"/>
    <w:basedOn w:val="DefaultParagraphFont"/>
    <w:link w:val="EndNoteBibliographyTitle"/>
    <w:rsid w:val="005C78DF"/>
    <w:rPr>
      <w:rFonts w:ascii="Aptos" w:hAnsi="Aptos"/>
      <w:noProof/>
      <w:lang w:val="en-US"/>
    </w:rPr>
  </w:style>
  <w:style w:type="paragraph" w:customStyle="1" w:styleId="EndNoteBibliography">
    <w:name w:val="EndNote Bibliography"/>
    <w:basedOn w:val="Normal"/>
    <w:link w:val="EndNoteBibliographyChar"/>
    <w:rsid w:val="005C78DF"/>
    <w:pPr>
      <w:spacing w:line="240" w:lineRule="auto"/>
      <w:jc w:val="both"/>
    </w:pPr>
    <w:rPr>
      <w:rFonts w:ascii="Aptos" w:hAnsi="Aptos"/>
      <w:noProof/>
      <w:lang w:val="en-US"/>
    </w:rPr>
  </w:style>
  <w:style w:type="character" w:customStyle="1" w:styleId="EndNoteBibliographyChar">
    <w:name w:val="EndNote Bibliography Char"/>
    <w:basedOn w:val="DefaultParagraphFont"/>
    <w:link w:val="EndNoteBibliography"/>
    <w:rsid w:val="005C78DF"/>
    <w:rPr>
      <w:rFonts w:ascii="Aptos" w:hAnsi="Aptos"/>
      <w:noProof/>
      <w:lang w:val="en-US"/>
    </w:rPr>
  </w:style>
  <w:style w:type="paragraph" w:styleId="Revision">
    <w:name w:val="Revision"/>
    <w:hidden/>
    <w:uiPriority w:val="99"/>
    <w:semiHidden/>
    <w:rsid w:val="00206E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2679678">
      <w:bodyDiv w:val="1"/>
      <w:marLeft w:val="0"/>
      <w:marRight w:val="0"/>
      <w:marTop w:val="0"/>
      <w:marBottom w:val="0"/>
      <w:divBdr>
        <w:top w:val="none" w:sz="0" w:space="0" w:color="auto"/>
        <w:left w:val="none" w:sz="0" w:space="0" w:color="auto"/>
        <w:bottom w:val="none" w:sz="0" w:space="0" w:color="auto"/>
        <w:right w:val="none" w:sz="0" w:space="0" w:color="auto"/>
      </w:divBdr>
      <w:divsChild>
        <w:div w:id="1071006290">
          <w:marLeft w:val="0"/>
          <w:marRight w:val="0"/>
          <w:marTop w:val="0"/>
          <w:marBottom w:val="0"/>
          <w:divBdr>
            <w:top w:val="none" w:sz="0" w:space="0" w:color="auto"/>
            <w:left w:val="none" w:sz="0" w:space="0" w:color="auto"/>
            <w:bottom w:val="none" w:sz="0" w:space="0" w:color="auto"/>
            <w:right w:val="none" w:sz="0" w:space="0" w:color="auto"/>
          </w:divBdr>
          <w:divsChild>
            <w:div w:id="874804617">
              <w:marLeft w:val="0"/>
              <w:marRight w:val="0"/>
              <w:marTop w:val="0"/>
              <w:marBottom w:val="0"/>
              <w:divBdr>
                <w:top w:val="none" w:sz="0" w:space="0" w:color="auto"/>
                <w:left w:val="none" w:sz="0" w:space="0" w:color="auto"/>
                <w:bottom w:val="none" w:sz="0" w:space="0" w:color="auto"/>
                <w:right w:val="none" w:sz="0" w:space="0" w:color="auto"/>
              </w:divBdr>
              <w:divsChild>
                <w:div w:id="1407070630">
                  <w:marLeft w:val="0"/>
                  <w:marRight w:val="0"/>
                  <w:marTop w:val="0"/>
                  <w:marBottom w:val="0"/>
                  <w:divBdr>
                    <w:top w:val="none" w:sz="0" w:space="0" w:color="auto"/>
                    <w:left w:val="none" w:sz="0" w:space="0" w:color="auto"/>
                    <w:bottom w:val="none" w:sz="0" w:space="0" w:color="auto"/>
                    <w:right w:val="none" w:sz="0" w:space="0" w:color="auto"/>
                  </w:divBdr>
                  <w:divsChild>
                    <w:div w:id="83816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6.png"/><Relationship Id="rId5" Type="http://schemas.openxmlformats.org/officeDocument/2006/relationships/image" Target="media/image1.emf"/><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hyperlink" Target="mailto:o.rifaiegraham@qmul.ac.uk" TargetMode="Externa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173</TotalTime>
  <Pages>10</Pages>
  <Words>2085</Words>
  <Characters>11890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Queen Mary, University of London</Company>
  <LinksUpToDate>false</LinksUpToDate>
  <CharactersWithSpaces>13948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 Rifaie Graham</dc:creator>
  <cp:keywords/>
  <dc:description/>
  <cp:lastModifiedBy>Omar Rifaie Graham</cp:lastModifiedBy>
  <cp:revision>40</cp:revision>
  <dcterms:created xsi:type="dcterms:W3CDTF">2025-07-30T23:33:00Z</dcterms:created>
  <dcterms:modified xsi:type="dcterms:W3CDTF">2025-07-31T15:00:00Z</dcterms:modified>
</cp:coreProperties>
</file>