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EEE8C" w14:textId="77777777" w:rsidR="002F06A7" w:rsidRDefault="002F06A7" w:rsidP="002F06A7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Supplementary Material</w:t>
      </w:r>
    </w:p>
    <w:p w14:paraId="306241EF" w14:textId="77777777" w:rsidR="002F06A7" w:rsidRDefault="002F06A7" w:rsidP="002F06A7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448835D5" w14:textId="77777777" w:rsidR="002F06A7" w:rsidRDefault="002F06A7" w:rsidP="002F06A7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 Supplementary Figures and Tables</w:t>
      </w:r>
    </w:p>
    <w:p w14:paraId="3885F536" w14:textId="77777777" w:rsidR="002F06A7" w:rsidRDefault="002F06A7" w:rsidP="002F06A7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1.1 Supplementary Figures</w:t>
      </w:r>
    </w:p>
    <w:p w14:paraId="061CE160" w14:textId="77777777" w:rsidR="002F06A7" w:rsidRDefault="002F06A7" w:rsidP="002F06A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114300" distR="114300" wp14:anchorId="6F8CE3FA" wp14:editId="0B12EC74">
            <wp:extent cx="5263515" cy="3037840"/>
            <wp:effectExtent l="0" t="0" r="3810" b="635"/>
            <wp:docPr id="15" name="图片 15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EE1AA" w14:textId="77777777" w:rsidR="002F06A7" w:rsidRDefault="002F06A7" w:rsidP="002F06A7">
      <w:pPr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b/>
          <w:bCs/>
          <w:sz w:val="20"/>
          <w:szCs w:val="20"/>
        </w:rPr>
        <w:t xml:space="preserve">Supplementary Figure 1. </w:t>
      </w:r>
      <w:r>
        <w:rPr>
          <w:rFonts w:ascii="Times New Roman" w:eastAsia="SimSun" w:hAnsi="Times New Roman" w:cs="Times New Roman"/>
          <w:sz w:val="20"/>
          <w:szCs w:val="20"/>
        </w:rPr>
        <w:t>Anatomy of important organs in nude mice.</w:t>
      </w:r>
    </w:p>
    <w:p w14:paraId="7923FCAA" w14:textId="77777777" w:rsidR="002F06A7" w:rsidRDefault="002F06A7" w:rsidP="002F06A7">
      <w:pPr>
        <w:rPr>
          <w:rFonts w:ascii="Times New Roman" w:eastAsia="SimSun" w:hAnsi="Times New Roman" w:cs="Times New Roman"/>
          <w:sz w:val="20"/>
          <w:szCs w:val="20"/>
        </w:rPr>
      </w:pPr>
    </w:p>
    <w:p w14:paraId="74A0F1A7" w14:textId="77777777" w:rsidR="002F06A7" w:rsidRDefault="002F06A7" w:rsidP="002F06A7">
      <w:pPr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noProof/>
          <w:sz w:val="20"/>
          <w:szCs w:val="20"/>
        </w:rPr>
        <w:drawing>
          <wp:inline distT="0" distB="0" distL="114300" distR="114300" wp14:anchorId="7005D0B7" wp14:editId="2A24EDA0">
            <wp:extent cx="5266690" cy="1969770"/>
            <wp:effectExtent l="0" t="0" r="635" b="1905"/>
            <wp:docPr id="16" name="图片 16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upplementary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38316" w14:textId="77777777" w:rsidR="002F06A7" w:rsidRDefault="002F06A7" w:rsidP="002F06A7">
      <w:pPr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b/>
          <w:bCs/>
          <w:sz w:val="20"/>
          <w:szCs w:val="20"/>
        </w:rPr>
        <w:t xml:space="preserve">Supplementary Figure 2. </w:t>
      </w:r>
      <w:r>
        <w:rPr>
          <w:rFonts w:ascii="Times New Roman" w:eastAsia="SimSun" w:hAnsi="Times New Roman" w:cs="Times New Roman"/>
          <w:sz w:val="20"/>
          <w:szCs w:val="20"/>
        </w:rPr>
        <w:t>The level of ferroptosis proteins in the subcutaneous transplanted tumor tissues of ESCC in nude mice treated with Elbasvir. #1, #2, #3, #4, #5 respectively represent five pairs of subcutaneous tumor tissues from nude mice.</w:t>
      </w:r>
    </w:p>
    <w:p w14:paraId="4DA8C0BA" w14:textId="77777777" w:rsidR="002F06A7" w:rsidRDefault="002F06A7" w:rsidP="002F06A7">
      <w:pPr>
        <w:rPr>
          <w:rFonts w:ascii="Times New Roman" w:hAnsi="Times New Roman" w:cs="Times New Roman"/>
          <w:sz w:val="20"/>
          <w:szCs w:val="20"/>
        </w:rPr>
      </w:pPr>
    </w:p>
    <w:p w14:paraId="5DF68253" w14:textId="77777777" w:rsidR="002F06A7" w:rsidRDefault="002F06A7" w:rsidP="002F06A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114300" distR="114300" wp14:anchorId="65BCD163" wp14:editId="17B9C0FF">
            <wp:extent cx="5283835" cy="2444115"/>
            <wp:effectExtent l="0" t="0" r="2540" b="3810"/>
            <wp:docPr id="17" name="图片 17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Supplementary Figure 3"/>
                    <pic:cNvPicPr>
                      <a:picLocks noChangeAspect="1"/>
                    </pic:cNvPicPr>
                  </pic:nvPicPr>
                  <pic:blipFill>
                    <a:blip r:embed="rId6"/>
                    <a:srcRect b="7631"/>
                    <a:stretch>
                      <a:fillRect/>
                    </a:stretch>
                  </pic:blipFill>
                  <pic:spPr>
                    <a:xfrm>
                      <a:off x="0" y="0"/>
                      <a:ext cx="5283835" cy="244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2936D" w14:textId="77777777" w:rsidR="002F06A7" w:rsidRDefault="002F06A7" w:rsidP="002F06A7">
      <w:pPr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b/>
          <w:bCs/>
          <w:sz w:val="20"/>
          <w:szCs w:val="20"/>
        </w:rPr>
        <w:t>Supplementary Figure 3.</w:t>
      </w:r>
      <w:r>
        <w:rPr>
          <w:rFonts w:ascii="Times New Roman" w:eastAsia="SimSun" w:hAnsi="Times New Roman" w:cs="Times New Roman"/>
          <w:sz w:val="20"/>
          <w:szCs w:val="20"/>
        </w:rPr>
        <w:t>NCOA4</w:t>
      </w:r>
      <w:r>
        <w:rPr>
          <w:rFonts w:ascii="Times New Roman" w:eastAsia="SimSun" w:hAnsi="Times New Roman" w:cs="Times New Roman"/>
          <w:sz w:val="20"/>
          <w:szCs w:val="20"/>
          <w:vertAlign w:val="superscript"/>
        </w:rPr>
        <w:t>383-522</w:t>
      </w:r>
      <w:r>
        <w:rPr>
          <w:rFonts w:ascii="Times New Roman" w:eastAsia="SimSun" w:hAnsi="Times New Roman" w:cs="Times New Roman"/>
          <w:sz w:val="20"/>
          <w:szCs w:val="20"/>
        </w:rPr>
        <w:t xml:space="preserve"> protein expression and purification. (A) SDS-PAGE results of expression and purification test; (B) SDS-PAGE results of affinity purification; (C) Protein purification results. A. M: Protein Marker, 1: Sample before induction at 37 ℃, 2: Sample after induction at 37 ℃, 3: Sample before induction at 16 ℃, 4: Sample after induction at 16 ℃; B. M: Protein Marker, 1: Clear protein, 2: Flow-through liquid, 3-4: Elution samples; C. M: Protein Marker, 1: Protein sample.</w:t>
      </w:r>
    </w:p>
    <w:p w14:paraId="790E9E4D" w14:textId="77777777" w:rsidR="002F06A7" w:rsidRDefault="002F06A7" w:rsidP="002F06A7">
      <w:pPr>
        <w:rPr>
          <w:rFonts w:ascii="Times New Roman" w:hAnsi="Times New Roman" w:cs="Times New Roman"/>
          <w:sz w:val="20"/>
          <w:szCs w:val="20"/>
        </w:rPr>
      </w:pPr>
    </w:p>
    <w:p w14:paraId="40DBEAC8" w14:textId="77777777" w:rsidR="002F06A7" w:rsidRDefault="002F06A7" w:rsidP="002F06A7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1.2 Supplementary Tables</w:t>
      </w:r>
    </w:p>
    <w:p w14:paraId="4FCAC968" w14:textId="77777777" w:rsidR="002F06A7" w:rsidRDefault="002F06A7" w:rsidP="002F06A7">
      <w:pPr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b/>
          <w:bCs/>
          <w:sz w:val="20"/>
          <w:szCs w:val="20"/>
        </w:rPr>
        <w:t>Supplementary Table 1.</w:t>
      </w:r>
      <w:r>
        <w:rPr>
          <w:rFonts w:ascii="Times New Roman" w:eastAsia="SimSun" w:hAnsi="Times New Roman" w:cs="Times New Roman"/>
          <w:sz w:val="20"/>
          <w:szCs w:val="20"/>
        </w:rPr>
        <w:t>The differentially expressed proteins after Elbasvir treatment of KYSE150 cells.(The Excel file is attached: Supplementary Table 1)</w:t>
      </w:r>
    </w:p>
    <w:p w14:paraId="319D70F3" w14:textId="77777777" w:rsidR="002F06A7" w:rsidRDefault="002F06A7" w:rsidP="002F06A7">
      <w:pPr>
        <w:rPr>
          <w:rFonts w:ascii="Times New Roman" w:eastAsia="SimSun" w:hAnsi="Times New Roman" w:cs="Times New Roman"/>
          <w:sz w:val="20"/>
          <w:szCs w:val="20"/>
        </w:rPr>
      </w:pPr>
    </w:p>
    <w:p w14:paraId="0002EFC6" w14:textId="77777777" w:rsidR="002F06A7" w:rsidRDefault="002F06A7" w:rsidP="002F06A7">
      <w:pPr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b/>
          <w:bCs/>
          <w:sz w:val="20"/>
          <w:szCs w:val="20"/>
        </w:rPr>
        <w:t>Supplementary Table 2.</w:t>
      </w:r>
      <w:r>
        <w:rPr>
          <w:rFonts w:ascii="Times New Roman" w:eastAsia="SimSun" w:hAnsi="Times New Roman" w:cs="Times New Roman"/>
          <w:sz w:val="20"/>
          <w:szCs w:val="20"/>
        </w:rPr>
        <w:t>The differentially expressed proteins (TOP30) that were upregulated after Elbasvir treatment of ESCC cells KYSE150.(The Excel file is attached: Supplementary Table 2)</w:t>
      </w:r>
    </w:p>
    <w:p w14:paraId="0BB53C13" w14:textId="77777777" w:rsidR="002F06A7" w:rsidRDefault="002F06A7" w:rsidP="002F06A7">
      <w:pPr>
        <w:rPr>
          <w:rFonts w:ascii="Times New Roman" w:eastAsia="SimSun" w:hAnsi="Times New Roman" w:cs="Times New Roman"/>
          <w:sz w:val="20"/>
          <w:szCs w:val="20"/>
        </w:rPr>
      </w:pPr>
    </w:p>
    <w:p w14:paraId="42CE60C6" w14:textId="77777777" w:rsidR="002F06A7" w:rsidRDefault="002F06A7" w:rsidP="002F06A7">
      <w:pPr>
        <w:numPr>
          <w:ilvl w:val="255"/>
          <w:numId w:val="0"/>
        </w:numPr>
        <w:snapToGrid w:val="0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eastAsia="SimSun" w:hAnsi="Times New Roman" w:cs="Times New Roman"/>
          <w:b/>
          <w:bCs/>
          <w:sz w:val="20"/>
          <w:szCs w:val="20"/>
        </w:rPr>
        <w:t>Supplementary Table 3.</w:t>
      </w:r>
    </w:p>
    <w:p w14:paraId="02635243" w14:textId="77777777" w:rsidR="002F06A7" w:rsidRDefault="002F06A7" w:rsidP="002F06A7">
      <w:pPr>
        <w:numPr>
          <w:ilvl w:val="255"/>
          <w:numId w:val="0"/>
        </w:numPr>
        <w:snapToGrid w:val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SimSun" w:hAnsi="Times New Roman" w:cs="Times New Roman"/>
          <w:sz w:val="20"/>
          <w:szCs w:val="20"/>
        </w:rPr>
        <w:t>Detection results of the affinity of NCOA4383-522 protein with NCOA4-9a and Elbasvir</w:t>
      </w:r>
    </w:p>
    <w:tbl>
      <w:tblPr>
        <w:tblStyle w:val="TableGrid"/>
        <w:tblW w:w="839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1"/>
        <w:gridCol w:w="1484"/>
        <w:gridCol w:w="1477"/>
        <w:gridCol w:w="1478"/>
        <w:gridCol w:w="1478"/>
      </w:tblGrid>
      <w:tr w:rsidR="002F06A7" w14:paraId="61CD7E4D" w14:textId="77777777" w:rsidTr="00337535">
        <w:trPr>
          <w:trHeight w:val="642"/>
        </w:trPr>
        <w:tc>
          <w:tcPr>
            <w:tcW w:w="2481" w:type="dxa"/>
            <w:tcBorders>
              <w:top w:val="single" w:sz="12" w:space="0" w:color="auto"/>
              <w:bottom w:val="single" w:sz="8" w:space="0" w:color="auto"/>
            </w:tcBorders>
          </w:tcPr>
          <w:p w14:paraId="375795E7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Protein</w:t>
            </w:r>
          </w:p>
        </w:tc>
        <w:tc>
          <w:tcPr>
            <w:tcW w:w="1484" w:type="dxa"/>
            <w:tcBorders>
              <w:top w:val="single" w:sz="12" w:space="0" w:color="auto"/>
              <w:bottom w:val="single" w:sz="8" w:space="0" w:color="auto"/>
            </w:tcBorders>
          </w:tcPr>
          <w:p w14:paraId="361E964A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Ligand</w:t>
            </w:r>
          </w:p>
        </w:tc>
        <w:tc>
          <w:tcPr>
            <w:tcW w:w="1477" w:type="dxa"/>
            <w:tcBorders>
              <w:top w:val="single" w:sz="12" w:space="0" w:color="auto"/>
              <w:bottom w:val="single" w:sz="8" w:space="0" w:color="auto"/>
            </w:tcBorders>
          </w:tcPr>
          <w:p w14:paraId="4E78576B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KD (M)</w:t>
            </w:r>
          </w:p>
        </w:tc>
        <w:tc>
          <w:tcPr>
            <w:tcW w:w="1478" w:type="dxa"/>
            <w:tcBorders>
              <w:top w:val="single" w:sz="12" w:space="0" w:color="auto"/>
              <w:bottom w:val="single" w:sz="8" w:space="0" w:color="auto"/>
            </w:tcBorders>
          </w:tcPr>
          <w:p w14:paraId="79BE8919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 (1/Ms)</w:t>
            </w:r>
          </w:p>
        </w:tc>
        <w:tc>
          <w:tcPr>
            <w:tcW w:w="1478" w:type="dxa"/>
            <w:tcBorders>
              <w:top w:val="single" w:sz="12" w:space="0" w:color="auto"/>
              <w:bottom w:val="single" w:sz="8" w:space="0" w:color="auto"/>
            </w:tcBorders>
          </w:tcPr>
          <w:p w14:paraId="1D9E6D22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kd (1/s)</w:t>
            </w:r>
          </w:p>
        </w:tc>
      </w:tr>
      <w:tr w:rsidR="002F06A7" w14:paraId="50B888A7" w14:textId="77777777" w:rsidTr="00337535">
        <w:trPr>
          <w:trHeight w:val="624"/>
        </w:trPr>
        <w:tc>
          <w:tcPr>
            <w:tcW w:w="2481" w:type="dxa"/>
            <w:vMerge w:val="restart"/>
            <w:tcBorders>
              <w:top w:val="single" w:sz="8" w:space="0" w:color="auto"/>
              <w:tl2br w:val="nil"/>
              <w:tr2bl w:val="nil"/>
            </w:tcBorders>
          </w:tcPr>
          <w:p w14:paraId="23733EB8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</w:p>
          <w:p w14:paraId="1739DE28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NCOA4(383-522aa)</w:t>
            </w:r>
          </w:p>
        </w:tc>
        <w:tc>
          <w:tcPr>
            <w:tcW w:w="1484" w:type="dxa"/>
            <w:tcBorders>
              <w:top w:val="single" w:sz="8" w:space="0" w:color="auto"/>
              <w:tl2br w:val="nil"/>
              <w:tr2bl w:val="nil"/>
            </w:tcBorders>
          </w:tcPr>
          <w:p w14:paraId="220C58AF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NCOA4-9a</w:t>
            </w:r>
          </w:p>
        </w:tc>
        <w:tc>
          <w:tcPr>
            <w:tcW w:w="1477" w:type="dxa"/>
            <w:tcBorders>
              <w:top w:val="single" w:sz="8" w:space="0" w:color="auto"/>
              <w:tl2br w:val="nil"/>
              <w:tr2bl w:val="nil"/>
            </w:tcBorders>
          </w:tcPr>
          <w:p w14:paraId="4EB2F53C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7.69E-06</w:t>
            </w:r>
          </w:p>
        </w:tc>
        <w:tc>
          <w:tcPr>
            <w:tcW w:w="1478" w:type="dxa"/>
            <w:tcBorders>
              <w:top w:val="single" w:sz="8" w:space="0" w:color="auto"/>
              <w:tl2br w:val="nil"/>
              <w:tr2bl w:val="nil"/>
            </w:tcBorders>
          </w:tcPr>
          <w:p w14:paraId="4276D976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6.27E+03</w:t>
            </w:r>
          </w:p>
        </w:tc>
        <w:tc>
          <w:tcPr>
            <w:tcW w:w="1478" w:type="dxa"/>
            <w:tcBorders>
              <w:top w:val="single" w:sz="8" w:space="0" w:color="auto"/>
              <w:tl2br w:val="nil"/>
              <w:tr2bl w:val="nil"/>
            </w:tcBorders>
          </w:tcPr>
          <w:p w14:paraId="64815576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4.82E-02</w:t>
            </w:r>
          </w:p>
        </w:tc>
      </w:tr>
      <w:tr w:rsidR="002F06A7" w14:paraId="1B3B6ACA" w14:textId="77777777" w:rsidTr="00337535">
        <w:trPr>
          <w:trHeight w:val="642"/>
        </w:trPr>
        <w:tc>
          <w:tcPr>
            <w:tcW w:w="2481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525F4103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84" w:type="dxa"/>
            <w:tcBorders>
              <w:bottom w:val="single" w:sz="12" w:space="0" w:color="auto"/>
              <w:tl2br w:val="nil"/>
              <w:tr2bl w:val="nil"/>
            </w:tcBorders>
          </w:tcPr>
          <w:p w14:paraId="2B4E01D5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Elbasvir</w:t>
            </w:r>
          </w:p>
        </w:tc>
        <w:tc>
          <w:tcPr>
            <w:tcW w:w="1477" w:type="dxa"/>
            <w:tcBorders>
              <w:bottom w:val="single" w:sz="12" w:space="0" w:color="auto"/>
              <w:tl2br w:val="nil"/>
              <w:tr2bl w:val="nil"/>
            </w:tcBorders>
          </w:tcPr>
          <w:p w14:paraId="6AA917E0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5.11E-06</w:t>
            </w:r>
          </w:p>
        </w:tc>
        <w:tc>
          <w:tcPr>
            <w:tcW w:w="1478" w:type="dxa"/>
            <w:tcBorders>
              <w:bottom w:val="single" w:sz="12" w:space="0" w:color="auto"/>
              <w:tl2br w:val="nil"/>
              <w:tr2bl w:val="nil"/>
            </w:tcBorders>
          </w:tcPr>
          <w:p w14:paraId="7405E1DC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1.81E+04</w:t>
            </w:r>
          </w:p>
        </w:tc>
        <w:tc>
          <w:tcPr>
            <w:tcW w:w="1478" w:type="dxa"/>
            <w:tcBorders>
              <w:bottom w:val="single" w:sz="12" w:space="0" w:color="auto"/>
              <w:tl2br w:val="nil"/>
              <w:tr2bl w:val="nil"/>
            </w:tcBorders>
          </w:tcPr>
          <w:p w14:paraId="20B6ADEF" w14:textId="77777777" w:rsidR="002F06A7" w:rsidRDefault="002F06A7" w:rsidP="00337535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9.27E-02</w:t>
            </w:r>
          </w:p>
        </w:tc>
      </w:tr>
    </w:tbl>
    <w:p w14:paraId="517C8D5D" w14:textId="77777777" w:rsidR="002F06A7" w:rsidRDefault="002F06A7" w:rsidP="002F06A7">
      <w:pPr>
        <w:snapToGrid w:val="0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Note: KD: dissociation constant, which reflects the affinity of the analyte to the target, the smaller the value, the stronger the affinity; Ka: represents the speed of molecular binding, the larger the value, the faster the binding; Kd: dissociation rate constant, represents the speed of molecular dissociation, the larger the value, the faster the dissociation.</w:t>
      </w:r>
    </w:p>
    <w:p w14:paraId="32481BA7" w14:textId="77777777" w:rsidR="002F06A7" w:rsidRDefault="002F06A7" w:rsidP="002F06A7">
      <w:pPr>
        <w:snapToGrid w:val="0"/>
        <w:rPr>
          <w:rFonts w:ascii="Times New Roman" w:eastAsia="SimSun" w:hAnsi="Times New Roman" w:cs="Times New Roman"/>
          <w:sz w:val="20"/>
          <w:szCs w:val="20"/>
        </w:rPr>
      </w:pPr>
    </w:p>
    <w:p w14:paraId="13599A9B" w14:textId="77777777" w:rsidR="002F06A7" w:rsidRDefault="002F06A7" w:rsidP="002F06A7">
      <w:pPr>
        <w:rPr>
          <w:rFonts w:ascii="Times New Roman" w:eastAsia="SimSun" w:hAnsi="Times New Roman" w:cs="Times New Roman"/>
          <w:sz w:val="20"/>
          <w:szCs w:val="20"/>
        </w:rPr>
      </w:pPr>
    </w:p>
    <w:p w14:paraId="6332E4C8" w14:textId="77777777" w:rsidR="00DE6AE2" w:rsidRDefault="00DE6AE2"/>
    <w:sectPr w:rsidR="00DE6AE2" w:rsidSect="002F06A7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DA3AE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B091D0" wp14:editId="57D6CCA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2DBE0B" w14:textId="77777777" w:rsidR="00000000" w:rsidRDefault="00000000">
                          <w:pPr>
                            <w:pStyle w:val="Heading1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B091D0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C2DBE0B" w14:textId="77777777" w:rsidR="00000000" w:rsidRDefault="00000000">
                    <w:pPr>
                      <w:pStyle w:val="Heading1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38D8F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6A7"/>
    <w:rsid w:val="00195413"/>
    <w:rsid w:val="002F06A7"/>
    <w:rsid w:val="003D0186"/>
    <w:rsid w:val="007278E4"/>
    <w:rsid w:val="00A3738C"/>
    <w:rsid w:val="00BC6C35"/>
    <w:rsid w:val="00CB270D"/>
    <w:rsid w:val="00CF7583"/>
    <w:rsid w:val="00DE6AE2"/>
    <w:rsid w:val="00EA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2AE7E"/>
  <w15:chartTrackingRefBased/>
  <w15:docId w15:val="{D82B1F9F-B5D4-483B-A391-6117876A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6A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06A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06A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06A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06A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06A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06A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06A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06A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06A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6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06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06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06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06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06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06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06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06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06A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06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06A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06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06A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06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06A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06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06A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06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06A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2F0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2F06A7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qFormat/>
    <w:rsid w:val="002F06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2F06A7"/>
    <w:rPr>
      <w:rFonts w:eastAsiaTheme="minorEastAsia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uiPriority w:val="39"/>
    <w:qFormat/>
    <w:rsid w:val="002F06A7"/>
    <w:pPr>
      <w:spacing w:after="0" w:line="240" w:lineRule="auto"/>
    </w:pPr>
    <w:rPr>
      <w:rFonts w:ascii="Times New Roman" w:eastAsia="SimSun" w:hAnsi="Times New Roman" w:cs="Times New Roman"/>
      <w:kern w:val="0"/>
      <w:sz w:val="28"/>
      <w:szCs w:val="28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1610</Characters>
  <Application>Microsoft Office Word</Application>
  <DocSecurity>0</DocSecurity>
  <Lines>13</Lines>
  <Paragraphs>3</Paragraphs>
  <ScaleCrop>false</ScaleCrop>
  <Company>Springer Nature</Company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2025-10-06T15:19:00Z</dcterms:created>
  <dcterms:modified xsi:type="dcterms:W3CDTF">2025-10-06T15:19:00Z</dcterms:modified>
</cp:coreProperties>
</file>