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128A" w14:textId="77777777" w:rsidR="009B1989" w:rsidRDefault="00000000">
      <w:pPr>
        <w:pStyle w:val="1"/>
        <w:spacing w:before="120" w:after="120" w:line="360" w:lineRule="auto"/>
        <w:jc w:val="center"/>
        <w:rPr>
          <w:rStyle w:val="fontstyle01"/>
          <w:rFonts w:ascii="Times New Roman" w:eastAsiaTheme="minorEastAsia" w:hAnsi="Times New Roman" w:cs="Times New Roman"/>
          <w:color w:val="auto"/>
          <w:sz w:val="36"/>
          <w:szCs w:val="36"/>
        </w:rPr>
      </w:pPr>
      <w:bookmarkStart w:id="0" w:name="_Hlk179645086"/>
      <w:r>
        <w:rPr>
          <w:rStyle w:val="fontstyle01"/>
          <w:rFonts w:ascii="Times New Roman" w:eastAsiaTheme="minorEastAsia" w:hAnsi="Times New Roman" w:cs="Times New Roman"/>
          <w:color w:val="auto"/>
          <w:sz w:val="36"/>
          <w:szCs w:val="36"/>
        </w:rPr>
        <w:t>S</w:t>
      </w:r>
      <w:r>
        <w:rPr>
          <w:rStyle w:val="fontstyle01"/>
          <w:rFonts w:ascii="Times New Roman" w:eastAsiaTheme="minorEastAsia" w:hAnsi="Times New Roman" w:cs="Times New Roman" w:hint="eastAsia"/>
          <w:color w:val="auto"/>
          <w:sz w:val="36"/>
          <w:szCs w:val="36"/>
        </w:rPr>
        <w:t xml:space="preserve">upporting </w:t>
      </w:r>
      <w:proofErr w:type="spellStart"/>
      <w:r>
        <w:rPr>
          <w:rStyle w:val="fontstyle01"/>
          <w:rFonts w:ascii="Times New Roman" w:eastAsiaTheme="minorEastAsia" w:hAnsi="Times New Roman" w:cs="Times New Roman" w:hint="eastAsia"/>
          <w:color w:val="auto"/>
          <w:sz w:val="36"/>
          <w:szCs w:val="36"/>
        </w:rPr>
        <w:t>informantion</w:t>
      </w:r>
      <w:proofErr w:type="spellEnd"/>
    </w:p>
    <w:p w14:paraId="48BC26F4" w14:textId="77777777" w:rsidR="009B1989" w:rsidRDefault="00000000">
      <w:pPr>
        <w:pStyle w:val="1"/>
        <w:spacing w:before="120" w:after="120" w:line="360" w:lineRule="auto"/>
        <w:rPr>
          <w:rStyle w:val="fontstyle01"/>
          <w:rFonts w:ascii="Times New Roman" w:hAnsi="Times New Roman" w:cs="Times New Roman"/>
          <w:color w:val="auto"/>
          <w:sz w:val="36"/>
          <w:szCs w:val="36"/>
        </w:rPr>
      </w:pPr>
      <w:r>
        <w:rPr>
          <w:rStyle w:val="fontstyle01"/>
          <w:rFonts w:ascii="Times New Roman" w:hAnsi="Times New Roman" w:cs="Times New Roman"/>
          <w:color w:val="auto"/>
          <w:sz w:val="36"/>
          <w:szCs w:val="36"/>
        </w:rPr>
        <w:t xml:space="preserve">Facile synthesis of </w:t>
      </w:r>
      <w:r>
        <w:rPr>
          <w:rFonts w:ascii="Times New Roman" w:hAnsi="Times New Roman" w:cs="Times New Roman"/>
          <w:sz w:val="36"/>
          <w:szCs w:val="36"/>
        </w:rPr>
        <w:t>La</w:t>
      </w:r>
      <w:r>
        <w:rPr>
          <w:rFonts w:ascii="Times New Roman" w:hAnsi="Times New Roman" w:cs="Times New Roman"/>
          <w:sz w:val="36"/>
          <w:szCs w:val="36"/>
          <w:vertAlign w:val="subscript"/>
        </w:rPr>
        <w:t>0.5</w:t>
      </w:r>
      <w:r>
        <w:rPr>
          <w:rFonts w:ascii="Times New Roman" w:hAnsi="Times New Roman" w:cs="Times New Roman"/>
          <w:sz w:val="36"/>
          <w:szCs w:val="36"/>
        </w:rPr>
        <w:t>Sr</w:t>
      </w:r>
      <w:r>
        <w:rPr>
          <w:rFonts w:ascii="Times New Roman" w:hAnsi="Times New Roman" w:cs="Times New Roman"/>
          <w:sz w:val="36"/>
          <w:szCs w:val="36"/>
          <w:vertAlign w:val="subscript"/>
        </w:rPr>
        <w:t>0.5</w:t>
      </w:r>
      <w:r>
        <w:rPr>
          <w:rFonts w:ascii="Times New Roman" w:hAnsi="Times New Roman" w:cs="Times New Roman"/>
          <w:sz w:val="36"/>
          <w:szCs w:val="36"/>
        </w:rPr>
        <w:t>Co</w:t>
      </w:r>
      <w:r>
        <w:rPr>
          <w:rFonts w:ascii="Times New Roman" w:hAnsi="Times New Roman" w:cs="Times New Roman"/>
          <w:sz w:val="36"/>
          <w:szCs w:val="36"/>
          <w:vertAlign w:val="subscript"/>
        </w:rPr>
        <w:t>0.53</w:t>
      </w:r>
      <w:r>
        <w:rPr>
          <w:rFonts w:ascii="Times New Roman" w:hAnsi="Times New Roman" w:cs="Times New Roman"/>
          <w:sz w:val="36"/>
          <w:szCs w:val="36"/>
        </w:rPr>
        <w:t>Mn</w:t>
      </w:r>
      <w:r>
        <w:rPr>
          <w:rFonts w:ascii="Times New Roman" w:hAnsi="Times New Roman" w:cs="Times New Roman"/>
          <w:sz w:val="36"/>
          <w:szCs w:val="36"/>
          <w:vertAlign w:val="subscript"/>
        </w:rPr>
        <w:t>0.47</w:t>
      </w:r>
      <w:r>
        <w:rPr>
          <w:rFonts w:ascii="Times New Roman" w:hAnsi="Times New Roman" w:cs="Times New Roman"/>
          <w:sz w:val="36"/>
          <w:szCs w:val="36"/>
        </w:rPr>
        <w:t>O</w:t>
      </w:r>
      <w:r>
        <w:rPr>
          <w:rFonts w:ascii="Times New Roman" w:hAnsi="Times New Roman" w:cs="Times New Roman"/>
          <w:sz w:val="36"/>
          <w:szCs w:val="36"/>
          <w:vertAlign w:val="subscript"/>
        </w:rPr>
        <w:t>3</w:t>
      </w:r>
      <w:r>
        <w:rPr>
          <w:rStyle w:val="fontstyle01"/>
          <w:rFonts w:ascii="Times New Roman" w:hAnsi="Times New Roman" w:cs="Times New Roman"/>
          <w:color w:val="auto"/>
          <w:sz w:val="36"/>
          <w:szCs w:val="36"/>
        </w:rPr>
        <w:t>/g-C</w:t>
      </w:r>
      <w:r>
        <w:rPr>
          <w:rStyle w:val="fontstyle01"/>
          <w:rFonts w:ascii="Times New Roman" w:hAnsi="Times New Roman" w:cs="Times New Roman"/>
          <w:color w:val="auto"/>
          <w:sz w:val="36"/>
          <w:szCs w:val="36"/>
          <w:vertAlign w:val="subscript"/>
        </w:rPr>
        <w:t>3</w:t>
      </w:r>
      <w:r>
        <w:rPr>
          <w:rStyle w:val="fontstyle01"/>
          <w:rFonts w:ascii="Times New Roman" w:hAnsi="Times New Roman" w:cs="Times New Roman"/>
          <w:color w:val="auto"/>
          <w:sz w:val="36"/>
          <w:szCs w:val="36"/>
        </w:rPr>
        <w:t>N</w:t>
      </w:r>
      <w:r>
        <w:rPr>
          <w:rStyle w:val="fontstyle01"/>
          <w:rFonts w:ascii="Times New Roman" w:hAnsi="Times New Roman" w:cs="Times New Roman"/>
          <w:color w:val="auto"/>
          <w:sz w:val="36"/>
          <w:szCs w:val="36"/>
          <w:vertAlign w:val="subscript"/>
        </w:rPr>
        <w:t>4</w:t>
      </w:r>
      <w:r>
        <w:rPr>
          <w:rStyle w:val="fontstyle01"/>
          <w:rFonts w:ascii="Times New Roman" w:hAnsi="Times New Roman" w:cs="Times New Roman"/>
          <w:color w:val="auto"/>
          <w:sz w:val="36"/>
          <w:szCs w:val="36"/>
        </w:rPr>
        <w:t xml:space="preserve"> hybrid materials and study on bifunctional ORR and OER performance </w:t>
      </w:r>
    </w:p>
    <w:bookmarkEnd w:id="0"/>
    <w:p w14:paraId="752F2AEA" w14:textId="1832F980" w:rsidR="009B1989" w:rsidRDefault="000000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Rui Yan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 w:rsidR="00B55437">
        <w:rPr>
          <w:rFonts w:ascii="Times New Roman" w:hAnsi="Times New Roman" w:cs="Times New Roman"/>
          <w:sz w:val="24"/>
        </w:rPr>
        <w:t>Kai Wang</w:t>
      </w:r>
      <w:r w:rsidR="00B55437">
        <w:rPr>
          <w:rFonts w:ascii="Times New Roman" w:hAnsi="Times New Roman" w:cs="Times New Roman"/>
          <w:sz w:val="24"/>
          <w:vertAlign w:val="superscript"/>
        </w:rPr>
        <w:t>a</w:t>
      </w:r>
      <w:r w:rsidR="0077614F">
        <w:rPr>
          <w:rFonts w:ascii="Times New Roman" w:hAnsi="Times New Roman" w:cs="Times New Roman" w:hint="eastAsia"/>
          <w:sz w:val="24"/>
          <w:vertAlign w:val="superscript"/>
        </w:rPr>
        <w:t>*</w:t>
      </w:r>
      <w:r w:rsidR="00B55437">
        <w:rPr>
          <w:rFonts w:hint="eastAsia"/>
        </w:rPr>
        <w:t>,</w:t>
      </w:r>
      <w:r>
        <w:rPr>
          <w:rFonts w:ascii="Times New Roman" w:hAnsi="Times New Roman" w:cs="Times New Roman" w:hint="eastAsia"/>
          <w:sz w:val="24"/>
        </w:rPr>
        <w:t>Lei Zou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 w:hint="eastAsia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Hewei</w:t>
      </w:r>
      <w:proofErr w:type="spellEnd"/>
      <w:r>
        <w:rPr>
          <w:rFonts w:ascii="Times New Roman" w:hAnsi="Times New Roman" w:cs="Times New Roman"/>
          <w:sz w:val="24"/>
        </w:rPr>
        <w:t xml:space="preserve"> Xu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Tao </w:t>
      </w:r>
      <w:proofErr w:type="spellStart"/>
      <w:r>
        <w:rPr>
          <w:rFonts w:ascii="Times New Roman" w:hAnsi="Times New Roman" w:cs="Times New Roman"/>
          <w:sz w:val="24"/>
        </w:rPr>
        <w:t>Zhang</w:t>
      </w:r>
      <w:r>
        <w:rPr>
          <w:rFonts w:ascii="Times New Roman" w:hAnsi="Times New Roman" w:cs="Times New Roman"/>
          <w:sz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</w:p>
    <w:p w14:paraId="2D8E4FC4" w14:textId="77777777" w:rsidR="009B1989" w:rsidRDefault="00000000">
      <w:pPr>
        <w:jc w:val="center"/>
        <w:rPr>
          <w:rFonts w:ascii="Times New Roman" w:hAnsi="Times New Roman" w:cs="Times New Roman"/>
          <w:i/>
          <w:szCs w:val="21"/>
        </w:rPr>
      </w:pPr>
      <w:bookmarkStart w:id="1" w:name="OLE_LINK25"/>
      <w:bookmarkStart w:id="2" w:name="OLE_LINK24"/>
      <w:proofErr w:type="spellStart"/>
      <w:r>
        <w:rPr>
          <w:rFonts w:ascii="Times New Roman" w:hAnsi="Times New Roman" w:cs="Times New Roman"/>
          <w:i/>
          <w:szCs w:val="21"/>
          <w:vertAlign w:val="superscript"/>
        </w:rPr>
        <w:t>a</w:t>
      </w:r>
      <w:r>
        <w:rPr>
          <w:rFonts w:ascii="Times New Roman" w:hAnsi="Times New Roman" w:cs="Times New Roman"/>
          <w:i/>
          <w:szCs w:val="21"/>
        </w:rPr>
        <w:t>Department</w:t>
      </w:r>
      <w:proofErr w:type="spellEnd"/>
      <w:r>
        <w:rPr>
          <w:rFonts w:ascii="Times New Roman" w:hAnsi="Times New Roman" w:cs="Times New Roman"/>
          <w:i/>
          <w:szCs w:val="21"/>
        </w:rPr>
        <w:t xml:space="preserve"> of Materials Engineering, Taiyuan Institute of Technology</w:t>
      </w:r>
      <w:bookmarkEnd w:id="1"/>
      <w:bookmarkEnd w:id="2"/>
      <w:r>
        <w:rPr>
          <w:rFonts w:ascii="Times New Roman" w:hAnsi="Times New Roman" w:cs="Times New Roman"/>
          <w:i/>
          <w:szCs w:val="21"/>
        </w:rPr>
        <w:t>, Taiyuan 030008, China</w:t>
      </w:r>
    </w:p>
    <w:p w14:paraId="4796D650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00A8992D" w14:textId="77777777" w:rsidR="009B1989" w:rsidRDefault="00000000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w:drawing>
          <wp:anchor distT="0" distB="0" distL="114300" distR="114300" simplePos="0" relativeHeight="251660288" behindDoc="1" locked="0" layoutInCell="1" allowOverlap="1" wp14:anchorId="3C1A7ADF" wp14:editId="5EE89068">
            <wp:simplePos x="0" y="0"/>
            <wp:positionH relativeFrom="margin">
              <wp:posOffset>1263650</wp:posOffset>
            </wp:positionH>
            <wp:positionV relativeFrom="paragraph">
              <wp:posOffset>118745</wp:posOffset>
            </wp:positionV>
            <wp:extent cx="3171825" cy="2804795"/>
            <wp:effectExtent l="0" t="0" r="9525" b="0"/>
            <wp:wrapTight wrapText="bothSides">
              <wp:wrapPolygon edited="0">
                <wp:start x="0" y="0"/>
                <wp:lineTo x="0" y="21419"/>
                <wp:lineTo x="21535" y="21419"/>
                <wp:lineTo x="21535" y="0"/>
                <wp:lineTo x="0" y="0"/>
              </wp:wrapPolygon>
            </wp:wrapTight>
            <wp:docPr id="14938167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16758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0" r="1164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090C37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9269503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582F8322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1C690AF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29A9618B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620FCE69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36E85D6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1211279B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7291603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3E3E4D7A" w14:textId="77777777" w:rsidR="009B1989" w:rsidRDefault="009B1989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</w:p>
    <w:p w14:paraId="772F19BC" w14:textId="77777777" w:rsidR="009B1989" w:rsidRDefault="00000000">
      <w:pPr>
        <w:spacing w:line="440" w:lineRule="exact"/>
        <w:jc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Fig</w:t>
      </w:r>
      <w:r>
        <w:rPr>
          <w:rFonts w:ascii="Times New Roman" w:hAnsi="Times New Roman" w:cs="Times New Roman" w:hint="eastAsia"/>
          <w:color w:val="000000"/>
          <w:szCs w:val="21"/>
        </w:rPr>
        <w:t>.</w:t>
      </w:r>
      <w:r>
        <w:rPr>
          <w:rFonts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szCs w:val="21"/>
        </w:rPr>
        <w:t>S1</w:t>
      </w:r>
      <w:r>
        <w:rPr>
          <w:rFonts w:ascii="Times New Roman" w:hAnsi="Times New Roman" w:cs="Times New Roman"/>
          <w:color w:val="000000"/>
          <w:szCs w:val="21"/>
        </w:rPr>
        <w:t>. Content of different elements in LCO-70% samples</w:t>
      </w:r>
    </w:p>
    <w:p w14:paraId="64FB2806" w14:textId="77777777" w:rsidR="009B1989" w:rsidRDefault="00000000">
      <w:pPr>
        <w:spacing w:line="440" w:lineRule="exact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Fig</w:t>
      </w:r>
      <w:r>
        <w:rPr>
          <w:rFonts w:ascii="Times New Roman" w:hAnsi="Times New Roman" w:cs="Times New Roman" w:hint="eastAsia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</w:rPr>
        <w:t>S1</w:t>
      </w:r>
      <w:r>
        <w:rPr>
          <w:rFonts w:ascii="Times New Roman" w:hAnsi="Times New Roman" w:cs="Times New Roman"/>
          <w:color w:val="000000"/>
          <w:sz w:val="24"/>
        </w:rPr>
        <w:t xml:space="preserve"> shows the contents of different elements of La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x</w:t>
      </w:r>
      <w:r>
        <w:rPr>
          <w:rFonts w:ascii="Times New Roman" w:hAnsi="Times New Roman" w:cs="Times New Roman"/>
          <w:color w:val="000000"/>
          <w:sz w:val="24"/>
        </w:rPr>
        <w:t>Sr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1-x</w:t>
      </w:r>
      <w:r>
        <w:rPr>
          <w:rFonts w:ascii="Times New Roman" w:hAnsi="Times New Roman" w:cs="Times New Roman"/>
          <w:color w:val="000000"/>
          <w:sz w:val="24"/>
        </w:rPr>
        <w:t>Co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y</w:t>
      </w:r>
      <w:r>
        <w:rPr>
          <w:rFonts w:ascii="Times New Roman" w:hAnsi="Times New Roman" w:cs="Times New Roman"/>
          <w:color w:val="000000"/>
          <w:sz w:val="24"/>
        </w:rPr>
        <w:t>Mn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1-y</w:t>
      </w:r>
      <w:r>
        <w:rPr>
          <w:rFonts w:ascii="Times New Roman" w:hAnsi="Times New Roman" w:cs="Times New Roman"/>
          <w:color w:val="000000"/>
          <w:sz w:val="24"/>
        </w:rPr>
        <w:t>O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According to the </w:t>
      </w:r>
      <w:r>
        <w:rPr>
          <w:rFonts w:ascii="Times New Roman" w:hAnsi="Times New Roman" w:cs="Times New Roman" w:hint="eastAsia"/>
          <w:color w:val="000000"/>
          <w:sz w:val="24"/>
        </w:rPr>
        <w:t>Fig.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</w:rPr>
        <w:t>S1</w:t>
      </w:r>
      <w:r>
        <w:rPr>
          <w:rFonts w:ascii="Times New Roman" w:hAnsi="Times New Roman" w:cs="Times New Roman"/>
          <w:color w:val="000000"/>
          <w:sz w:val="24"/>
        </w:rPr>
        <w:t>, the mass fraction of La is 34.71%, Sr is 22.15%, Co is 15.21%,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and Mn is 4</w:t>
      </w:r>
      <w:r>
        <w:rPr>
          <w:rFonts w:ascii="Times New Roman" w:hAnsi="Times New Roman" w:cs="Times New Roman" w:hint="eastAsia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.64%,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n(La):n(Sr):n(Co):n(Mn):n(O)= 0.5:0.5:0.5</w:t>
      </w:r>
      <w:r>
        <w:rPr>
          <w:rFonts w:ascii="Times New Roman" w:hAnsi="Times New Roman" w:cs="Times New Roman" w:hint="eastAsia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:0.</w:t>
      </w:r>
      <w:r>
        <w:rPr>
          <w:rFonts w:ascii="Times New Roman" w:hAnsi="Times New Roman" w:cs="Times New Roman" w:hint="eastAsia"/>
          <w:color w:val="000000"/>
          <w:sz w:val="24"/>
        </w:rPr>
        <w:t>47</w:t>
      </w:r>
      <w:r>
        <w:rPr>
          <w:rFonts w:ascii="Times New Roman" w:hAnsi="Times New Roman" w:cs="Times New Roman"/>
          <w:color w:val="000000"/>
          <w:sz w:val="24"/>
        </w:rPr>
        <w:t>:3. So this perovskite precursor of structural formula for La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0.5</w:t>
      </w:r>
      <w:r>
        <w:rPr>
          <w:rFonts w:ascii="Times New Roman" w:hAnsi="Times New Roman" w:cs="Times New Roman"/>
          <w:color w:val="000000"/>
          <w:sz w:val="24"/>
        </w:rPr>
        <w:t>Sr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0.5</w:t>
      </w:r>
      <w:r>
        <w:rPr>
          <w:rFonts w:ascii="Times New Roman" w:hAnsi="Times New Roman" w:cs="Times New Roman"/>
          <w:color w:val="000000"/>
          <w:sz w:val="24"/>
        </w:rPr>
        <w:t>Co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0.5</w:t>
      </w:r>
      <w:r>
        <w:rPr>
          <w:rFonts w:ascii="Times New Roman" w:hAnsi="Times New Roman" w:cs="Times New Roman" w:hint="eastAsia"/>
          <w:color w:val="000000"/>
          <w:sz w:val="24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4"/>
        </w:rPr>
        <w:t>Mn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0.</w:t>
      </w:r>
      <w:r>
        <w:rPr>
          <w:rFonts w:ascii="Times New Roman" w:hAnsi="Times New Roman" w:cs="Times New Roman" w:hint="eastAsia"/>
          <w:color w:val="000000"/>
          <w:sz w:val="24"/>
          <w:vertAlign w:val="subscript"/>
        </w:rPr>
        <w:t>47</w:t>
      </w:r>
      <w:r>
        <w:rPr>
          <w:rFonts w:ascii="Times New Roman" w:hAnsi="Times New Roman" w:cs="Times New Roman"/>
          <w:color w:val="000000"/>
          <w:sz w:val="24"/>
        </w:rPr>
        <w:t>O</w:t>
      </w:r>
      <w:r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>
        <w:rPr>
          <w:rFonts w:ascii="Times New Roman" w:hAnsi="Times New Roman" w:cs="Times New Roman" w:hint="eastAsia"/>
          <w:color w:val="000000"/>
          <w:sz w:val="24"/>
        </w:rPr>
        <w:t>.</w:t>
      </w:r>
    </w:p>
    <w:p w14:paraId="123B4938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0774B76C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23AD680D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4E7D8EF1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41E193AF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05EB7C24" w14:textId="77777777" w:rsidR="009B1989" w:rsidRDefault="00000000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AF8C5FE" wp14:editId="54D05D71">
            <wp:simplePos x="0" y="0"/>
            <wp:positionH relativeFrom="margin">
              <wp:posOffset>650875</wp:posOffset>
            </wp:positionH>
            <wp:positionV relativeFrom="paragraph">
              <wp:posOffset>225425</wp:posOffset>
            </wp:positionV>
            <wp:extent cx="3701415" cy="2904490"/>
            <wp:effectExtent l="0" t="0" r="0" b="0"/>
            <wp:wrapTopAndBottom/>
            <wp:docPr id="4117871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715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1" r="9584"/>
                    <a:stretch>
                      <a:fillRect/>
                    </a:stretch>
                  </pic:blipFill>
                  <pic:spPr>
                    <a:xfrm>
                      <a:off x="0" y="0"/>
                      <a:ext cx="370141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062335" w14:textId="77777777" w:rsidR="009B1989" w:rsidRDefault="00000000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Fig</w:t>
      </w:r>
      <w:r>
        <w:rPr>
          <w:rFonts w:ascii="Times New Roman" w:hAnsi="Times New Roman" w:cs="Times New Roman" w:hint="eastAsia"/>
          <w:color w:val="000000"/>
          <w:szCs w:val="21"/>
        </w:rPr>
        <w:t>. S2</w:t>
      </w:r>
      <w:r>
        <w:rPr>
          <w:rFonts w:ascii="Times New Roman" w:hAnsi="Times New Roman" w:cs="Times New Roman"/>
          <w:color w:val="000000"/>
          <w:szCs w:val="21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Cs w:val="21"/>
        </w:rPr>
        <w:t>Potentiostatic</w:t>
      </w:r>
      <w:proofErr w:type="spellEnd"/>
      <w:r>
        <w:rPr>
          <w:rFonts w:ascii="Times New Roman" w:hAnsi="Times New Roman" w:cs="Times New Roman"/>
          <w:color w:val="000000"/>
          <w:szCs w:val="21"/>
        </w:rPr>
        <w:t xml:space="preserve"> polarization curve of LCO-70% (a) Polarization curve without adding alcohol; (b) Polarization curve of methanol added in 1500s.</w:t>
      </w:r>
    </w:p>
    <w:p w14:paraId="24816F96" w14:textId="77777777" w:rsidR="009B1989" w:rsidRDefault="009B1989">
      <w:pPr>
        <w:spacing w:line="440" w:lineRule="exact"/>
        <w:rPr>
          <w:rFonts w:ascii="Times New Roman" w:hAnsi="Times New Roman" w:cs="Times New Roman"/>
          <w:color w:val="000000"/>
          <w:szCs w:val="21"/>
        </w:rPr>
      </w:pPr>
    </w:p>
    <w:p w14:paraId="14A2A456" w14:textId="77777777" w:rsidR="009B1989" w:rsidRDefault="00000000">
      <w:pPr>
        <w:spacing w:line="440" w:lineRule="exact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Fig</w:t>
      </w:r>
      <w:r>
        <w:rPr>
          <w:rFonts w:ascii="Times New Roman" w:hAnsi="Times New Roman" w:cs="Times New Roman" w:hint="eastAsia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</w:rPr>
        <w:t>S2</w:t>
      </w:r>
      <w:r>
        <w:rPr>
          <w:rFonts w:ascii="Times New Roman" w:hAnsi="Times New Roman" w:cs="Times New Roman"/>
          <w:color w:val="000000"/>
          <w:sz w:val="24"/>
        </w:rPr>
        <w:t xml:space="preserve"> show the polarization curve of LCO-70% at a constant potential of -0.26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V. It can be seen from </w:t>
      </w:r>
      <w:r>
        <w:rPr>
          <w:rFonts w:ascii="Times New Roman" w:hAnsi="Times New Roman" w:cs="Times New Roman" w:hint="eastAsia"/>
          <w:color w:val="000000"/>
          <w:sz w:val="24"/>
        </w:rPr>
        <w:t>f</w:t>
      </w:r>
      <w:r>
        <w:rPr>
          <w:rFonts w:ascii="Times New Roman" w:hAnsi="Times New Roman" w:cs="Times New Roman"/>
          <w:color w:val="000000"/>
          <w:sz w:val="24"/>
        </w:rPr>
        <w:t xml:space="preserve">igure </w:t>
      </w:r>
      <w:r>
        <w:rPr>
          <w:rFonts w:ascii="Times New Roman" w:hAnsi="Times New Roman" w:cs="Times New Roman" w:hint="eastAsia"/>
          <w:color w:val="000000"/>
          <w:sz w:val="24"/>
        </w:rPr>
        <w:t xml:space="preserve">S3a </w:t>
      </w:r>
      <w:r>
        <w:rPr>
          <w:rFonts w:ascii="Times New Roman" w:hAnsi="Times New Roman" w:cs="Times New Roman"/>
          <w:color w:val="000000"/>
          <w:sz w:val="24"/>
        </w:rPr>
        <w:t>that the current density of the sample basically does not change after 3000s, indicating that LCO-70% has good stability. Fig</w:t>
      </w:r>
      <w:r>
        <w:rPr>
          <w:rFonts w:ascii="Times New Roman" w:hAnsi="Times New Roman" w:cs="Times New Roman" w:hint="eastAsia"/>
          <w:color w:val="000000"/>
          <w:sz w:val="24"/>
        </w:rPr>
        <w:t xml:space="preserve">.S2b </w:t>
      </w:r>
      <w:r>
        <w:rPr>
          <w:rFonts w:ascii="Times New Roman" w:hAnsi="Times New Roman" w:cs="Times New Roman"/>
          <w:color w:val="000000"/>
          <w:sz w:val="24"/>
        </w:rPr>
        <w:t>shows that 1ml of anhydrous methanol is added at 1500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s. It can be found from the figure that the current density does not change after methanol is added. Therefore, it can be concluded that LCO-70% has excellent anti-methanol toxicity performance.</w:t>
      </w:r>
    </w:p>
    <w:p w14:paraId="3E873EB9" w14:textId="77777777" w:rsidR="009B1989" w:rsidRDefault="009B1989">
      <w:pPr>
        <w:rPr>
          <w:rFonts w:hint="eastAsia"/>
        </w:rPr>
      </w:pPr>
    </w:p>
    <w:p w14:paraId="657E23FC" w14:textId="77777777" w:rsidR="009B1989" w:rsidRDefault="009B1989">
      <w:pPr>
        <w:rPr>
          <w:rFonts w:hint="eastAsia"/>
        </w:rPr>
      </w:pPr>
    </w:p>
    <w:p w14:paraId="33376027" w14:textId="77777777" w:rsidR="009B1989" w:rsidRDefault="009B1989">
      <w:pPr>
        <w:rPr>
          <w:rFonts w:hint="eastAsia"/>
        </w:rPr>
      </w:pPr>
    </w:p>
    <w:p w14:paraId="6E707754" w14:textId="77777777" w:rsidR="009B1989" w:rsidRDefault="009B1989">
      <w:pPr>
        <w:rPr>
          <w:rFonts w:hint="eastAsia"/>
        </w:rPr>
      </w:pPr>
    </w:p>
    <w:p w14:paraId="6B9ED670" w14:textId="77777777" w:rsidR="009B1989" w:rsidRDefault="009B1989">
      <w:pPr>
        <w:rPr>
          <w:rFonts w:hint="eastAsia"/>
        </w:rPr>
      </w:pPr>
    </w:p>
    <w:p w14:paraId="47956985" w14:textId="77777777" w:rsidR="009B1989" w:rsidRDefault="009B1989">
      <w:pPr>
        <w:rPr>
          <w:rFonts w:hint="eastAsia"/>
        </w:rPr>
      </w:pPr>
    </w:p>
    <w:p w14:paraId="49FDDD45" w14:textId="77777777" w:rsidR="009B1989" w:rsidRDefault="009B1989">
      <w:pPr>
        <w:rPr>
          <w:rFonts w:hint="eastAsia"/>
        </w:rPr>
      </w:pPr>
    </w:p>
    <w:p w14:paraId="2B1E849F" w14:textId="77777777" w:rsidR="009B1989" w:rsidRDefault="00000000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89D8C6B" wp14:editId="2F20D2F1">
            <wp:extent cx="4584700" cy="3481705"/>
            <wp:effectExtent l="0" t="0" r="6350" b="4445"/>
            <wp:docPr id="17342053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0534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1" t="6640" r="9584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29876" w14:textId="77777777" w:rsidR="009B1989" w:rsidRDefault="00000000">
      <w:pPr>
        <w:spacing w:line="44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Fig</w:t>
      </w:r>
      <w:r>
        <w:rPr>
          <w:rFonts w:ascii="Times New Roman" w:hAnsi="Times New Roman" w:cs="Times New Roman" w:hint="eastAsia"/>
          <w:szCs w:val="21"/>
        </w:rPr>
        <w:t xml:space="preserve">. S3. </w:t>
      </w:r>
      <w:r>
        <w:rPr>
          <w:rFonts w:ascii="Times New Roman" w:hAnsi="Times New Roman" w:cs="Times New Roman"/>
          <w:szCs w:val="21"/>
        </w:rPr>
        <w:t>EIS curve of different samples</w:t>
      </w:r>
      <w:r>
        <w:rPr>
          <w:rFonts w:ascii="Times New Roman" w:hAnsi="Times New Roman" w:cs="Times New Roman" w:hint="eastAsia"/>
          <w:szCs w:val="21"/>
        </w:rPr>
        <w:t>:</w:t>
      </w:r>
      <w:r>
        <w:rPr>
          <w:rFonts w:ascii="Times New Roman" w:hAnsi="Times New Roman" w:cs="Times New Roman"/>
          <w:szCs w:val="21"/>
        </w:rPr>
        <w:t xml:space="preserve"> (a)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LCO-0%;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(b)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LCO-70%;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(c)g-C</w:t>
      </w:r>
      <w:r>
        <w:rPr>
          <w:rFonts w:ascii="Times New Roman" w:hAnsi="Times New Roman" w:cs="Times New Roman"/>
          <w:szCs w:val="21"/>
          <w:vertAlign w:val="subscript"/>
        </w:rPr>
        <w:t>3</w:t>
      </w:r>
      <w:r>
        <w:rPr>
          <w:rFonts w:ascii="Times New Roman" w:hAnsi="Times New Roman" w:cs="Times New Roman"/>
          <w:szCs w:val="21"/>
        </w:rPr>
        <w:t>N</w:t>
      </w:r>
      <w:r>
        <w:rPr>
          <w:rFonts w:ascii="Times New Roman" w:hAnsi="Times New Roman" w:cs="Times New Roman"/>
          <w:szCs w:val="21"/>
          <w:vertAlign w:val="subscript"/>
        </w:rPr>
        <w:t>4</w:t>
      </w:r>
    </w:p>
    <w:p w14:paraId="462FB265" w14:textId="77777777" w:rsidR="009B1989" w:rsidRDefault="00000000">
      <w:pPr>
        <w:spacing w:line="44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Electrochemical impedance spectroscopy (EIS) analysis of the Nyquist plots (Fig. S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>) reveals distinct interfacial charge transfer characteristics among the materials. The equivalent series resistance (</w:t>
      </w:r>
      <w:r>
        <w:rPr>
          <w:rFonts w:ascii="Times New Roman" w:hAnsi="Times New Roman" w:cs="Times New Roman" w:hint="eastAsia"/>
          <w:sz w:val="24"/>
        </w:rPr>
        <w:t>ESR)</w:t>
      </w:r>
      <w:r>
        <w:rPr>
          <w:rFonts w:ascii="Times New Roman" w:hAnsi="Times New Roman" w:cs="Times New Roman"/>
          <w:sz w:val="24"/>
        </w:rPr>
        <w:t xml:space="preserve"> follows the order: LCO-70% (68 Ω) &gt; g-C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(61 Ω) &gt; LCO (50 Ω), suggesting increased bulk resistivity in the hybrid system. Contrastingly, the charge transfer resistance (</w:t>
      </w:r>
      <w:proofErr w:type="spellStart"/>
      <w:r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 w:hint="eastAsia"/>
          <w:sz w:val="24"/>
          <w:vertAlign w:val="subscript"/>
        </w:rPr>
        <w:t>ct</w:t>
      </w:r>
      <w:proofErr w:type="spellEnd"/>
      <w:r>
        <w:rPr>
          <w:rFonts w:ascii="Times New Roman" w:hAnsi="Times New Roman" w:cs="Times New Roman" w:hint="eastAsia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demonstrates an optimized value of 44 Ω for LCO-70%, representing a 2.2% reduction compared to pristine LCO (45 Ω) despite its higher </w:t>
      </w:r>
      <w:r>
        <w:rPr>
          <w:rFonts w:ascii="Times New Roman" w:hAnsi="Times New Roman" w:cs="Times New Roman" w:hint="eastAsia"/>
          <w:sz w:val="24"/>
        </w:rPr>
        <w:t>ESR</w:t>
      </w:r>
      <w:r>
        <w:rPr>
          <w:rFonts w:ascii="Times New Roman" w:hAnsi="Times New Roman" w:cs="Times New Roman"/>
          <w:sz w:val="24"/>
        </w:rPr>
        <w:t>. This apparent contradiction resolves through the conductive bridging effect of g-C</w:t>
      </w:r>
      <w:r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, where its π-conjugated network facilitates interfacial electron tunneling between perovskite nanoparticles, thereby accelerating charge transfer kinetics while slightly compromising bulk conductivity.</w:t>
      </w:r>
    </w:p>
    <w:p w14:paraId="2EDBAA21" w14:textId="77777777" w:rsidR="009B1989" w:rsidRDefault="009B1989">
      <w:pPr>
        <w:rPr>
          <w:rFonts w:hint="eastAsia"/>
        </w:rPr>
      </w:pPr>
    </w:p>
    <w:sectPr w:rsidR="009B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2120" w14:textId="77777777" w:rsidR="00974788" w:rsidRDefault="00974788">
      <w:pPr>
        <w:rPr>
          <w:rFonts w:hint="eastAsia"/>
        </w:rPr>
      </w:pPr>
      <w:r>
        <w:separator/>
      </w:r>
    </w:p>
  </w:endnote>
  <w:endnote w:type="continuationSeparator" w:id="0">
    <w:p w14:paraId="559F99AD" w14:textId="77777777" w:rsidR="00974788" w:rsidRDefault="009747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OTce3d9a73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1E95" w14:textId="77777777" w:rsidR="00974788" w:rsidRDefault="00974788">
      <w:pPr>
        <w:rPr>
          <w:rFonts w:hint="eastAsia"/>
        </w:rPr>
      </w:pPr>
      <w:r>
        <w:separator/>
      </w:r>
    </w:p>
  </w:footnote>
  <w:footnote w:type="continuationSeparator" w:id="0">
    <w:p w14:paraId="13942315" w14:textId="77777777" w:rsidR="00974788" w:rsidRDefault="009747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674"/>
    <w:rsid w:val="001165F2"/>
    <w:rsid w:val="001310AF"/>
    <w:rsid w:val="00133FCB"/>
    <w:rsid w:val="0015465D"/>
    <w:rsid w:val="001810CD"/>
    <w:rsid w:val="00212401"/>
    <w:rsid w:val="00247003"/>
    <w:rsid w:val="00265A32"/>
    <w:rsid w:val="00317413"/>
    <w:rsid w:val="00333B4E"/>
    <w:rsid w:val="00384143"/>
    <w:rsid w:val="00491758"/>
    <w:rsid w:val="004A19AF"/>
    <w:rsid w:val="004D693E"/>
    <w:rsid w:val="004F03CC"/>
    <w:rsid w:val="00531BB6"/>
    <w:rsid w:val="00534F83"/>
    <w:rsid w:val="00552B51"/>
    <w:rsid w:val="00654AF2"/>
    <w:rsid w:val="00672BBC"/>
    <w:rsid w:val="00682B2D"/>
    <w:rsid w:val="00685694"/>
    <w:rsid w:val="006F0674"/>
    <w:rsid w:val="006F7B2D"/>
    <w:rsid w:val="0070369F"/>
    <w:rsid w:val="0070472F"/>
    <w:rsid w:val="00733F56"/>
    <w:rsid w:val="007457E0"/>
    <w:rsid w:val="00751C88"/>
    <w:rsid w:val="0077614F"/>
    <w:rsid w:val="00787017"/>
    <w:rsid w:val="007C28DD"/>
    <w:rsid w:val="0081584A"/>
    <w:rsid w:val="00844285"/>
    <w:rsid w:val="00872EAD"/>
    <w:rsid w:val="008D4536"/>
    <w:rsid w:val="009717F9"/>
    <w:rsid w:val="00974788"/>
    <w:rsid w:val="009B1989"/>
    <w:rsid w:val="009F0E6E"/>
    <w:rsid w:val="00A04E5B"/>
    <w:rsid w:val="00A45F85"/>
    <w:rsid w:val="00AA7424"/>
    <w:rsid w:val="00AF4E15"/>
    <w:rsid w:val="00B34641"/>
    <w:rsid w:val="00B352E3"/>
    <w:rsid w:val="00B55437"/>
    <w:rsid w:val="00BD75A2"/>
    <w:rsid w:val="00BF7C73"/>
    <w:rsid w:val="00C131B2"/>
    <w:rsid w:val="00CA1B50"/>
    <w:rsid w:val="00CA1BFC"/>
    <w:rsid w:val="00CD2A7F"/>
    <w:rsid w:val="00D002A1"/>
    <w:rsid w:val="00D418FA"/>
    <w:rsid w:val="00DE0CD8"/>
    <w:rsid w:val="00E03C7A"/>
    <w:rsid w:val="00E17EE6"/>
    <w:rsid w:val="00ED52CD"/>
    <w:rsid w:val="00EF20F0"/>
    <w:rsid w:val="00FF4205"/>
    <w:rsid w:val="06B84C89"/>
    <w:rsid w:val="07AA5C0E"/>
    <w:rsid w:val="083044D7"/>
    <w:rsid w:val="08BC0A60"/>
    <w:rsid w:val="09EF6C13"/>
    <w:rsid w:val="125A4E46"/>
    <w:rsid w:val="15E223B1"/>
    <w:rsid w:val="15F27A7F"/>
    <w:rsid w:val="160C28FB"/>
    <w:rsid w:val="168626AD"/>
    <w:rsid w:val="16D72F09"/>
    <w:rsid w:val="172D0D7B"/>
    <w:rsid w:val="1DEC54EC"/>
    <w:rsid w:val="1F3C1083"/>
    <w:rsid w:val="205E01F7"/>
    <w:rsid w:val="23BA1BE8"/>
    <w:rsid w:val="242B4894"/>
    <w:rsid w:val="24C0322E"/>
    <w:rsid w:val="29A50C45"/>
    <w:rsid w:val="2A3D0E7D"/>
    <w:rsid w:val="2B1240B8"/>
    <w:rsid w:val="2CF0667B"/>
    <w:rsid w:val="37215DAE"/>
    <w:rsid w:val="3A053765"/>
    <w:rsid w:val="3CB23DF9"/>
    <w:rsid w:val="44983428"/>
    <w:rsid w:val="45D3296A"/>
    <w:rsid w:val="4ECF3EEA"/>
    <w:rsid w:val="51F83758"/>
    <w:rsid w:val="526B217C"/>
    <w:rsid w:val="547F3CBD"/>
    <w:rsid w:val="55F85959"/>
    <w:rsid w:val="57831D16"/>
    <w:rsid w:val="5DE80B25"/>
    <w:rsid w:val="5E4A4140"/>
    <w:rsid w:val="62682234"/>
    <w:rsid w:val="63A31776"/>
    <w:rsid w:val="63E853DA"/>
    <w:rsid w:val="67386679"/>
    <w:rsid w:val="6751773B"/>
    <w:rsid w:val="6ACB7804"/>
    <w:rsid w:val="6B421874"/>
    <w:rsid w:val="71752DEB"/>
    <w:rsid w:val="725D3437"/>
    <w:rsid w:val="742C1313"/>
    <w:rsid w:val="7A6E211C"/>
    <w:rsid w:val="7AF26650"/>
    <w:rsid w:val="7BC45FDE"/>
    <w:rsid w:val="7EDB7BBE"/>
    <w:rsid w:val="7F64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AF029D"/>
  <w15:docId w15:val="{CB24B288-5547-4D1E-9621-EFAD5AD3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styleId="ab">
    <w:name w:val="footnote reference"/>
    <w:basedOn w:val="a0"/>
    <w:uiPriority w:val="99"/>
    <w:unhideWhenUsed/>
    <w:qFormat/>
    <w:rPr>
      <w:rFonts w:ascii="Times New Roman" w:hAnsi="Times New Roman" w:cs="Times New Roman"/>
      <w:sz w:val="24"/>
      <w:szCs w:val="24"/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a">
    <w:name w:val="脚注文本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AdvOTce3d9a73" w:eastAsia="AdvOTce3d9a73" w:hAnsi="AdvOTce3d9a73" w:cs="AdvOTce3d9a73"/>
      <w:color w:val="1055A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316</Words>
  <Characters>1906</Characters>
  <Application>Microsoft Office Word</Application>
  <DocSecurity>0</DocSecurity>
  <Lines>59</Lines>
  <Paragraphs>11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蕊 闫</dc:creator>
  <cp:lastModifiedBy>蕊 闫</cp:lastModifiedBy>
  <cp:revision>50</cp:revision>
  <dcterms:created xsi:type="dcterms:W3CDTF">2024-05-30T07:46:00Z</dcterms:created>
  <dcterms:modified xsi:type="dcterms:W3CDTF">2025-06-04T01:33:00Z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FEC5A6B0ACAB428CBDEE7A77352E88A4_12</vt:lpwstr>
  </property>
  <property fmtid="{D5CDD505-2E9C-101B-9397-08002B2CF9AE}" pid="4" name="KSOTemplateDocerSaveRecord">
    <vt:lpwstr>eyJoZGlkIjoiNDYxMGFmZGJjNjMxYjc5ZmI4ZjIyYjUxMjNmMDUyNDIifQ==</vt:lpwstr>
  </property>
</Properties>
</file>