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BF15F">
      <w:pPr>
        <w:pStyle w:val="2"/>
        <w:widowControl/>
        <w:spacing w:line="480" w:lineRule="auto"/>
        <w:rPr>
          <w:rStyle w:val="5"/>
          <w:rFonts w:ascii="Arial" w:hAnsi="Arial" w:cs="Arial"/>
        </w:rPr>
      </w:pPr>
      <w:r>
        <w:rPr>
          <w:rStyle w:val="5"/>
          <w:rFonts w:ascii="Arial" w:hAnsi="Arial" w:cs="Arial"/>
        </w:rPr>
        <w:t>Kv1.3 Regulates Macrophage Immune Function through PI3K/AKT Pathway to Alleviate Metabolic Dysfunction-Associated Steatohepatitis</w:t>
      </w:r>
    </w:p>
    <w:p w14:paraId="62F22FF3">
      <w:pPr>
        <w:spacing w:line="480" w:lineRule="auto"/>
        <w:rPr>
          <w:rFonts w:hint="eastAsia" w:ascii="Arial" w:hAnsi="Arial" w:cs="Arial"/>
          <w:sz w:val="24"/>
          <w:vertAlign w:val="superscript"/>
        </w:rPr>
      </w:pPr>
      <w:r>
        <w:rPr>
          <w:rFonts w:hint="eastAsia" w:ascii="Arial" w:hAnsi="Arial" w:cs="Arial"/>
          <w:sz w:val="24"/>
        </w:rPr>
        <w:t>Authors:</w:t>
      </w:r>
      <w:r>
        <w:rPr>
          <w:rFonts w:hint="eastAsia" w:ascii="Arial" w:hAnsi="Arial" w:cs="Arial"/>
          <w:b/>
          <w:bCs/>
          <w:sz w:val="24"/>
        </w:rPr>
        <w:t>Ting Ke</w:t>
      </w:r>
      <w:r>
        <w:rPr>
          <w:rFonts w:hint="eastAsia" w:ascii="Arial" w:hAnsi="Arial" w:cs="Arial"/>
          <w:b/>
          <w:bCs/>
          <w:sz w:val="24"/>
          <w:vertAlign w:val="superscript"/>
        </w:rPr>
        <w:t>1,2#</w:t>
      </w:r>
      <w:r>
        <w:rPr>
          <w:rFonts w:hint="eastAsia" w:ascii="Arial" w:hAnsi="Arial" w:cs="Arial"/>
          <w:b/>
          <w:bCs/>
          <w:sz w:val="24"/>
        </w:rPr>
        <w:t>, Wen-Jun Zhen</w:t>
      </w:r>
      <w:r>
        <w:rPr>
          <w:rFonts w:hint="eastAsia" w:ascii="Arial" w:hAnsi="Arial" w:cs="Arial"/>
          <w:b/>
          <w:bCs/>
          <w:sz w:val="24"/>
          <w:vertAlign w:val="superscript"/>
        </w:rPr>
        <w:t>1,2#</w:t>
      </w:r>
      <w:r>
        <w:rPr>
          <w:rFonts w:hint="eastAsia" w:ascii="Arial" w:hAnsi="Arial" w:cs="Arial"/>
          <w:b/>
          <w:bCs/>
          <w:sz w:val="24"/>
        </w:rPr>
        <w:t>, Xi-xi Chen</w:t>
      </w:r>
      <w:r>
        <w:rPr>
          <w:rFonts w:hint="eastAsia" w:ascii="Arial" w:hAnsi="Arial" w:cs="Arial"/>
          <w:b/>
          <w:bCs/>
          <w:sz w:val="24"/>
          <w:vertAlign w:val="superscript"/>
        </w:rPr>
        <w:t>1,2#</w:t>
      </w:r>
      <w:r>
        <w:rPr>
          <w:rFonts w:hint="eastAsia" w:ascii="Arial" w:hAnsi="Arial" w:cs="Arial"/>
          <w:sz w:val="24"/>
        </w:rPr>
        <w:t>, Hao Wang</w:t>
      </w:r>
      <w:r>
        <w:rPr>
          <w:rFonts w:hint="eastAsia" w:ascii="Arial" w:hAnsi="Arial" w:cs="Arial"/>
          <w:sz w:val="24"/>
          <w:vertAlign w:val="superscript"/>
        </w:rPr>
        <w:t>1,2</w:t>
      </w:r>
      <w:r>
        <w:rPr>
          <w:rFonts w:hint="eastAsia" w:ascii="Arial" w:hAnsi="Arial" w:cs="Arial"/>
          <w:sz w:val="24"/>
        </w:rPr>
        <w:t>, Shi Chen</w:t>
      </w:r>
      <w:r>
        <w:rPr>
          <w:rFonts w:hint="eastAsia" w:ascii="Arial" w:hAnsi="Arial" w:cs="Arial"/>
          <w:sz w:val="24"/>
          <w:vertAlign w:val="superscript"/>
        </w:rPr>
        <w:t>1,2</w:t>
      </w:r>
      <w:r>
        <w:rPr>
          <w:rFonts w:hint="eastAsia" w:ascii="Arial" w:hAnsi="Arial" w:cs="Arial"/>
          <w:sz w:val="24"/>
        </w:rPr>
        <w:t>, Yuan-yuan Tian</w:t>
      </w:r>
      <w:r>
        <w:rPr>
          <w:rFonts w:hint="eastAsia" w:ascii="Arial" w:hAnsi="Arial" w:cs="Arial"/>
          <w:sz w:val="24"/>
          <w:vertAlign w:val="superscript"/>
        </w:rPr>
        <w:t>1,2</w:t>
      </w:r>
      <w:r>
        <w:rPr>
          <w:rFonts w:hint="eastAsia" w:ascii="Arial" w:hAnsi="Arial" w:cs="Arial"/>
          <w:sz w:val="24"/>
        </w:rPr>
        <w:t>, Ye-tao Wang</w:t>
      </w:r>
      <w:r>
        <w:rPr>
          <w:rFonts w:hint="eastAsia" w:ascii="Arial" w:hAnsi="Arial" w:cs="Arial"/>
          <w:sz w:val="24"/>
          <w:vertAlign w:val="superscript"/>
        </w:rPr>
        <w:t>3*</w:t>
      </w:r>
      <w:r>
        <w:rPr>
          <w:rFonts w:hint="eastAsia" w:ascii="Arial" w:hAnsi="Arial" w:cs="Arial"/>
          <w:sz w:val="24"/>
        </w:rPr>
        <w:t>,Lei Zhang</w:t>
      </w:r>
      <w:r>
        <w:rPr>
          <w:rFonts w:hint="eastAsia" w:ascii="Arial" w:hAnsi="Arial" w:cs="Arial"/>
          <w:sz w:val="24"/>
          <w:vertAlign w:val="superscript"/>
        </w:rPr>
        <w:t>1,2,4*</w:t>
      </w:r>
      <w:r>
        <w:rPr>
          <w:rFonts w:hint="eastAsia" w:ascii="Arial" w:hAnsi="Arial" w:cs="Arial"/>
          <w:sz w:val="24"/>
        </w:rPr>
        <w:t xml:space="preserve"> and Bao-ming Wu</w:t>
      </w:r>
      <w:r>
        <w:rPr>
          <w:rFonts w:hint="eastAsia" w:ascii="Arial" w:hAnsi="Arial" w:cs="Arial"/>
          <w:sz w:val="24"/>
          <w:vertAlign w:val="superscript"/>
        </w:rPr>
        <w:t>1,2*</w:t>
      </w:r>
    </w:p>
    <w:p w14:paraId="1B6FEA20">
      <w:pPr>
        <w:spacing w:line="480" w:lineRule="auto"/>
        <w:rPr>
          <w:rFonts w:hint="eastAsia" w:ascii="Arial" w:hAnsi="Arial" w:cs="Arial"/>
          <w:sz w:val="24"/>
          <w:vertAlign w:val="superscript"/>
        </w:rPr>
      </w:pPr>
    </w:p>
    <w:p w14:paraId="29323EE7">
      <w:pPr>
        <w:spacing w:line="480" w:lineRule="auto"/>
        <w:rPr>
          <w:rFonts w:ascii="Arial" w:hAnsi="Arial" w:cs="Arial"/>
          <w:sz w:val="24"/>
        </w:rPr>
      </w:pPr>
      <w:r>
        <w:rPr>
          <w:rFonts w:hint="eastAsia" w:ascii="Arial" w:hAnsi="Arial" w:cs="Arial"/>
          <w:sz w:val="24"/>
        </w:rPr>
        <w:t xml:space="preserve">1 Inflammation and Immune Mediated Diseases Laboratory of Anhui Province, Anhui Medical University, Hefei 230032, China; </w:t>
      </w:r>
    </w:p>
    <w:p w14:paraId="07A3EF13">
      <w:pPr>
        <w:spacing w:line="480" w:lineRule="auto"/>
        <w:rPr>
          <w:rFonts w:ascii="Arial" w:hAnsi="Arial" w:cs="Arial"/>
          <w:sz w:val="24"/>
        </w:rPr>
      </w:pPr>
      <w:r>
        <w:rPr>
          <w:rFonts w:hint="eastAsia" w:ascii="Arial" w:hAnsi="Arial" w:cs="Arial"/>
          <w:sz w:val="24"/>
        </w:rPr>
        <w:t>2 School of Pharmacy, Anhui Medical University, Hefei 230032, China;</w:t>
      </w:r>
    </w:p>
    <w:p w14:paraId="3717667F">
      <w:pPr>
        <w:spacing w:line="480" w:lineRule="auto"/>
        <w:rPr>
          <w:rFonts w:ascii="Arial" w:hAnsi="Arial" w:cs="Arial"/>
          <w:sz w:val="24"/>
        </w:rPr>
      </w:pPr>
      <w:r>
        <w:rPr>
          <w:rFonts w:hint="eastAsia" w:ascii="Arial" w:hAnsi="Arial" w:cs="Arial"/>
          <w:sz w:val="24"/>
        </w:rPr>
        <w:t>3 Department of Gastroenterology, The First Affiliated Hospital of USTC, Hefei 230001, China</w:t>
      </w:r>
    </w:p>
    <w:p w14:paraId="17C3F1A0">
      <w:pPr>
        <w:spacing w:line="480" w:lineRule="auto"/>
        <w:rPr>
          <w:rFonts w:ascii="Arial" w:hAnsi="Arial" w:cs="Arial"/>
          <w:sz w:val="24"/>
        </w:rPr>
      </w:pPr>
      <w:r>
        <w:rPr>
          <w:rFonts w:hint="eastAsia" w:ascii="Arial" w:hAnsi="Arial" w:cs="Arial"/>
          <w:sz w:val="24"/>
        </w:rPr>
        <w:t xml:space="preserve">4 </w:t>
      </w:r>
      <w:r>
        <w:rPr>
          <w:rFonts w:ascii="Arial" w:hAnsi="Arial" w:cs="Arial"/>
          <w:sz w:val="24"/>
        </w:rPr>
        <w:t>The Key Laboratory of Anti-inflammatory and Immune Medicines, Ministry of Education, Anhui Medical University, Hefei 230032, China</w:t>
      </w:r>
    </w:p>
    <w:p w14:paraId="0E6AA3C3">
      <w:pPr>
        <w:pStyle w:val="2"/>
        <w:widowControl/>
        <w:spacing w:line="480" w:lineRule="auto"/>
        <w:rPr>
          <w:rFonts w:ascii="Arial" w:hAnsi="Arial" w:cs="Arial"/>
        </w:rPr>
      </w:pPr>
      <w:r>
        <w:rPr>
          <w:rFonts w:hint="eastAsia" w:ascii="Arial" w:hAnsi="Arial" w:cs="Arial"/>
        </w:rPr>
        <w:t xml:space="preserve">*Correspondence: Ye-tao Wang (wangyt96@163.com) or Lei Zhang  zhang(lei-1@ahmu.edu.cn) or Bao-ming Wu (wubaoming@ahmu.edu.cn) </w:t>
      </w:r>
    </w:p>
    <w:p w14:paraId="784C2E2E"/>
    <w:p w14:paraId="4BEEEE14">
      <w:pPr>
        <w:spacing w:line="480" w:lineRule="auto"/>
        <w:rPr>
          <w:rFonts w:ascii="Arial" w:hAnsi="Arial" w:cs="Arial"/>
          <w:b/>
          <w:bCs/>
          <w:sz w:val="24"/>
        </w:rPr>
      </w:pPr>
      <w:r>
        <w:rPr>
          <w:rFonts w:ascii="Arial" w:hAnsi="Arial" w:cs="Arial"/>
          <w:b/>
          <w:bCs/>
          <w:sz w:val="24"/>
        </w:rPr>
        <w:t>v. Declarations</w:t>
      </w:r>
    </w:p>
    <w:p w14:paraId="2094A6B9">
      <w:pPr>
        <w:spacing w:line="480" w:lineRule="auto"/>
        <w:rPr>
          <w:rFonts w:hint="eastAsia" w:ascii="Arial" w:hAnsi="Arial" w:cs="Arial"/>
          <w:sz w:val="24"/>
        </w:rPr>
      </w:pPr>
      <w:r>
        <w:rPr>
          <w:rFonts w:hint="eastAsia" w:ascii="Arial" w:hAnsi="Arial" w:cs="Arial"/>
          <w:b/>
          <w:bCs/>
          <w:sz w:val="24"/>
        </w:rPr>
        <w:t>Funding</w:t>
      </w:r>
      <w:r>
        <w:rPr>
          <w:rFonts w:hint="eastAsia" w:ascii="Arial" w:hAnsi="Arial" w:cs="Arial"/>
          <w:sz w:val="24"/>
        </w:rPr>
        <w:t xml:space="preserve"> </w:t>
      </w:r>
    </w:p>
    <w:p w14:paraId="125EA9B6">
      <w:pPr>
        <w:spacing w:line="480" w:lineRule="auto"/>
        <w:rPr>
          <w:rFonts w:hint="eastAsia" w:ascii="Arial" w:hAnsi="Arial" w:cs="Arial"/>
          <w:sz w:val="24"/>
        </w:rPr>
      </w:pPr>
      <w:r>
        <w:rPr>
          <w:rFonts w:hint="eastAsia" w:ascii="Arial" w:hAnsi="Arial" w:cs="Arial"/>
          <w:sz w:val="24"/>
        </w:rPr>
        <w:t xml:space="preserve">This study was supported by a grant from the Natural Science Foundation of Anhui Province (grant no. 2108085MH257), Anhui Medical University (Scientific Research Platform Improvement Project of Anhui Medical University (2023xkjT061)), and Research Fund of Anhui Institute of translational medicine (grant no. 2023zhyx-B11). The authors thank BGI Tech Solutions Co., Ltd. and LC-BioTechnology Co., Ltd. (Hangzhou, China) for technical support. The authors also thank LetPub for linguistic assistance during the preparation of this manuscript. </w:t>
      </w:r>
    </w:p>
    <w:p w14:paraId="6D34A3B1">
      <w:pPr>
        <w:spacing w:line="480" w:lineRule="auto"/>
        <w:rPr>
          <w:rFonts w:hint="eastAsia" w:ascii="Arial" w:hAnsi="Arial" w:cs="Arial"/>
          <w:sz w:val="24"/>
        </w:rPr>
      </w:pPr>
    </w:p>
    <w:p w14:paraId="3F0C6661">
      <w:pPr>
        <w:spacing w:line="480" w:lineRule="auto"/>
        <w:rPr>
          <w:rFonts w:hint="eastAsia" w:ascii="Arial" w:hAnsi="Arial" w:cs="Arial"/>
          <w:b/>
          <w:bCs/>
          <w:sz w:val="24"/>
        </w:rPr>
      </w:pPr>
      <w:r>
        <w:rPr>
          <w:rFonts w:hint="eastAsia" w:ascii="Arial" w:hAnsi="Arial" w:cs="Arial"/>
          <w:b/>
          <w:bCs/>
          <w:sz w:val="24"/>
        </w:rPr>
        <w:t>Conflict of interest</w:t>
      </w:r>
    </w:p>
    <w:p w14:paraId="49860ECE">
      <w:pPr>
        <w:spacing w:line="480" w:lineRule="auto"/>
        <w:rPr>
          <w:rFonts w:hint="eastAsia" w:ascii="Arial" w:hAnsi="Arial" w:cs="Arial"/>
          <w:sz w:val="24"/>
        </w:rPr>
      </w:pPr>
      <w:r>
        <w:rPr>
          <w:rFonts w:hint="eastAsia" w:ascii="Arial" w:hAnsi="Arial" w:cs="Arial"/>
          <w:sz w:val="24"/>
        </w:rPr>
        <w:t xml:space="preserve">The authors have no conflict of interests related to this publication. </w:t>
      </w:r>
    </w:p>
    <w:p w14:paraId="78CCE8AA">
      <w:pPr>
        <w:spacing w:line="480" w:lineRule="auto"/>
        <w:rPr>
          <w:rFonts w:hint="eastAsia" w:ascii="Arial" w:hAnsi="Arial" w:cs="Arial"/>
          <w:sz w:val="24"/>
        </w:rPr>
      </w:pPr>
    </w:p>
    <w:p w14:paraId="6F62355A">
      <w:pPr>
        <w:spacing w:line="480" w:lineRule="auto"/>
        <w:rPr>
          <w:rFonts w:hint="eastAsia" w:ascii="Arial" w:hAnsi="Arial" w:cs="Arial"/>
          <w:b/>
          <w:bCs/>
          <w:sz w:val="24"/>
        </w:rPr>
      </w:pPr>
      <w:r>
        <w:rPr>
          <w:rFonts w:hint="eastAsia" w:ascii="Arial" w:hAnsi="Arial" w:cs="Arial"/>
          <w:b/>
          <w:bCs/>
          <w:sz w:val="24"/>
        </w:rPr>
        <w:t>Author contributions</w:t>
      </w:r>
    </w:p>
    <w:p w14:paraId="22357489">
      <w:pPr>
        <w:spacing w:line="480" w:lineRule="auto"/>
        <w:rPr>
          <w:rFonts w:ascii="Arial" w:hAnsi="Arial" w:cs="Arial"/>
          <w:sz w:val="24"/>
        </w:rPr>
      </w:pPr>
      <w:r>
        <w:rPr>
          <w:rFonts w:hint="eastAsia" w:ascii="Arial" w:hAnsi="Arial" w:cs="Arial"/>
          <w:sz w:val="24"/>
        </w:rPr>
        <w:t>Conceived and designed the study (</w:t>
      </w:r>
      <w:r>
        <w:rPr>
          <w:rFonts w:hint="eastAsia" w:ascii="Arial" w:hAnsi="Arial" w:cs="Arial"/>
          <w:sz w:val="24"/>
          <w:lang w:val="en-US" w:eastAsia="zh-CN"/>
        </w:rPr>
        <w:t>BMW,TYW,LZ</w:t>
      </w:r>
      <w:r>
        <w:rPr>
          <w:rFonts w:hint="eastAsia" w:ascii="Arial" w:hAnsi="Arial" w:cs="Arial"/>
          <w:sz w:val="24"/>
        </w:rPr>
        <w:t>), collected and assembled the data (</w:t>
      </w:r>
      <w:r>
        <w:rPr>
          <w:rFonts w:hint="eastAsia" w:ascii="Arial" w:hAnsi="Arial" w:cs="Arial"/>
          <w:sz w:val="24"/>
          <w:lang w:val="en-US" w:eastAsia="zh-CN"/>
        </w:rPr>
        <w:t>TK,WJZ.XXC</w:t>
      </w:r>
      <w:r>
        <w:rPr>
          <w:rFonts w:hint="eastAsia" w:ascii="Arial" w:hAnsi="Arial" w:cs="Arial"/>
          <w:sz w:val="24"/>
        </w:rPr>
        <w:t>), performed the data analysis and interpretation (</w:t>
      </w:r>
      <w:r>
        <w:rPr>
          <w:rFonts w:hint="eastAsia" w:ascii="Arial" w:hAnsi="Arial" w:cs="Arial"/>
          <w:sz w:val="24"/>
          <w:lang w:val="en-US" w:eastAsia="zh-CN"/>
        </w:rPr>
        <w:t>TK,HW,SC,YYT</w:t>
      </w:r>
      <w:r>
        <w:rPr>
          <w:rFonts w:hint="eastAsia" w:ascii="Arial" w:hAnsi="Arial" w:cs="Arial"/>
          <w:sz w:val="24"/>
        </w:rPr>
        <w:t>), wrote the manuscript (</w:t>
      </w:r>
      <w:r>
        <w:rPr>
          <w:rFonts w:hint="eastAsia" w:ascii="Arial" w:hAnsi="Arial" w:cs="Arial"/>
          <w:sz w:val="24"/>
          <w:lang w:val="en-US" w:eastAsia="zh-CN"/>
        </w:rPr>
        <w:t>TK,WJZ.XXC</w:t>
      </w:r>
      <w:r>
        <w:rPr>
          <w:rFonts w:hint="eastAsia" w:ascii="Arial" w:hAnsi="Arial" w:cs="Arial"/>
          <w:sz w:val="24"/>
        </w:rPr>
        <w:t>). All authors read and approved the manuscript.</w:t>
      </w:r>
    </w:p>
    <w:p w14:paraId="7A4FE07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FA6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2025-07-30T09:04:58Z</dcterms:created>
  <dc:creator>慕木</dc:creator>
  <cp:lastModifiedBy>summer</cp:lastModifiedBy>
  <dcterms:modified xsi:type="dcterms:W3CDTF">2025-07-30T09:05:35Z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eyJoZGlkIjoiZDRkMjQ1MGFkZTgyOGQyNjU4MjIyZDFkYjZkZjRjMTYiLCJ1c2VySWQiOiIxNDI2ODEzMjc3In0=</vt:lpwstr>
  </property>
  <property fmtid="{D5CDD505-2E9C-101B-9397-08002B2CF9AE}" pid="4" name="ICV">
    <vt:lpwstr>6ED7BC1FB1C545FFA82F018E7BBE3FD5_12</vt:lpwstr>
  </property>
</Properties>
</file>