
<file path=[Content_Types].xml><?xml version="1.0" encoding="utf-8"?>
<Types xmlns="http://schemas.openxmlformats.org/package/2006/content-types">
  <Default Extension="tiff" ContentType="image/tif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01DC8">
      <w:pPr>
        <w:autoSpaceDE w:val="0"/>
        <w:autoSpaceDN w:val="0"/>
        <w:spacing w:line="360" w:lineRule="auto"/>
        <w:jc w:val="center"/>
        <w:rPr>
          <w:rFonts w:hint="eastAsia" w:ascii="Times New Roman" w:hAnsi="Times New Roman" w:eastAsia="宋体" w:cs="Times New Roman"/>
          <w:sz w:val="24"/>
          <w:lang w:eastAsia="zh-CN"/>
        </w:rPr>
      </w:pPr>
    </w:p>
    <w:p w14:paraId="40941B01">
      <w:pPr>
        <w:autoSpaceDE w:val="0"/>
        <w:autoSpaceDN w:val="0"/>
        <w:spacing w:line="480" w:lineRule="auto"/>
        <w:ind w:left="0" w:leftChars="0" w:firstLine="0" w:firstLineChars="0"/>
        <w:rPr>
          <w:rFonts w:ascii="Times New Roman" w:hAnsi="Times New Roman" w:eastAsia="宋体" w:cs="Times New Roman"/>
          <w:sz w:val="24"/>
        </w:rPr>
      </w:pPr>
      <w:bookmarkStart w:id="0" w:name="_Hlk145421981"/>
      <w:bookmarkStart w:id="1" w:name="OLE_LINK7"/>
      <w:bookmarkStart w:id="2" w:name="OLE_LINK6"/>
      <w:bookmarkStart w:id="3" w:name="_Hlk193461544"/>
      <w:bookmarkStart w:id="4" w:name="OLE_LINK5"/>
      <w:r>
        <w:rPr>
          <w:rFonts w:ascii="Times New Roman" w:hAnsi="Times New Roman" w:eastAsia="宋体" w:cs="Times New Roman"/>
          <w:b/>
          <w:bCs/>
          <w:sz w:val="32"/>
          <w:szCs w:val="32"/>
        </w:rPr>
        <w:t>S</w:t>
      </w:r>
      <w:bookmarkStart w:id="5" w:name="OLE_LINK4"/>
      <w:r>
        <w:rPr>
          <w:rFonts w:ascii="Times New Roman" w:hAnsi="Times New Roman" w:eastAsia="宋体" w:cs="Times New Roman"/>
          <w:b/>
          <w:bCs/>
          <w:sz w:val="32"/>
          <w:szCs w:val="32"/>
        </w:rPr>
        <w:t>ynergistic antimicrobial eff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ect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 xml:space="preserve"> of combined sterilization strategies against </w:t>
      </w:r>
      <w:r>
        <w:rPr>
          <w:rFonts w:ascii="Times New Roman" w:hAnsi="Times New Roman" w:eastAsia="宋体" w:cs="Times New Roman"/>
          <w:b/>
          <w:bCs/>
          <w:i/>
          <w:iCs/>
          <w:sz w:val="32"/>
          <w:szCs w:val="32"/>
        </w:rPr>
        <w:t>Listeria monocytogenes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 xml:space="preserve">: Mechanistic insights and practical validation in </w:t>
      </w:r>
      <w:bookmarkStart w:id="6" w:name="_Hlk193461675"/>
      <w:r>
        <w:rPr>
          <w:rFonts w:ascii="Times New Roman" w:hAnsi="Times New Roman" w:eastAsia="宋体" w:cs="Times New Roman"/>
          <w:b/>
          <w:bCs/>
          <w:sz w:val="32"/>
          <w:szCs w:val="32"/>
        </w:rPr>
        <w:t xml:space="preserve">prepared </w:t>
      </w:r>
      <w:bookmarkEnd w:id="6"/>
      <w:r>
        <w:rPr>
          <w:rFonts w:ascii="Times New Roman" w:hAnsi="Times New Roman" w:eastAsia="宋体" w:cs="Times New Roman"/>
          <w:b/>
          <w:bCs/>
          <w:sz w:val="32"/>
          <w:szCs w:val="32"/>
        </w:rPr>
        <w:t>salad</w:t>
      </w:r>
      <w:bookmarkEnd w:id="0"/>
      <w:bookmarkEnd w:id="1"/>
      <w:bookmarkEnd w:id="2"/>
      <w:bookmarkEnd w:id="3"/>
    </w:p>
    <w:bookmarkEnd w:id="4"/>
    <w:bookmarkEnd w:id="5"/>
    <w:p w14:paraId="0CDCC53E">
      <w:pPr>
        <w:autoSpaceDE w:val="0"/>
        <w:autoSpaceDN w:val="0"/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0C8780C4">
      <w:pPr>
        <w:autoSpaceDE w:val="0"/>
        <w:autoSpaceDN w:val="0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Jinyuan Wei</w:t>
      </w:r>
      <w:r>
        <w:rPr>
          <w:rFonts w:ascii="Times New Roman" w:hAnsi="Times New Roman" w:eastAsia="宋体" w:cs="Times New Roman"/>
          <w:kern w:val="0"/>
          <w:sz w:val="24"/>
          <w:vertAlign w:val="superscript"/>
          <w:lang w:bidi="ar"/>
        </w:rPr>
        <w:t>1</w:t>
      </w:r>
      <w:r>
        <w:rPr>
          <w:rFonts w:hint="eastAsia" w:ascii="Times New Roman" w:hAnsi="Times New Roman" w:eastAsia="宋体" w:cs="Times New Roman"/>
          <w:kern w:val="0"/>
          <w:sz w:val="24"/>
          <w:vertAlign w:val="superscript"/>
          <w:lang w:val="en-US" w:eastAsia="zh-CN" w:bidi="ar"/>
        </w:rPr>
        <w:t>,2,</w:t>
      </w:r>
      <w:r>
        <w:rPr>
          <w:rFonts w:hint="default" w:ascii="Times New Roman" w:hAnsi="Times New Roman" w:eastAsia="宋体" w:cs="Times New Roman"/>
          <w:kern w:val="0"/>
          <w:sz w:val="24"/>
          <w:vertAlign w:val="superscript"/>
          <w:lang w:val="en-US" w:eastAsia="zh-CN" w:bidi="ar"/>
        </w:rPr>
        <w:t>§</w:t>
      </w:r>
      <w:r>
        <w:rPr>
          <w:rFonts w:ascii="Times New Roman" w:hAnsi="Times New Roman" w:eastAsia="宋体" w:cs="Times New Roman"/>
          <w:sz w:val="24"/>
        </w:rPr>
        <w:t xml:space="preserve">, </w:t>
      </w:r>
      <w:bookmarkStart w:id="7" w:name="OLE_LINK11"/>
      <w:r>
        <w:rPr>
          <w:rFonts w:ascii="Times New Roman" w:hAnsi="Times New Roman" w:eastAsia="宋体" w:cs="Times New Roman"/>
          <w:sz w:val="24"/>
        </w:rPr>
        <w:t>Mohamedelfatieh</w:t>
      </w:r>
      <w:bookmarkEnd w:id="7"/>
      <w:r>
        <w:rPr>
          <w:rFonts w:ascii="Times New Roman" w:hAnsi="Times New Roman" w:eastAsia="宋体" w:cs="Times New Roman"/>
          <w:sz w:val="24"/>
        </w:rPr>
        <w:t xml:space="preserve"> </w:t>
      </w:r>
      <w:bookmarkStart w:id="8" w:name="OLE_LINK12"/>
      <w:r>
        <w:rPr>
          <w:rFonts w:ascii="Times New Roman" w:hAnsi="Times New Roman" w:eastAsia="宋体" w:cs="Times New Roman"/>
          <w:sz w:val="24"/>
        </w:rPr>
        <w:t>Ismael</w:t>
      </w:r>
      <w:bookmarkEnd w:id="8"/>
      <w:r>
        <w:rPr>
          <w:rFonts w:ascii="Times New Roman" w:hAnsi="Times New Roman" w:eastAsia="宋体" w:cs="Times New Roman"/>
          <w:kern w:val="0"/>
          <w:sz w:val="24"/>
          <w:vertAlign w:val="superscript"/>
          <w:lang w:bidi="ar"/>
        </w:rPr>
        <w:t>1</w:t>
      </w:r>
      <w:r>
        <w:rPr>
          <w:rFonts w:hint="eastAsia" w:ascii="Times New Roman" w:hAnsi="Times New Roman" w:eastAsia="宋体" w:cs="Times New Roman"/>
          <w:kern w:val="0"/>
          <w:sz w:val="24"/>
          <w:vertAlign w:val="superscript"/>
          <w:lang w:val="en-US" w:eastAsia="zh-CN" w:bidi="ar"/>
        </w:rPr>
        <w:t>,</w:t>
      </w:r>
      <w:r>
        <w:rPr>
          <w:rFonts w:hint="default" w:ascii="Times New Roman" w:hAnsi="Times New Roman" w:eastAsia="宋体" w:cs="Times New Roman"/>
          <w:kern w:val="0"/>
          <w:sz w:val="24"/>
          <w:vertAlign w:val="superscript"/>
          <w:lang w:val="en-US" w:eastAsia="zh-CN" w:bidi="ar"/>
        </w:rPr>
        <w:t>§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bookmarkStart w:id="9" w:name="_Hlk174980849"/>
      <w:r>
        <w:rPr>
          <w:rFonts w:hint="eastAsia" w:ascii="Times New Roman" w:hAnsi="Times New Roman" w:eastAsia="宋体" w:cs="Times New Roman"/>
          <w:sz w:val="24"/>
        </w:rPr>
        <w:t>Mingxin Huang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</w:rPr>
        <w:t>, Tian Han</w:t>
      </w:r>
      <w:bookmarkEnd w:id="9"/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</w:rPr>
        <w:t xml:space="preserve">, </w:t>
      </w:r>
      <w:r>
        <w:rPr>
          <w:rFonts w:ascii="Times New Roman" w:hAnsi="Times New Roman" w:eastAsia="宋体" w:cs="Times New Roman"/>
          <w:sz w:val="24"/>
        </w:rPr>
        <w:t>Qingping Zhong</w:t>
      </w: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1,</w:t>
      </w:r>
      <w:r>
        <w:rPr>
          <w:rFonts w:ascii="Times New Roman" w:hAnsi="Times New Roman" w:eastAsia="宋体" w:cs="Times New Roman"/>
          <w:sz w:val="24"/>
        </w:rPr>
        <w:t xml:space="preserve">* </w:t>
      </w:r>
    </w:p>
    <w:p w14:paraId="45639D3E">
      <w:pPr>
        <w:autoSpaceDE w:val="0"/>
        <w:autoSpaceDN w:val="0"/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</w:t>
      </w:r>
    </w:p>
    <w:p w14:paraId="19943CA7">
      <w:pPr>
        <w:autoSpaceDE w:val="0"/>
        <w:autoSpaceDN w:val="0"/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 </w:t>
      </w:r>
    </w:p>
    <w:p w14:paraId="66E78013">
      <w:pPr>
        <w:autoSpaceDE w:val="0"/>
        <w:autoSpaceDN w:val="0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</w:rPr>
      </w:pP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sz w:val="24"/>
        </w:rPr>
        <w:t>Guangdong Provincial Key Laboratory of Food Quality and Safety, College of Food Science, South China Agricultural University, Guangzhou 510642, China</w:t>
      </w:r>
    </w:p>
    <w:p w14:paraId="5A293596">
      <w:pPr>
        <w:autoSpaceDE w:val="0"/>
        <w:autoSpaceDN w:val="0"/>
        <w:spacing w:line="480" w:lineRule="auto"/>
        <w:ind w:left="0" w:leftChars="0" w:firstLine="0" w:firstLineChars="0"/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Guangdong Province Key Laboratory of Microbial Signals and Disease Control, College of Plant Protection, South China Agricultural University, Guangzhou 510642, China</w:t>
      </w:r>
    </w:p>
    <w:p w14:paraId="79F9AFC7">
      <w:pPr>
        <w:autoSpaceDE w:val="0"/>
        <w:autoSpaceDN w:val="0"/>
        <w:spacing w:line="480" w:lineRule="auto"/>
        <w:ind w:firstLine="480" w:firstLineChars="200"/>
        <w:rPr>
          <w:rFonts w:ascii="Times New Roman" w:hAnsi="Times New Roman" w:eastAsia="宋体" w:cs="Times New Roman"/>
          <w:sz w:val="24"/>
        </w:rPr>
      </w:pPr>
    </w:p>
    <w:p w14:paraId="7AD961E5">
      <w:pPr>
        <w:autoSpaceDE w:val="0"/>
        <w:autoSpaceDN w:val="0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*Corresponding author: Qingping Zhong</w:t>
      </w:r>
    </w:p>
    <w:p w14:paraId="008D9118">
      <w:pPr>
        <w:autoSpaceDE w:val="0"/>
        <w:autoSpaceDN w:val="0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Mailing address: College of Food Science, South China Agricultural University, 510642, Guangzhou, China</w:t>
      </w:r>
    </w:p>
    <w:p w14:paraId="520405C8">
      <w:pPr>
        <w:autoSpaceDE w:val="0"/>
        <w:autoSpaceDN w:val="0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Tel: +86-13535121218, +86-20-85288292</w:t>
      </w:r>
    </w:p>
    <w:p w14:paraId="7F5EAF1B">
      <w:pPr>
        <w:autoSpaceDE w:val="0"/>
        <w:autoSpaceDN w:val="0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E-mail: </w:t>
      </w:r>
      <w:r>
        <w:rPr>
          <w:rFonts w:ascii="Times New Roman" w:hAnsi="Times New Roman" w:eastAsia="宋体" w:cs="Times New Roman"/>
          <w:sz w:val="24"/>
        </w:rPr>
        <w:fldChar w:fldCharType="begin"/>
      </w:r>
      <w:r>
        <w:rPr>
          <w:rFonts w:ascii="Times New Roman" w:hAnsi="Times New Roman" w:eastAsia="宋体" w:cs="Times New Roman"/>
          <w:sz w:val="24"/>
        </w:rPr>
        <w:instrText xml:space="preserve"> HYPERLINK "mailto:zhongqp@scau.edu.cn" </w:instrText>
      </w:r>
      <w:r>
        <w:rPr>
          <w:rFonts w:ascii="Times New Roman" w:hAnsi="Times New Roman" w:eastAsia="宋体" w:cs="Times New Roman"/>
          <w:sz w:val="24"/>
        </w:rPr>
        <w:fldChar w:fldCharType="separate"/>
      </w:r>
      <w:r>
        <w:rPr>
          <w:rFonts w:ascii="Times New Roman" w:hAnsi="Times New Roman" w:eastAsia="宋体" w:cs="Times New Roman"/>
          <w:color w:val="0000FF"/>
          <w:sz w:val="24"/>
          <w:u w:val="single"/>
        </w:rPr>
        <w:t>zhongqp@scau.edu.cn</w:t>
      </w:r>
      <w:r>
        <w:rPr>
          <w:rFonts w:ascii="Times New Roman" w:hAnsi="Times New Roman" w:eastAsia="宋体" w:cs="Times New Roman"/>
          <w:color w:val="0000FF"/>
          <w:sz w:val="24"/>
          <w:u w:val="single"/>
        </w:rPr>
        <w:fldChar w:fldCharType="end"/>
      </w:r>
    </w:p>
    <w:p w14:paraId="6E70A839">
      <w:pPr>
        <w:autoSpaceDE w:val="0"/>
        <w:autoSpaceDN w:val="0"/>
        <w:spacing w:line="480" w:lineRule="auto"/>
        <w:ind w:firstLine="0" w:firstLineChars="0"/>
        <w:rPr>
          <w:rFonts w:ascii="Times New Roman" w:hAnsi="Times New Roman" w:eastAsia="宋体" w:cs="Times New Roman"/>
          <w:sz w:val="24"/>
        </w:rPr>
      </w:pPr>
      <w:r>
        <w:rPr>
          <w:rFonts w:hint="default" w:ascii="Times New Roman" w:hAnsi="Times New Roman" w:eastAsia="宋体" w:cs="Times New Roman"/>
          <w:sz w:val="24"/>
          <w:vertAlign w:val="superscript"/>
          <w:lang w:val="en-US" w:eastAsia="zh-CN"/>
        </w:rPr>
        <w:t>§</w:t>
      </w:r>
      <w:r>
        <w:rPr>
          <w:rFonts w:ascii="Times New Roman" w:hAnsi="Times New Roman" w:eastAsia="宋体" w:cs="Times New Roman"/>
          <w:sz w:val="24"/>
        </w:rPr>
        <w:t>These authors have contributed equally to this work.</w:t>
      </w:r>
    </w:p>
    <w:p w14:paraId="58BE11A6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kern w:val="44"/>
          <w:sz w:val="24"/>
        </w:rPr>
      </w:pPr>
    </w:p>
    <w:p w14:paraId="6AFEC51C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kern w:val="44"/>
          <w:sz w:val="24"/>
        </w:rPr>
      </w:pPr>
    </w:p>
    <w:p w14:paraId="68467577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kern w:val="44"/>
          <w:sz w:val="24"/>
        </w:rPr>
      </w:pPr>
      <w:r>
        <w:rPr>
          <w:rFonts w:ascii="TimesNewRomanPS" w:hAnsi="TimesNewRomanPS" w:cs="宋体"/>
          <w:b/>
          <w:bCs/>
          <w:kern w:val="0"/>
          <w:sz w:val="24"/>
          <w:szCs w:val="24"/>
        </w:rPr>
        <w:t>Contents</w:t>
      </w:r>
    </w:p>
    <w:p w14:paraId="5A2743BC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kern w:val="44"/>
          <w:sz w:val="24"/>
        </w:rPr>
      </w:pPr>
    </w:p>
    <w:p w14:paraId="2AB23FAB">
      <w:pPr>
        <w:autoSpaceDE w:val="0"/>
        <w:autoSpaceDN w:val="0"/>
        <w:spacing w:line="360" w:lineRule="auto"/>
        <w:rPr>
          <w:rFonts w:hint="eastAsia" w:ascii="Times New Roman" w:hAnsi="Times New Roman" w:eastAsia="宋体" w:cs="Times New Roman"/>
          <w:b/>
          <w:kern w:val="44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kern w:val="44"/>
          <w:sz w:val="24"/>
        </w:rPr>
        <w:t>Figure</w:t>
      </w:r>
      <w:r>
        <w:rPr>
          <w:rFonts w:ascii="Times New Roman" w:hAnsi="Times New Roman" w:eastAsia="宋体" w:cs="Times New Roman"/>
          <w:b/>
          <w:kern w:val="44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44"/>
          <w:sz w:val="24"/>
          <w:lang w:val="en-US" w:eastAsia="zh-CN"/>
        </w:rPr>
        <w:t xml:space="preserve">S1-S3, Table S1 and S2: </w:t>
      </w:r>
    </w:p>
    <w:p w14:paraId="0540905C">
      <w:pPr>
        <w:autoSpaceDE w:val="0"/>
        <w:autoSpaceDN w:val="0"/>
        <w:spacing w:line="360" w:lineRule="auto"/>
        <w:rPr>
          <w:rFonts w:hint="eastAsia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  <w:t>Interpretation of PMA-qPCR method development</w:t>
      </w:r>
    </w:p>
    <w:p w14:paraId="633235C7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4D730CBF">
      <w:pPr>
        <w:autoSpaceDE w:val="0"/>
        <w:autoSpaceDN w:val="0"/>
        <w:spacing w:line="360" w:lineRule="auto"/>
        <w:rPr>
          <w:rFonts w:hint="eastAsia" w:ascii="Times New Roman" w:hAnsi="Times New Roman" w:eastAsia="宋体" w:cs="Times New Roman"/>
          <w:b/>
          <w:kern w:val="44"/>
          <w:sz w:val="24"/>
          <w:lang w:val="en-US" w:eastAsia="zh-CN"/>
        </w:rPr>
      </w:pPr>
      <w:bookmarkStart w:id="11" w:name="_GoBack"/>
      <w:bookmarkEnd w:id="11"/>
      <w:r>
        <w:rPr>
          <w:rFonts w:hint="eastAsia" w:ascii="Times New Roman" w:hAnsi="Times New Roman" w:eastAsia="宋体" w:cs="Times New Roman"/>
          <w:b/>
          <w:kern w:val="44"/>
          <w:sz w:val="24"/>
        </w:rPr>
        <w:t>Figure</w:t>
      </w:r>
      <w:r>
        <w:rPr>
          <w:rFonts w:hint="eastAsia" w:ascii="Times New Roman" w:hAnsi="Times New Roman" w:eastAsia="宋体" w:cs="Times New Roman"/>
          <w:b/>
          <w:kern w:val="44"/>
          <w:sz w:val="24"/>
          <w:lang w:val="en-US" w:eastAsia="zh-CN"/>
        </w:rPr>
        <w:t xml:space="preserve"> S4-5: </w:t>
      </w:r>
    </w:p>
    <w:p w14:paraId="4EBE50A2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  <w:t>Supplementary data related to electronic nose experiments</w:t>
      </w:r>
    </w:p>
    <w:p w14:paraId="7DB58864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5B0A50AB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3CE59B29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002FDCF8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64F3422B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65CA2E31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3BC5B4E8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7407592D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2FEC1565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6ECFF945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3B57FC9B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1F2CBB71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139D0C8E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671E8FEA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599667FB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1F44CEF0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6F243CB6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3324BB80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629CFDBD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2A53B9EA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5A4609FF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7FB212B7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28FBC1AC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5D3F8E82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b w:val="0"/>
          <w:bCs/>
          <w:kern w:val="44"/>
          <w:sz w:val="24"/>
          <w:lang w:val="en-US" w:eastAsia="zh-CN"/>
        </w:rPr>
      </w:pPr>
    </w:p>
    <w:p w14:paraId="30CE0C7A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kern w:val="44"/>
          <w:sz w:val="24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drawing>
          <wp:inline distT="0" distB="0" distL="114300" distR="114300">
            <wp:extent cx="5271770" cy="1951990"/>
            <wp:effectExtent l="0" t="0" r="1270" b="139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D8D86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b/>
          <w:kern w:val="44"/>
          <w:sz w:val="24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kern w:val="44"/>
          <w:sz w:val="24"/>
        </w:rPr>
        <w:t>Figure</w:t>
      </w:r>
      <w:r>
        <w:rPr>
          <w:rFonts w:ascii="Times New Roman" w:hAnsi="Times New Roman" w:eastAsia="宋体" w:cs="Times New Roman"/>
          <w:b/>
          <w:kern w:val="44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44"/>
          <w:sz w:val="24"/>
          <w:lang w:val="en-US" w:eastAsia="zh-CN"/>
        </w:rPr>
        <w:t>1.</w:t>
      </w:r>
      <w:r>
        <w:rPr>
          <w:rFonts w:ascii="Times New Roman" w:hAnsi="Times New Roman" w:eastAsia="宋体" w:cs="Times New Roman"/>
          <w:sz w:val="24"/>
        </w:rPr>
        <w:t xml:space="preserve"> Specificity of the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</w:rPr>
        <w:t>hlyA</w:t>
      </w:r>
      <w:r>
        <w:rPr>
          <w:rFonts w:hint="eastAsia" w:ascii="Times New Roman" w:hAnsi="Times New Roman" w:eastAsia="宋体" w:cs="Times New Roman"/>
          <w:i/>
          <w:iCs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</w:rPr>
        <w:t>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</w:rPr>
        <w:t>based qPCR assay.</w:t>
      </w:r>
    </w:p>
    <w:p w14:paraId="59FFF558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 xml:space="preserve">(a) Amplification curves showing positive detection in </w:t>
      </w:r>
      <w:r>
        <w:rPr>
          <w:rFonts w:ascii="Times New Roman" w:hAnsi="Times New Roman" w:eastAsia="宋体" w:cs="Times New Roman"/>
          <w:i/>
          <w:iCs/>
          <w:sz w:val="24"/>
        </w:rPr>
        <w:t xml:space="preserve">Listeria monocytogenes </w:t>
      </w:r>
      <w:r>
        <w:rPr>
          <w:rFonts w:ascii="Times New Roman" w:hAnsi="Times New Roman" w:eastAsia="宋体" w:cs="Times New Roman"/>
          <w:sz w:val="24"/>
        </w:rPr>
        <w:t>reference strains and no amplification in 11 non-target strains (negative control)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0105BD"/>
          <w:sz w:val="24"/>
          <w:lang w:val="en-US" w:eastAsia="zh-CN"/>
        </w:rPr>
        <w:t>(Supplementary Table 2)</w:t>
      </w:r>
      <w:r>
        <w:rPr>
          <w:rFonts w:ascii="Times New Roman" w:hAnsi="Times New Roman" w:eastAsia="宋体" w:cs="Times New Roman"/>
          <w:sz w:val="24"/>
        </w:rPr>
        <w:t xml:space="preserve">. (b) Characteristic melting peak of </w:t>
      </w:r>
      <w:r>
        <w:rPr>
          <w:rFonts w:ascii="Times New Roman" w:hAnsi="Times New Roman" w:eastAsia="宋体" w:cs="Times New Roman"/>
          <w:i/>
          <w:iCs/>
          <w:sz w:val="24"/>
        </w:rPr>
        <w:t>L. monocytogenes</w:t>
      </w:r>
      <w:r>
        <w:rPr>
          <w:rFonts w:ascii="Times New Roman" w:hAnsi="Times New Roman" w:eastAsia="宋体" w:cs="Times New Roman"/>
          <w:sz w:val="24"/>
        </w:rPr>
        <w:t xml:space="preserve"> at Tm ≈80°C. Results confirm high specificity of the assay and reliability of primer design.</w:t>
      </w:r>
    </w:p>
    <w:p w14:paraId="6F5D8268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9987E3A">
      <w:pPr>
        <w:autoSpaceDE w:val="0"/>
        <w:autoSpaceDN w:val="0"/>
        <w:spacing w:line="360" w:lineRule="auto"/>
        <w:jc w:val="center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drawing>
          <wp:inline distT="0" distB="0" distL="114300" distR="114300">
            <wp:extent cx="3794760" cy="2705100"/>
            <wp:effectExtent l="0" t="0" r="0" b="7620"/>
            <wp:docPr id="3" name="图片 3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476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C66F">
      <w:pPr>
        <w:autoSpaceDE w:val="0"/>
        <w:autoSpaceDN w:val="0"/>
        <w:spacing w:line="360" w:lineRule="auto"/>
        <w:jc w:val="both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lang w:eastAsia="zh-CN"/>
        </w:rPr>
        <w:t xml:space="preserve">Supplementary Figure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sz w:val="24"/>
          <w:lang w:val="en-US" w:eastAsia="zh-CN"/>
        </w:rPr>
        <w:t xml:space="preserve">2. </w:t>
      </w:r>
      <w:r>
        <w:rPr>
          <w:rFonts w:hint="default" w:ascii="Times New Roman" w:hAnsi="Times New Roman" w:eastAsia="宋体" w:cs="Times New Roman"/>
          <w:i/>
          <w:iCs/>
          <w:sz w:val="24"/>
          <w:lang w:eastAsia="zh-CN"/>
        </w:rPr>
        <w:t>Listeria monocytogenes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qPCR standard curve. Bacterial concentrations by plate counting exhibit a strong linear relationship with Ct values. Curve equation: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y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= -3.314x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+ 48.21 (R² = 0.992). Effective range: 1.2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×10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³–1.2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×10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⁹ CFU/mL. Enables detection of VBNC-state bacteria when combined with plate counting.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</w:p>
    <w:p w14:paraId="016129A5">
      <w:pPr>
        <w:autoSpaceDE w:val="0"/>
        <w:autoSpaceDN w:val="0"/>
        <w:spacing w:line="360" w:lineRule="auto"/>
        <w:jc w:val="center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drawing>
          <wp:inline distT="0" distB="0" distL="114300" distR="114300">
            <wp:extent cx="3134995" cy="5192395"/>
            <wp:effectExtent l="0" t="0" r="0" b="0"/>
            <wp:docPr id="5" name="图片 5" descr="Layou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Layout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4995" cy="519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06BC">
      <w:pPr>
        <w:autoSpaceDE w:val="0"/>
        <w:autoSpaceDN w:val="0"/>
        <w:spacing w:line="360" w:lineRule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lang w:eastAsia="zh-CN"/>
        </w:rPr>
        <w:t xml:space="preserve">Supplementary Figure 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Effects of PMA treatment conditions on detection of viable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/>
          <w:iCs/>
          <w:sz w:val="24"/>
          <w:lang w:eastAsia="zh-CN"/>
        </w:rPr>
        <w:t>Listeria monocytogenes</w:t>
      </w:r>
      <w:r>
        <w:rPr>
          <w:rFonts w:hint="default" w:ascii="Times New Roman" w:hAnsi="Times New Roman" w:eastAsia="宋体" w:cs="Times New Roman"/>
          <w:sz w:val="24"/>
          <w:lang w:eastAsia="zh-CN"/>
        </w:rPr>
        <w:t>. (a) PMA concentration (μM), (b) dark incubation time (min), (c) light exposure time (min)</w:t>
      </w:r>
    </w:p>
    <w:tbl>
      <w:tblPr>
        <w:tblStyle w:val="3"/>
        <w:tblpPr w:leftFromText="180" w:rightFromText="180" w:vertAnchor="text" w:horzAnchor="page" w:tblpX="1836" w:tblpY="717"/>
        <w:tblOverlap w:val="never"/>
        <w:tblW w:w="77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40"/>
        <w:gridCol w:w="1789"/>
        <w:gridCol w:w="1440"/>
        <w:gridCol w:w="1394"/>
        <w:gridCol w:w="1449"/>
      </w:tblGrid>
      <w:tr w14:paraId="272E1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95" w:type="dxa"/>
            <w:gridSpan w:val="2"/>
            <w:vMerge w:val="restart"/>
            <w:tcBorders>
              <w:top w:val="single" w:color="auto" w:sz="12" w:space="0"/>
              <w:left w:val="nil"/>
              <w:right w:val="nil"/>
            </w:tcBorders>
            <w:noWrap/>
            <w:vAlign w:val="top"/>
          </w:tcPr>
          <w:p w14:paraId="701777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Live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  <w:t>Ratio</w:t>
            </w:r>
          </w:p>
        </w:tc>
        <w:tc>
          <w:tcPr>
            <w:tcW w:w="1789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15F714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PMA-qPCR</w:t>
            </w:r>
          </w:p>
        </w:tc>
        <w:tc>
          <w:tcPr>
            <w:tcW w:w="1440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4905E2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qPCR</w:t>
            </w:r>
          </w:p>
        </w:tc>
        <w:tc>
          <w:tcPr>
            <w:tcW w:w="1394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248F89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Theoretical Live Count</w:t>
            </w:r>
          </w:p>
        </w:tc>
        <w:tc>
          <w:tcPr>
            <w:tcW w:w="1449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4293DAD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Detected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  <w:t xml:space="preserve"> Live Count</w:t>
            </w:r>
          </w:p>
        </w:tc>
      </w:tr>
      <w:tr w14:paraId="69A68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695" w:type="dxa"/>
            <w:gridSpan w:val="2"/>
            <w:vMerge w:val="continue"/>
            <w:tcBorders>
              <w:left w:val="nil"/>
              <w:bottom w:val="single" w:color="auto" w:sz="12" w:space="0"/>
              <w:right w:val="nil"/>
            </w:tcBorders>
            <w:noWrap/>
            <w:vAlign w:val="top"/>
          </w:tcPr>
          <w:p w14:paraId="4FE22D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052C1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log(CFU/mL)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01FC9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log(CFU/mL)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3BE528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log(CFU/mL)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4C9C72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log(CFU/mL)</w:t>
            </w:r>
          </w:p>
        </w:tc>
      </w:tr>
      <w:tr w14:paraId="4B64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5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1A4DC4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</w:t>
            </w:r>
          </w:p>
        </w:tc>
        <w:tc>
          <w:tcPr>
            <w:tcW w:w="840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7289EE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-</w:t>
            </w:r>
          </w:p>
        </w:tc>
        <w:tc>
          <w:tcPr>
            <w:tcW w:w="1789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738C2F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8.33±0.10</w:t>
            </w:r>
          </w:p>
        </w:tc>
        <w:tc>
          <w:tcPr>
            <w:tcW w:w="1440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21F160E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8.47</w:t>
            </w:r>
          </w:p>
        </w:tc>
        <w:tc>
          <w:tcPr>
            <w:tcW w:w="1394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1FD2AD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8.47</w:t>
            </w:r>
          </w:p>
        </w:tc>
        <w:tc>
          <w:tcPr>
            <w:tcW w:w="1449" w:type="dxa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vAlign w:val="center"/>
          </w:tcPr>
          <w:p w14:paraId="119967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8.33</w:t>
            </w:r>
          </w:p>
        </w:tc>
      </w:tr>
      <w:tr w14:paraId="58AFE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6AB6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96FD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5140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8±0.09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AE32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7.02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95A5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-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5AA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</w:t>
            </w:r>
          </w:p>
        </w:tc>
      </w:tr>
      <w:tr w14:paraId="31FBE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3D9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0EF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87B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3±0.08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F3A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8.34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72D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8.33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D2DE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8.23</w:t>
            </w:r>
          </w:p>
        </w:tc>
      </w:tr>
      <w:tr w14:paraId="1EA0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E28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7B4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C68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8.30±0.09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B99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8.28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FAE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8.24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940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8.30</w:t>
            </w:r>
          </w:p>
        </w:tc>
      </w:tr>
      <w:tr w14:paraId="203B1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517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F5C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01A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8.23±0.12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8BFD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8.37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618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8.07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4CB5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8.23</w:t>
            </w:r>
          </w:p>
        </w:tc>
      </w:tr>
      <w:tr w14:paraId="54D7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5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D022D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2F67B5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17A8EE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7.27±0.10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A1CE3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8.14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672C92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7.10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center"/>
          </w:tcPr>
          <w:p w14:paraId="59F98C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</w:rPr>
              <w:t>7.27</w:t>
            </w:r>
          </w:p>
        </w:tc>
      </w:tr>
    </w:tbl>
    <w:p w14:paraId="31D93D80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0ADE9718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27CCA69A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1B1F0855">
      <w:pPr>
        <w:autoSpaceDE w:val="0"/>
        <w:autoSpaceDN w:val="0"/>
        <w:spacing w:line="360" w:lineRule="auto"/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eastAsia="zh-CN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Table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1. </w:t>
      </w:r>
      <w:r>
        <w:rPr>
          <w:rFonts w:ascii="Times New Roman" w:hAnsi="Times New Roman" w:eastAsia="宋体" w:cs="Times New Roman"/>
          <w:sz w:val="22"/>
          <w:szCs w:val="22"/>
        </w:rPr>
        <w:t>Detection results of qPCR and PMA-qPCR for mixed suspensions of viable and dead bacteria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. Quantitative detection of </w:t>
      </w:r>
      <w:r>
        <w:rPr>
          <w:rFonts w:hint="eastAsia" w:ascii="Times New Roman" w:hAnsi="Times New Roman" w:eastAsia="宋体" w:cs="Times New Roman"/>
          <w:i/>
          <w:iCs/>
          <w:sz w:val="22"/>
          <w:szCs w:val="22"/>
          <w:lang w:val="en-US" w:eastAsia="zh-CN"/>
        </w:rPr>
        <w:t>Listeria monocytogenes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 xml:space="preserve"> in mixed viable/dead bacterial suspensions. PMA-qPCR data represent viable counts (CFU/mL), while qPCR data indicate total bacterial loads (CFU/mL). Theoretical viable counts were calculated from total counts based on mixing ratios; detected viable counts are PMA-qPCR means. No significant difference between theoretical and detected values (p &gt; 0.05, t-test) confirms PMA-qPCR's validity for viable-cell quantification.</w:t>
      </w:r>
    </w:p>
    <w:p w14:paraId="14AE374E">
      <w:pPr>
        <w:autoSpaceDE w:val="0"/>
        <w:autoSpaceDN w:val="0"/>
        <w:spacing w:line="360" w:lineRule="auto"/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</w:pPr>
    </w:p>
    <w:tbl>
      <w:tblPr>
        <w:tblStyle w:val="3"/>
        <w:tblW w:w="63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2850"/>
      </w:tblGrid>
      <w:tr w14:paraId="1B700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top"/>
          </w:tcPr>
          <w:p w14:paraId="718670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bookmarkStart w:id="10" w:name="_Hlk96985656"/>
            <w:r>
              <w:rPr>
                <w:rFonts w:hint="eastAsia" w:ascii="Times New Roman" w:hAnsi="Times New Roman" w:eastAsia="宋体" w:cs="Times New Roman"/>
                <w:color w:val="auto"/>
                <w:sz w:val="24"/>
              </w:rPr>
              <w:t>Scientific Name (Latin)</w:t>
            </w:r>
          </w:p>
        </w:tc>
        <w:tc>
          <w:tcPr>
            <w:tcW w:w="2850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noWrap w:val="0"/>
            <w:vAlign w:val="top"/>
          </w:tcPr>
          <w:p w14:paraId="16E0428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lang w:val="en-US" w:eastAsia="zh-CN"/>
              </w:rPr>
              <w:t>Number</w:t>
            </w:r>
          </w:p>
        </w:tc>
      </w:tr>
      <w:tr w14:paraId="4A71A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8" w:type="dxa"/>
            <w:tcBorders>
              <w:top w:val="single" w:color="auto" w:sz="12" w:space="0"/>
            </w:tcBorders>
            <w:shd w:val="clear" w:color="auto" w:fill="auto"/>
            <w:noWrap w:val="0"/>
            <w:vAlign w:val="top"/>
          </w:tcPr>
          <w:p w14:paraId="2C245A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4"/>
              </w:rPr>
              <w:t>Listeria monocytogenes</w:t>
            </w:r>
          </w:p>
        </w:tc>
        <w:tc>
          <w:tcPr>
            <w:tcW w:w="2850" w:type="dxa"/>
            <w:tcBorders>
              <w:top w:val="single" w:color="auto" w:sz="12" w:space="0"/>
            </w:tcBorders>
            <w:shd w:val="clear" w:color="auto" w:fill="auto"/>
            <w:noWrap w:val="0"/>
            <w:vAlign w:val="top"/>
          </w:tcPr>
          <w:p w14:paraId="76152E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</w:rPr>
              <w:t>ATCC-19115</w:t>
            </w:r>
          </w:p>
        </w:tc>
      </w:tr>
      <w:tr w14:paraId="6DF60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6A2C6E0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Listeria seeligeri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684BC5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ATCC-35967</w:t>
            </w:r>
          </w:p>
        </w:tc>
      </w:tr>
      <w:tr w14:paraId="60E8B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0636B5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Listeriaivanovii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64A42C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ATCC-19119</w:t>
            </w:r>
          </w:p>
        </w:tc>
      </w:tr>
      <w:tr w14:paraId="22EE6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5D12DE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Listeria innocua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012ACD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ATCC-33090</w:t>
            </w:r>
          </w:p>
        </w:tc>
      </w:tr>
      <w:tr w14:paraId="2F060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0B6D95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Enterococcus faecium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459F9B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ATCC-29212</w:t>
            </w:r>
          </w:p>
        </w:tc>
      </w:tr>
      <w:tr w14:paraId="37B73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201157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Staphylococcus epidermidis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169069F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CGMCC-26069</w:t>
            </w:r>
          </w:p>
        </w:tc>
      </w:tr>
      <w:tr w14:paraId="5F08B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1A16DC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Staphylococcus aureus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5B983D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ATCC-25923</w:t>
            </w:r>
          </w:p>
        </w:tc>
      </w:tr>
      <w:tr w14:paraId="669A8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39635E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almonella typhimurium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048E90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ATCC-14028</w:t>
            </w:r>
          </w:p>
        </w:tc>
      </w:tr>
      <w:tr w14:paraId="79A25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180BB2A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Escherichia coli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020ED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ATCC-25922</w:t>
            </w:r>
          </w:p>
        </w:tc>
      </w:tr>
      <w:tr w14:paraId="31A7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0E8F33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Shigella flexneri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561A69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ATCC-12022</w:t>
            </w:r>
          </w:p>
        </w:tc>
      </w:tr>
      <w:tr w14:paraId="2F379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25A5DD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Vibrio parahaemolyticus</w:t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70FA1A5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ATCC-17802</w:t>
            </w:r>
          </w:p>
        </w:tc>
      </w:tr>
      <w:tr w14:paraId="628A4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shd w:val="clear" w:color="auto" w:fill="auto"/>
            <w:noWrap w:val="0"/>
            <w:vAlign w:val="bottom"/>
          </w:tcPr>
          <w:p w14:paraId="3301C6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instrText xml:space="preserve"> HYPERLINK "http://dict.youdao.com/w/enterobacter aerogenes/" \l "keyfrom=E2Ctranslation" </w:instrTex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sz w:val="24"/>
                <w:u w:val="none"/>
              </w:rPr>
              <w:t>E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u w:val="none"/>
              </w:rPr>
              <w:t>nterobacter aerogenes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fldChar w:fldCharType="end"/>
            </w:r>
          </w:p>
        </w:tc>
        <w:tc>
          <w:tcPr>
            <w:tcW w:w="2850" w:type="dxa"/>
            <w:shd w:val="clear" w:color="auto" w:fill="auto"/>
            <w:noWrap w:val="0"/>
            <w:vAlign w:val="bottom"/>
          </w:tcPr>
          <w:p w14:paraId="3D36C6C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ATCC-13048</w:t>
            </w:r>
          </w:p>
        </w:tc>
      </w:tr>
      <w:tr w14:paraId="73DD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8" w:type="dxa"/>
            <w:tcBorders>
              <w:bottom w:val="single" w:color="auto" w:sz="12" w:space="0"/>
            </w:tcBorders>
            <w:shd w:val="clear" w:color="auto" w:fill="auto"/>
            <w:noWrap w:val="0"/>
            <w:vAlign w:val="bottom"/>
          </w:tcPr>
          <w:p w14:paraId="4E10A5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lang w:bidi="ar"/>
              </w:rPr>
              <w:t>Pseudomonas aeruginosa</w:t>
            </w:r>
          </w:p>
        </w:tc>
        <w:tc>
          <w:tcPr>
            <w:tcW w:w="2850" w:type="dxa"/>
            <w:tcBorders>
              <w:bottom w:val="single" w:color="auto" w:sz="12" w:space="0"/>
            </w:tcBorders>
            <w:shd w:val="clear" w:color="auto" w:fill="auto"/>
            <w:noWrap w:val="0"/>
            <w:vAlign w:val="bottom"/>
          </w:tcPr>
          <w:p w14:paraId="57D1C54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" w:hAnsi="Times New Roman" w:eastAsia="宋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bidi="ar"/>
              </w:rPr>
              <w:t>ATCC-9027</w:t>
            </w:r>
          </w:p>
        </w:tc>
      </w:tr>
      <w:bookmarkEnd w:id="10"/>
    </w:tbl>
    <w:p w14:paraId="30199B43">
      <w:pPr>
        <w:widowControl w:val="0"/>
        <w:spacing w:line="360" w:lineRule="auto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eastAsia="zh-CN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Table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2. </w:t>
      </w:r>
      <w:r>
        <w:rPr>
          <w:rFonts w:ascii="Times New Roman" w:hAnsi="Times New Roman" w:eastAsia="宋体" w:cs="Times New Roman"/>
          <w:sz w:val="24"/>
        </w:rPr>
        <w:t>11 non-target strains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. </w: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>ATCC: American type culture collection, CGMCC: China General Microbiological Culture Collection Center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0"/>
          <w:lang w:val="en-US" w:eastAsia="zh-CN" w:bidi="ar-SA"/>
        </w:rPr>
        <w:t>.</w:t>
      </w:r>
    </w:p>
    <w:p w14:paraId="0D99AA3D">
      <w:pPr>
        <w:autoSpaceDE w:val="0"/>
        <w:autoSpaceDN w:val="0"/>
        <w:spacing w:line="360" w:lineRule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46187331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E1243AD">
      <w:pPr>
        <w:autoSpaceDE w:val="0"/>
        <w:autoSpaceDN w:val="0"/>
        <w:spacing w:line="360" w:lineRule="auto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lang w:eastAsia="zh-CN"/>
        </w:rPr>
        <w:drawing>
          <wp:inline distT="0" distB="0" distL="114300" distR="114300">
            <wp:extent cx="5570220" cy="4102735"/>
            <wp:effectExtent l="0" t="0" r="7620" b="12065"/>
            <wp:docPr id="2" name="图片 2" descr="Figure.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.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022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F1980">
      <w:pPr>
        <w:widowControl w:val="0"/>
        <w:kinsoku w:val="0"/>
        <w:overflowPunct w:val="0"/>
        <w:autoSpaceDE w:val="0"/>
        <w:autoSpaceDN w:val="0"/>
        <w:spacing w:line="360" w:lineRule="auto"/>
        <w:ind w:firstLine="0" w:firstLineChars="0"/>
        <w:jc w:val="both"/>
        <w:rPr>
          <w:rFonts w:ascii="Times New Roman" w:hAnsi="Times New Roman" w:eastAsia="宋体" w:cs="Times New Roman"/>
          <w:b/>
          <w:bCs/>
          <w:kern w:val="44"/>
          <w:sz w:val="22"/>
          <w:szCs w:val="22"/>
          <w:lang w:val="en-US" w:eastAsia="zh-CN" w:bidi="ar-SA"/>
        </w:rPr>
      </w:pPr>
      <w:r>
        <w:rPr>
          <w:rFonts w:ascii="Times New Roman" w:hAnsi="Times New Roman" w:eastAsia="宋体" w:cs="Times New Roman"/>
          <w:b/>
          <w:kern w:val="44"/>
          <w:sz w:val="24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kern w:val="44"/>
          <w:sz w:val="24"/>
        </w:rPr>
        <w:t>Figure</w:t>
      </w:r>
      <w:r>
        <w:rPr>
          <w:rFonts w:ascii="Times New Roman" w:hAnsi="Times New Roman" w:eastAsia="宋体" w:cs="Times New Roman"/>
          <w:b/>
          <w:kern w:val="44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44"/>
          <w:sz w:val="24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kern w:val="44"/>
          <w:sz w:val="24"/>
        </w:rPr>
        <w:t>.</w:t>
      </w:r>
      <w:r>
        <w:rPr>
          <w:rFonts w:ascii="Times New Roman" w:hAnsi="Times New Roman" w:eastAsia="宋体" w:cs="Times New Roman"/>
          <w:b/>
          <w:bCs/>
          <w:kern w:val="44"/>
          <w:sz w:val="22"/>
          <w:szCs w:val="22"/>
          <w:lang w:val="en-US" w:eastAsia="zh-CN" w:bidi="ar-SA"/>
        </w:rPr>
        <w:t xml:space="preserve"> PCA of electronic nose </w:t>
      </w:r>
      <w:r>
        <w:rPr>
          <w:rFonts w:hint="eastAsia" w:ascii="Times New Roman" w:hAnsi="Times New Roman" w:eastAsia="宋体" w:cs="Times New Roman"/>
          <w:b/>
          <w:bCs/>
          <w:kern w:val="44"/>
          <w:sz w:val="22"/>
          <w:szCs w:val="22"/>
          <w:lang w:val="en-US" w:eastAsia="zh-CN" w:bidi="ar-SA"/>
        </w:rPr>
        <w:t>analysis</w:t>
      </w:r>
      <w:r>
        <w:rPr>
          <w:rFonts w:ascii="Times New Roman" w:hAnsi="Times New Roman" w:eastAsia="宋体" w:cs="Times New Roman"/>
          <w:b/>
          <w:bCs/>
          <w:kern w:val="44"/>
          <w:sz w:val="22"/>
          <w:szCs w:val="22"/>
          <w:lang w:val="en-US" w:eastAsia="zh-CN" w:bidi="ar-SA"/>
        </w:rPr>
        <w:t>.</w:t>
      </w:r>
    </w:p>
    <w:p w14:paraId="7D40D6E8">
      <w:pPr>
        <w:kinsoku w:val="0"/>
        <w:overflowPunct w:val="0"/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44"/>
          <w:sz w:val="22"/>
          <w:szCs w:val="22"/>
        </w:rPr>
      </w:pPr>
      <w:r>
        <w:rPr>
          <w:rFonts w:ascii="Times New Roman" w:hAnsi="Times New Roman" w:eastAsia="宋体" w:cs="Times New Roman"/>
          <w:kern w:val="44"/>
          <w:sz w:val="22"/>
          <w:szCs w:val="22"/>
          <w:lang w:val="en-US" w:eastAsia="zh-CN"/>
        </w:rPr>
        <w:t>a-day 0, b-stored at 4 ℃, c-stored at 10 ℃. 1-3 represent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>ed</w:t>
      </w:r>
      <w:r>
        <w:rPr>
          <w:rFonts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3rd, 6th and 9th days of storage period. Green 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>wa</w:t>
      </w:r>
      <w:r>
        <w:rPr>
          <w:rFonts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s the control group, red 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>wa</w:t>
      </w:r>
      <w:r>
        <w:rPr>
          <w:rFonts w:ascii="Times New Roman" w:hAnsi="Times New Roman" w:eastAsia="宋体" w:cs="Times New Roman"/>
          <w:kern w:val="44"/>
          <w:sz w:val="22"/>
          <w:szCs w:val="22"/>
          <w:lang w:val="en-US" w:eastAsia="zh-CN"/>
        </w:rPr>
        <w:t>s 4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MIC</w:t>
      </w:r>
      <w:r>
        <w:rPr>
          <w:rFonts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SAEW, and blue 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>wa</w:t>
      </w:r>
      <w:r>
        <w:rPr>
          <w:rFonts w:ascii="Times New Roman" w:hAnsi="Times New Roman" w:eastAsia="宋体" w:cs="Times New Roman"/>
          <w:kern w:val="44"/>
          <w:sz w:val="22"/>
          <w:szCs w:val="22"/>
          <w:lang w:val="en-US" w:eastAsia="zh-CN"/>
        </w:rPr>
        <w:t>s the combined sterilization method US+1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MIC</w:t>
      </w:r>
      <w:r>
        <w:rPr>
          <w:rFonts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SAEW+1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MIC</w:t>
      </w:r>
      <w:r>
        <w:rPr>
          <w:rFonts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SAEW</w:t>
      </w:r>
    </w:p>
    <w:p w14:paraId="0AAD57D6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</w:p>
    <w:p w14:paraId="55BD7E22"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drawing>
          <wp:inline distT="0" distB="0" distL="0" distR="0">
            <wp:extent cx="5611495" cy="4331335"/>
            <wp:effectExtent l="0" t="0" r="12065" b="12065"/>
            <wp:docPr id="1038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26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43313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FB4DF">
      <w:pPr>
        <w:kinsoku w:val="0"/>
        <w:overflowPunct w:val="0"/>
        <w:autoSpaceDE w:val="0"/>
        <w:autoSpaceDN w:val="0"/>
        <w:spacing w:line="360" w:lineRule="auto"/>
        <w:rPr>
          <w:rFonts w:ascii="Times New Roman" w:hAnsi="Times New Roman" w:eastAsia="宋体" w:cs="Times New Roman"/>
          <w:b/>
          <w:kern w:val="44"/>
          <w:sz w:val="24"/>
        </w:rPr>
      </w:pPr>
      <w:r>
        <w:rPr>
          <w:rFonts w:ascii="Times New Roman" w:hAnsi="Times New Roman" w:eastAsia="宋体" w:cs="Times New Roman"/>
          <w:b/>
          <w:kern w:val="44"/>
          <w:sz w:val="24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kern w:val="44"/>
          <w:sz w:val="24"/>
        </w:rPr>
        <w:t>Figure</w:t>
      </w:r>
      <w:r>
        <w:rPr>
          <w:rFonts w:ascii="Times New Roman" w:hAnsi="Times New Roman" w:eastAsia="宋体" w:cs="Times New Roman"/>
          <w:b/>
          <w:kern w:val="44"/>
          <w:sz w:val="24"/>
        </w:rPr>
        <w:t xml:space="preserve"> </w:t>
      </w:r>
      <w:r>
        <w:rPr>
          <w:rFonts w:hint="eastAsia" w:ascii="Times New Roman" w:hAnsi="Times New Roman" w:eastAsia="宋体" w:cs="Times New Roman"/>
          <w:b/>
          <w:kern w:val="44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kern w:val="44"/>
          <w:sz w:val="24"/>
        </w:rPr>
        <w:t>.</w:t>
      </w:r>
      <w:r>
        <w:rPr>
          <w:rFonts w:ascii="Times New Roman" w:hAnsi="Times New Roman" w:eastAsia="宋体" w:cs="Times New Roman"/>
          <w:b/>
          <w:kern w:val="44"/>
          <w:sz w:val="24"/>
        </w:rPr>
        <w:t xml:space="preserve"> Radar chart of electronic nose </w:t>
      </w:r>
      <w:r>
        <w:rPr>
          <w:rFonts w:hint="eastAsia" w:ascii="Times New Roman" w:hAnsi="Times New Roman" w:eastAsia="宋体" w:cs="Times New Roman"/>
          <w:b/>
          <w:kern w:val="44"/>
          <w:sz w:val="24"/>
        </w:rPr>
        <w:t xml:space="preserve">analysis </w:t>
      </w:r>
      <w:r>
        <w:rPr>
          <w:rFonts w:ascii="Times New Roman" w:hAnsi="Times New Roman" w:eastAsia="宋体" w:cs="Times New Roman"/>
          <w:b/>
          <w:kern w:val="44"/>
          <w:sz w:val="24"/>
        </w:rPr>
        <w:t>of premade salad after treatment with different sterilization methods.</w:t>
      </w:r>
    </w:p>
    <w:p w14:paraId="26F39F56">
      <w:pPr>
        <w:kinsoku w:val="0"/>
        <w:overflowPunct w:val="0"/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44"/>
          <w:sz w:val="22"/>
          <w:szCs w:val="22"/>
        </w:rPr>
      </w:pPr>
      <w:r>
        <w:rPr>
          <w:rFonts w:ascii="Times New Roman" w:hAnsi="Times New Roman" w:eastAsia="宋体" w:cs="Times New Roman"/>
          <w:kern w:val="44"/>
          <w:sz w:val="22"/>
          <w:szCs w:val="22"/>
        </w:rPr>
        <w:t>a-day 0, b-stored at 4 ℃, c-stored at 10 ℃. 1-3 represent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</w:rPr>
        <w:t>ed</w:t>
      </w:r>
      <w:r>
        <w:rPr>
          <w:rFonts w:ascii="Times New Roman" w:hAnsi="Times New Roman" w:eastAsia="宋体" w:cs="Times New Roman"/>
          <w:kern w:val="44"/>
          <w:sz w:val="22"/>
          <w:szCs w:val="22"/>
        </w:rPr>
        <w:t xml:space="preserve"> 3rd, 6th and 9th days of storage period. Green 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</w:rPr>
        <w:t>wa</w:t>
      </w:r>
      <w:r>
        <w:rPr>
          <w:rFonts w:ascii="Times New Roman" w:hAnsi="Times New Roman" w:eastAsia="宋体" w:cs="Times New Roman"/>
          <w:kern w:val="44"/>
          <w:sz w:val="22"/>
          <w:szCs w:val="22"/>
        </w:rPr>
        <w:t xml:space="preserve">s the control group, red 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</w:rPr>
        <w:t>wa</w:t>
      </w:r>
      <w:r>
        <w:rPr>
          <w:rFonts w:ascii="Times New Roman" w:hAnsi="Times New Roman" w:eastAsia="宋体" w:cs="Times New Roman"/>
          <w:kern w:val="44"/>
          <w:sz w:val="22"/>
          <w:szCs w:val="22"/>
        </w:rPr>
        <w:t>s 4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44"/>
          <w:sz w:val="22"/>
          <w:szCs w:val="22"/>
        </w:rPr>
        <w:t xml:space="preserve">MIC SAEW, and blue 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</w:rPr>
        <w:t>wa</w:t>
      </w:r>
      <w:r>
        <w:rPr>
          <w:rFonts w:ascii="Times New Roman" w:hAnsi="Times New Roman" w:eastAsia="宋体" w:cs="Times New Roman"/>
          <w:kern w:val="44"/>
          <w:sz w:val="22"/>
          <w:szCs w:val="22"/>
        </w:rPr>
        <w:t>s the combined sterilization method US+1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44"/>
          <w:sz w:val="22"/>
          <w:szCs w:val="22"/>
        </w:rPr>
        <w:t>MIC SAEW+1</w:t>
      </w:r>
      <w:r>
        <w:rPr>
          <w:rFonts w:hint="eastAsia" w:ascii="Times New Roman" w:hAnsi="Times New Roman" w:eastAsia="宋体" w:cs="Times New Roman"/>
          <w:kern w:val="44"/>
          <w:sz w:val="22"/>
          <w:szCs w:val="22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kern w:val="44"/>
          <w:sz w:val="22"/>
          <w:szCs w:val="22"/>
        </w:rPr>
        <w:t>MIC SAEW.</w:t>
      </w:r>
    </w:p>
    <w:p w14:paraId="5F1AFE5A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Noto Serif SC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Noto Serif SC Light">
    <w:panose1 w:val="02020200000000000000"/>
    <w:charset w:val="86"/>
    <w:family w:val="auto"/>
    <w:pitch w:val="default"/>
    <w:sig w:usb0="20000083" w:usb1="2ADF3C10" w:usb2="00000016" w:usb3="00000000" w:csb0="60060107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TYxN2MyNDliYTE2YzlhYmYwOGZhZTQ4NjFiOTUifQ=="/>
  </w:docVars>
  <w:rsids>
    <w:rsidRoot w:val="459C6CC1"/>
    <w:rsid w:val="00027FBD"/>
    <w:rsid w:val="00511AF8"/>
    <w:rsid w:val="008E74AC"/>
    <w:rsid w:val="00964A79"/>
    <w:rsid w:val="009777C4"/>
    <w:rsid w:val="00D503AE"/>
    <w:rsid w:val="0EDE2E7F"/>
    <w:rsid w:val="13B47EA0"/>
    <w:rsid w:val="19DA74FC"/>
    <w:rsid w:val="1C4B6079"/>
    <w:rsid w:val="344C3444"/>
    <w:rsid w:val="45436F2B"/>
    <w:rsid w:val="459C6CC1"/>
    <w:rsid w:val="4D131782"/>
    <w:rsid w:val="520E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tiff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</Words>
  <Characters>527</Characters>
  <Lines>2</Lines>
  <Paragraphs>1</Paragraphs>
  <TotalTime>148</TotalTime>
  <ScaleCrop>false</ScaleCrop>
  <LinksUpToDate>false</LinksUpToDate>
  <CharactersWithSpaces>633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2024-08-16T09:22:00Z</dcterms:created>
  <dc:creator>mao源</dc:creator>
  <cp:lastModifiedBy>20241021006</cp:lastModifiedBy>
  <dcterms:modified xsi:type="dcterms:W3CDTF">2025-07-04T11:29:59Z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722E0C1CD74E49409A0A01A5E8672E20_13</vt:lpwstr>
  </property>
</Properties>
</file>